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151C1">
      <w:pPr>
        <w:spacing w:before="159" w:after="159" w:line="360" w:lineRule="auto"/>
        <w:jc w:val="center"/>
        <w:outlineLvl w:val="0"/>
        <w:rPr>
          <w:rFonts w:hint="eastAsia" w:ascii="宋体"/>
          <w:b/>
          <w:color w:val="auto"/>
          <w:sz w:val="40"/>
          <w:szCs w:val="40"/>
          <w:highlight w:val="none"/>
        </w:rPr>
      </w:pPr>
      <w:bookmarkStart w:id="0" w:name="_Toc8272"/>
      <w:r>
        <w:rPr>
          <w:rFonts w:hint="eastAsia" w:ascii="宋体"/>
          <w:b/>
          <w:color w:val="auto"/>
          <w:sz w:val="40"/>
          <w:szCs w:val="40"/>
          <w:highlight w:val="none"/>
        </w:rPr>
        <w:t>2026年居家和社区基本养老服务提升项目</w:t>
      </w:r>
    </w:p>
    <w:p w14:paraId="4AB0D024">
      <w:pPr>
        <w:spacing w:before="159" w:after="159" w:line="360" w:lineRule="auto"/>
        <w:jc w:val="center"/>
        <w:outlineLvl w:val="0"/>
        <w:rPr>
          <w:rFonts w:hint="eastAsia" w:ascii="宋体" w:eastAsia="宋体" w:cs="宋体"/>
          <w:b/>
          <w:color w:val="auto"/>
          <w:sz w:val="40"/>
          <w:szCs w:val="40"/>
          <w:highlight w:val="none"/>
          <w:lang w:eastAsia="zh-CN" w:bidi="ar-SA"/>
        </w:rPr>
      </w:pPr>
      <w:r>
        <w:rPr>
          <w:rFonts w:hint="eastAsia" w:ascii="宋体"/>
          <w:b/>
          <w:color w:val="auto"/>
          <w:sz w:val="40"/>
          <w:szCs w:val="40"/>
          <w:highlight w:val="none"/>
        </w:rPr>
        <w:t>合同文本</w:t>
      </w:r>
      <w:bookmarkEnd w:id="0"/>
      <w:r>
        <w:rPr>
          <w:rFonts w:hint="eastAsia" w:ascii="宋体"/>
          <w:b/>
          <w:color w:val="auto"/>
          <w:sz w:val="40"/>
          <w:szCs w:val="40"/>
          <w:highlight w:val="none"/>
          <w:lang w:eastAsia="zh-CN"/>
        </w:rPr>
        <w:t>（</w:t>
      </w:r>
      <w:r>
        <w:rPr>
          <w:rFonts w:hint="eastAsia" w:ascii="宋体"/>
          <w:b/>
          <w:color w:val="auto"/>
          <w:sz w:val="40"/>
          <w:szCs w:val="40"/>
          <w:highlight w:val="none"/>
          <w:lang w:val="en-US" w:eastAsia="zh-CN"/>
        </w:rPr>
        <w:t>模版</w:t>
      </w:r>
      <w:r>
        <w:rPr>
          <w:rFonts w:hint="eastAsia" w:ascii="宋体"/>
          <w:b/>
          <w:color w:val="auto"/>
          <w:sz w:val="40"/>
          <w:szCs w:val="40"/>
          <w:highlight w:val="none"/>
          <w:lang w:eastAsia="zh-CN"/>
        </w:rPr>
        <w:t>）</w:t>
      </w:r>
    </w:p>
    <w:p w14:paraId="16DE0F1D">
      <w:pPr>
        <w:jc w:val="center"/>
        <w:rPr>
          <w:rFonts w:hint="eastAsia" w:ascii="宋体"/>
          <w:b/>
          <w:color w:val="auto"/>
          <w:sz w:val="36"/>
          <w:szCs w:val="36"/>
          <w:highlight w:val="none"/>
        </w:rPr>
      </w:pPr>
      <w:r>
        <w:rPr>
          <w:rFonts w:hint="eastAsia" w:ascii="宋体"/>
          <w:b/>
          <w:color w:val="auto"/>
          <w:sz w:val="36"/>
          <w:szCs w:val="36"/>
          <w:highlight w:val="none"/>
        </w:rPr>
        <w:t>合同主要条款</w:t>
      </w:r>
    </w:p>
    <w:p w14:paraId="0EC56806">
      <w:pPr>
        <w:jc w:val="center"/>
        <w:rPr>
          <w:rFonts w:hint="eastAsia" w:ascii="宋体"/>
          <w:b/>
          <w:bCs w:val="0"/>
          <w:color w:val="auto"/>
          <w:sz w:val="36"/>
          <w:szCs w:val="36"/>
          <w:highlight w:val="none"/>
        </w:rPr>
      </w:pPr>
      <w:r>
        <w:rPr>
          <w:rFonts w:hint="eastAsia" w:ascii="宋体"/>
          <w:b/>
          <w:bCs w:val="0"/>
          <w:color w:val="auto"/>
          <w:sz w:val="36"/>
          <w:szCs w:val="36"/>
          <w:highlight w:val="none"/>
        </w:rPr>
        <w:t>（</w:t>
      </w:r>
      <w:r>
        <w:rPr>
          <w:rFonts w:hint="eastAsia" w:ascii="宋体"/>
          <w:b/>
          <w:bCs w:val="0"/>
          <w:color w:val="auto"/>
          <w:sz w:val="36"/>
          <w:szCs w:val="36"/>
          <w:highlight w:val="none"/>
          <w:lang w:val="en-US" w:eastAsia="zh-CN"/>
        </w:rPr>
        <w:t>仅供</w:t>
      </w:r>
      <w:r>
        <w:rPr>
          <w:rFonts w:hint="eastAsia" w:ascii="宋体"/>
          <w:b/>
          <w:bCs w:val="0"/>
          <w:color w:val="auto"/>
          <w:sz w:val="36"/>
          <w:szCs w:val="36"/>
          <w:highlight w:val="none"/>
        </w:rPr>
        <w:t>参考）</w:t>
      </w:r>
    </w:p>
    <w:p w14:paraId="26610090">
      <w:pPr>
        <w:spacing w:line="360" w:lineRule="auto"/>
        <w:rPr>
          <w:rFonts w:hint="eastAsia" w:ascii="宋体" w:cs="宋体"/>
          <w:b/>
          <w:bCs/>
          <w:color w:val="auto"/>
          <w:sz w:val="28"/>
          <w:szCs w:val="28"/>
          <w:highlight w:val="none"/>
          <w:lang w:bidi="ar-SA"/>
        </w:rPr>
      </w:pPr>
    </w:p>
    <w:p w14:paraId="5BDCFB6C">
      <w:pPr>
        <w:spacing w:line="360" w:lineRule="auto"/>
        <w:jc w:val="both"/>
        <w:rPr>
          <w:rFonts w:hint="eastAsia" w:ascii="宋体" w:cs="宋体"/>
          <w:b/>
          <w:bCs/>
          <w:color w:val="auto"/>
          <w:sz w:val="28"/>
          <w:szCs w:val="28"/>
          <w:highlight w:val="none"/>
          <w:lang w:bidi="ar-SA"/>
        </w:rPr>
      </w:pPr>
    </w:p>
    <w:p w14:paraId="6AA95564">
      <w:pPr>
        <w:spacing w:line="360" w:lineRule="auto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合同编号：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     </w:t>
      </w:r>
    </w:p>
    <w:p w14:paraId="127642A7">
      <w:pPr>
        <w:spacing w:line="360" w:lineRule="auto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签订地点：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     </w:t>
      </w:r>
    </w:p>
    <w:p w14:paraId="2D3F7471">
      <w:pPr>
        <w:spacing w:line="360" w:lineRule="auto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采购人（甲方）：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             </w:t>
      </w:r>
    </w:p>
    <w:p w14:paraId="634524C1">
      <w:pPr>
        <w:spacing w:line="360" w:lineRule="auto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供应商（乙方）：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             </w:t>
      </w:r>
    </w:p>
    <w:p w14:paraId="64BECF89">
      <w:pPr>
        <w:spacing w:line="360" w:lineRule="auto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签订时间：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年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/>
          <w:color w:val="auto"/>
          <w:sz w:val="24"/>
          <w:highlight w:val="none"/>
        </w:rPr>
        <w:t>月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/>
          <w:color w:val="auto"/>
          <w:sz w:val="24"/>
          <w:highlight w:val="none"/>
        </w:rPr>
        <w:t>日</w:t>
      </w:r>
    </w:p>
    <w:p w14:paraId="5064C1BB">
      <w:pPr>
        <w:spacing w:line="520" w:lineRule="exact"/>
        <w:ind w:firstLine="480" w:firstLineChars="200"/>
        <w:rPr>
          <w:rFonts w:hint="eastAsia" w:ascii="宋体"/>
          <w:color w:val="auto"/>
          <w:sz w:val="24"/>
          <w:highlight w:val="none"/>
        </w:rPr>
      </w:pPr>
      <w:r>
        <w:rPr>
          <w:rFonts w:hint="eastAsia" w:ascii="宋体"/>
          <w:color w:val="auto"/>
          <w:sz w:val="24"/>
          <w:highlight w:val="none"/>
          <w:lang w:eastAsia="zh-CN"/>
        </w:rPr>
        <w:t>参照</w:t>
      </w:r>
      <w:r>
        <w:rPr>
          <w:rFonts w:hint="eastAsia" w:ascii="宋体"/>
          <w:color w:val="auto"/>
          <w:sz w:val="24"/>
          <w:highlight w:val="none"/>
        </w:rPr>
        <w:t>《中华人民共和国</w:t>
      </w:r>
      <w:r>
        <w:rPr>
          <w:rFonts w:hint="eastAsia" w:ascii="宋体"/>
          <w:color w:val="auto"/>
          <w:sz w:val="24"/>
          <w:highlight w:val="none"/>
          <w:lang w:eastAsia="zh-CN"/>
        </w:rPr>
        <w:t>民法典</w:t>
      </w:r>
      <w:r>
        <w:rPr>
          <w:rFonts w:hint="eastAsia" w:ascii="宋体"/>
          <w:color w:val="auto"/>
          <w:sz w:val="24"/>
          <w:highlight w:val="none"/>
        </w:rPr>
        <w:t>》《中华人民共和国政府采购法》及2026年居家和社区基本养老服务提升项目的《磋商文件》、乙方的《响应文件》及《成交通知书》，甲、乙双方同意签订本合同。详细技术说明及其他有关合同项目的特定信息由合同附件予以说明，合同附件及本项目的《磋商文件》、《响应文件》、《成交通知书》等均为本合同不可分割的部分。双方同意共同遵守如下条款：</w:t>
      </w:r>
    </w:p>
    <w:p w14:paraId="3FACCF5A">
      <w:pPr>
        <w:snapToGrid w:val="0"/>
        <w:spacing w:before="159" w:after="159" w:line="440" w:lineRule="exact"/>
        <w:jc w:val="center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（条款内容自拟）</w:t>
      </w:r>
    </w:p>
    <w:p w14:paraId="2EE09214">
      <w:p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一、合同纠纷处理</w:t>
      </w:r>
      <w:bookmarkStart w:id="1" w:name="_GoBack"/>
      <w:bookmarkEnd w:id="1"/>
    </w:p>
    <w:p w14:paraId="218FEC83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本合同执行过程中如发生纠纷，作如下处理：</w:t>
      </w:r>
    </w:p>
    <w:p w14:paraId="6E49C6CD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1、申请仲裁。仲裁机构为海南仲裁委员会。</w:t>
      </w:r>
    </w:p>
    <w:p w14:paraId="7E51C1EF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2、提起诉讼。诉讼地点为采购人所在地。</w:t>
      </w:r>
    </w:p>
    <w:p w14:paraId="02320368">
      <w:pPr>
        <w:numPr>
          <w:ilvl w:val="0"/>
          <w:numId w:val="2"/>
        </w:num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合同总价</w:t>
      </w:r>
    </w:p>
    <w:p w14:paraId="33AA7AE9">
      <w:pPr>
        <w:snapToGrid w:val="0"/>
        <w:spacing w:line="440" w:lineRule="exact"/>
        <w:ind w:firstLine="480" w:firstLineChars="200"/>
        <w:rPr>
          <w:rFonts w:hint="eastAsia"/>
          <w:color w:val="auto"/>
          <w:highlight w:val="none"/>
        </w:rPr>
      </w:pPr>
      <w:r>
        <w:rPr>
          <w:rFonts w:hint="eastAsia" w:ascii="宋体" w:cs="宋体"/>
          <w:bCs/>
          <w:color w:val="auto"/>
          <w:sz w:val="24"/>
          <w:highlight w:val="none"/>
          <w:lang w:bidi="ar-SA"/>
        </w:rPr>
        <w:t>合同总价为人民币大写：</w:t>
      </w:r>
      <w:r>
        <w:rPr>
          <w:rFonts w:hint="eastAsia" w:ascii="宋体" w:cs="宋体"/>
          <w:bCs/>
          <w:color w:val="auto"/>
          <w:sz w:val="24"/>
          <w:highlight w:val="none"/>
          <w:u w:val="single"/>
          <w:lang w:bidi="ar-SA"/>
        </w:rPr>
        <w:t xml:space="preserve">           </w:t>
      </w:r>
      <w:r>
        <w:rPr>
          <w:rFonts w:hint="eastAsia" w:ascii="宋体" w:cs="宋体"/>
          <w:bCs/>
          <w:color w:val="auto"/>
          <w:sz w:val="24"/>
          <w:highlight w:val="none"/>
          <w:lang w:bidi="ar-SA"/>
        </w:rPr>
        <w:t>元，即 RMB￥</w:t>
      </w:r>
      <w:r>
        <w:rPr>
          <w:rFonts w:hint="eastAsia" w:ascii="宋体" w:cs="宋体"/>
          <w:bCs/>
          <w:color w:val="auto"/>
          <w:sz w:val="24"/>
          <w:highlight w:val="none"/>
          <w:u w:val="single"/>
          <w:lang w:bidi="ar-SA"/>
        </w:rPr>
        <w:t xml:space="preserve">               </w:t>
      </w:r>
      <w:r>
        <w:rPr>
          <w:rFonts w:hint="eastAsia" w:ascii="宋体" w:cs="宋体"/>
          <w:bCs/>
          <w:color w:val="auto"/>
          <w:sz w:val="24"/>
          <w:highlight w:val="none"/>
          <w:lang w:bidi="ar-SA"/>
        </w:rPr>
        <w:t>元。</w:t>
      </w:r>
    </w:p>
    <w:p w14:paraId="0F64646D">
      <w:pPr>
        <w:numPr>
          <w:ilvl w:val="0"/>
          <w:numId w:val="2"/>
        </w:num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付款方式</w:t>
      </w:r>
    </w:p>
    <w:p w14:paraId="0E5F731B">
      <w:pPr>
        <w:snapToGrid w:val="0"/>
        <w:spacing w:line="360" w:lineRule="auto"/>
        <w:ind w:firstLine="480" w:firstLineChars="200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甲乙双方自行约定。</w:t>
      </w:r>
    </w:p>
    <w:p w14:paraId="418816CE">
      <w:pPr>
        <w:numPr>
          <w:ilvl w:val="0"/>
          <w:numId w:val="2"/>
        </w:num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违约责任与赔偿损失</w:t>
      </w:r>
    </w:p>
    <w:p w14:paraId="75A83B4F">
      <w:pPr>
        <w:snapToGrid w:val="0"/>
        <w:spacing w:line="360" w:lineRule="auto"/>
        <w:ind w:firstLine="480" w:firstLineChars="200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1.乙方交付的内容不符合采购文件、磋商文件或本合同规定的，甲方有权拒收，并且乙方须向甲方支付本合同总价</w:t>
      </w:r>
      <w:r>
        <w:rPr>
          <w:rFonts w:hint="eastAsia" w:ascii="宋体"/>
          <w:bCs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/>
          <w:bCs/>
          <w:color w:val="auto"/>
          <w:sz w:val="24"/>
          <w:highlight w:val="none"/>
        </w:rPr>
        <w:t xml:space="preserve">% 的违约金。 </w:t>
      </w:r>
    </w:p>
    <w:p w14:paraId="44DEE0CA">
      <w:pPr>
        <w:snapToGrid w:val="0"/>
        <w:spacing w:line="360" w:lineRule="auto"/>
        <w:ind w:firstLine="480" w:firstLineChars="200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 xml:space="preserve">2.乙方未能按本合同规定的服务时间交付的，从逾期之日起每日按本合同总价 3‰的数额向甲方支付违约金；逾期半个月以上的，甲方有权终止合同，由此造成的甲方经济损失由乙方承担。 </w:t>
      </w:r>
    </w:p>
    <w:p w14:paraId="0561DA78">
      <w:pPr>
        <w:snapToGrid w:val="0"/>
        <w:spacing w:line="360" w:lineRule="auto"/>
        <w:ind w:firstLine="480" w:firstLineChars="200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4.其它违约责任按《中华人民共和国民法典》处理。</w:t>
      </w:r>
    </w:p>
    <w:p w14:paraId="518684A2">
      <w:pPr>
        <w:snapToGrid w:val="0"/>
        <w:spacing w:line="360" w:lineRule="auto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五、争议的解决</w:t>
      </w:r>
    </w:p>
    <w:p w14:paraId="6F081E09">
      <w:pPr>
        <w:snapToGrid w:val="0"/>
        <w:spacing w:line="360" w:lineRule="auto"/>
        <w:ind w:firstLine="480" w:firstLineChars="200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争议的解决合同执行过程中发生的任何争议，如双方不能通过友好协商解决的，由甲方所在地有管辖权的人民法院处理。</w:t>
      </w:r>
    </w:p>
    <w:p w14:paraId="5CD66967">
      <w:pPr>
        <w:pStyle w:val="6"/>
        <w:ind w:firstLine="0" w:firstLineChars="0"/>
        <w:rPr>
          <w:rFonts w:hint="eastAsia" w:cs="宋体"/>
          <w:b/>
          <w:color w:val="auto"/>
          <w:sz w:val="24"/>
          <w:highlight w:val="none"/>
          <w:lang w:bidi="ar-SA"/>
        </w:rPr>
      </w:pPr>
      <w:r>
        <w:rPr>
          <w:rFonts w:hint="eastAsia" w:cs="宋体"/>
          <w:b/>
          <w:color w:val="auto"/>
          <w:sz w:val="24"/>
          <w:highlight w:val="none"/>
          <w:lang w:bidi="ar-SA"/>
        </w:rPr>
        <w:t>六、不可抗力</w:t>
      </w:r>
    </w:p>
    <w:p w14:paraId="348138BF">
      <w:pPr>
        <w:pStyle w:val="6"/>
        <w:spacing w:line="360" w:lineRule="auto"/>
        <w:ind w:firstLine="240" w:firstLineChars="100"/>
        <w:rPr>
          <w:rFonts w:hint="eastAsia"/>
          <w:bCs/>
          <w:color w:val="auto"/>
          <w:sz w:val="24"/>
          <w:highlight w:val="none"/>
        </w:rPr>
      </w:pPr>
      <w:r>
        <w:rPr>
          <w:rFonts w:hint="eastAsia"/>
          <w:bCs/>
          <w:color w:val="auto"/>
          <w:sz w:val="24"/>
          <w:highlight w:val="none"/>
        </w:rPr>
        <w:t xml:space="preserve">  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76D2E798">
      <w:pPr>
        <w:widowControl/>
        <w:spacing w:line="360" w:lineRule="auto"/>
        <w:jc w:val="lef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七、税费</w:t>
      </w:r>
    </w:p>
    <w:p w14:paraId="55DB1CF0">
      <w:pPr>
        <w:widowControl/>
        <w:spacing w:line="360" w:lineRule="auto"/>
        <w:ind w:firstLine="480" w:firstLineChars="200"/>
        <w:jc w:val="lef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kern w:val="0"/>
          <w:sz w:val="24"/>
          <w:highlight w:val="none"/>
          <w:lang w:bidi="ar"/>
        </w:rPr>
        <w:t>在中国境内、外发生的与本合同执行有关的一切税费均由乙方负担。</w:t>
      </w:r>
    </w:p>
    <w:p w14:paraId="1F269043">
      <w:p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八、其他</w:t>
      </w:r>
    </w:p>
    <w:p w14:paraId="4E3EC456">
      <w:pPr>
        <w:widowControl/>
        <w:spacing w:line="360" w:lineRule="auto"/>
        <w:ind w:firstLine="480" w:firstLineChars="200"/>
        <w:jc w:val="left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1.本合同所有附件、磋商文件、成交</w:t>
      </w:r>
      <w:r>
        <w:rPr>
          <w:rFonts w:hint="eastAsia" w:ascii="宋体"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/>
          <w:bCs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/>
          <w:bCs/>
          <w:color w:val="auto"/>
          <w:sz w:val="24"/>
          <w:highlight w:val="none"/>
        </w:rPr>
        <w:t>通知书</w:t>
      </w:r>
      <w:r>
        <w:rPr>
          <w:rFonts w:hint="eastAsia" w:ascii="宋体"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宋体"/>
          <w:bCs/>
          <w:color w:val="auto"/>
          <w:sz w:val="24"/>
          <w:highlight w:val="none"/>
          <w:lang w:val="en-US" w:eastAsia="zh-CN"/>
        </w:rPr>
        <w:t>响应文件</w:t>
      </w:r>
      <w:r>
        <w:rPr>
          <w:rFonts w:hint="eastAsia" w:ascii="宋体"/>
          <w:bCs/>
          <w:color w:val="auto"/>
          <w:sz w:val="24"/>
          <w:highlight w:val="none"/>
        </w:rPr>
        <w:t xml:space="preserve">均为合同的有效组成部分，与本合同具有同等法律效力。 </w:t>
      </w:r>
    </w:p>
    <w:p w14:paraId="3C1C14AE">
      <w:pPr>
        <w:widowControl/>
        <w:spacing w:line="360" w:lineRule="auto"/>
        <w:ind w:firstLine="480" w:firstLineChars="200"/>
        <w:jc w:val="left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 xml:space="preserve">2.在执行本合同的过程中，所有经双方签署确认的文件（包括会议纪要、补充协议、往来信函）即成为本合同的有效组成部分。 </w:t>
      </w:r>
    </w:p>
    <w:p w14:paraId="039956AC">
      <w:pPr>
        <w:widowControl/>
        <w:spacing w:line="360" w:lineRule="auto"/>
        <w:ind w:firstLine="480" w:firstLineChars="200"/>
        <w:jc w:val="left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 xml:space="preserve">3.如一方地址、电话、传真号码有变更，应在变更当日内书面通知对方，否则，应承担相应责任。 </w:t>
      </w:r>
    </w:p>
    <w:p w14:paraId="6A69891E">
      <w:pPr>
        <w:widowControl/>
        <w:spacing w:line="360" w:lineRule="auto"/>
        <w:ind w:firstLine="480" w:firstLineChars="200"/>
        <w:jc w:val="left"/>
        <w:rPr>
          <w:rFonts w:hint="eastAsia" w:ascii="宋体"/>
          <w:bCs/>
          <w:color w:val="auto"/>
          <w:sz w:val="24"/>
          <w:highlight w:val="none"/>
        </w:rPr>
      </w:pPr>
      <w:r>
        <w:rPr>
          <w:rFonts w:hint="eastAsia" w:ascii="宋体"/>
          <w:bCs/>
          <w:color w:val="auto"/>
          <w:sz w:val="24"/>
          <w:highlight w:val="none"/>
        </w:rPr>
        <w:t>4.除甲方事先书面同意外，乙方不得部分或全部转让其应履行的合同项下的义务。</w:t>
      </w:r>
    </w:p>
    <w:p w14:paraId="6788BDE4">
      <w:pPr>
        <w:snapToGrid w:val="0"/>
        <w:spacing w:before="159" w:after="159" w:line="440" w:lineRule="exac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九、合同生效</w:t>
      </w:r>
    </w:p>
    <w:p w14:paraId="197C12DC">
      <w:pPr>
        <w:widowControl/>
        <w:spacing w:line="360" w:lineRule="auto"/>
        <w:ind w:firstLine="480" w:firstLineChars="200"/>
        <w:jc w:val="left"/>
        <w:rPr>
          <w:color w:val="auto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  <w:lang w:bidi="ar"/>
        </w:rPr>
        <w:t xml:space="preserve">1.本合同在甲乙双方法人代表或其授权代表签字盖章后生效。 </w:t>
      </w:r>
    </w:p>
    <w:p w14:paraId="4717C386">
      <w:pPr>
        <w:widowControl/>
        <w:spacing w:line="360" w:lineRule="auto"/>
        <w:ind w:firstLine="480" w:firstLineChars="200"/>
        <w:jc w:val="left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kern w:val="0"/>
          <w:sz w:val="24"/>
          <w:highlight w:val="none"/>
          <w:lang w:bidi="ar"/>
        </w:rPr>
        <w:t xml:space="preserve">2.合同一式伍份。甲、乙方双方各执贰份，采购代理机构壹份。 </w:t>
      </w:r>
    </w:p>
    <w:p w14:paraId="6E2A2FDE">
      <w:pPr>
        <w:snapToGrid w:val="0"/>
        <w:spacing w:before="159" w:after="159" w:line="440" w:lineRule="exact"/>
        <w:ind w:firstLine="482" w:firstLineChars="200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</w:p>
    <w:p w14:paraId="36E7CB8E">
      <w:pPr>
        <w:snapToGrid w:val="0"/>
        <w:spacing w:before="159" w:after="159" w:line="440" w:lineRule="exact"/>
        <w:ind w:firstLine="482" w:firstLineChars="200"/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甲  方（盖章）：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</w:t>
      </w:r>
    </w:p>
    <w:p w14:paraId="5BE52F55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Cs/>
          <w:color w:val="auto"/>
          <w:sz w:val="24"/>
          <w:highlight w:val="none"/>
          <w:lang w:bidi="ar-SA"/>
        </w:rPr>
        <w:t>地  址：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        </w:t>
      </w:r>
    </w:p>
    <w:p w14:paraId="11A540C9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电  话：</w:t>
      </w:r>
      <w:r>
        <w:rPr>
          <w:rFonts w:hint="eastAsia" w:ascii="宋体" w:cs="宋体"/>
          <w:color w:val="auto"/>
          <w:sz w:val="24"/>
          <w:highlight w:val="none"/>
          <w:u w:val="single"/>
          <w:lang w:bidi="ar-SA"/>
        </w:rPr>
        <w:t xml:space="preserve">                                </w:t>
      </w:r>
    </w:p>
    <w:p w14:paraId="7A3F83C7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法定（授权）代表人（签章）：</w:t>
      </w:r>
      <w:r>
        <w:rPr>
          <w:rFonts w:hint="eastAsia" w:ascii="宋体" w:cs="宋体"/>
          <w:bCs/>
          <w:color w:val="auto"/>
          <w:sz w:val="24"/>
          <w:highlight w:val="none"/>
          <w:u w:val="single"/>
          <w:lang w:bidi="ar-SA"/>
        </w:rPr>
        <w:t xml:space="preserve">            </w:t>
      </w:r>
    </w:p>
    <w:p w14:paraId="53D885E3">
      <w:pPr>
        <w:snapToGrid w:val="0"/>
        <w:spacing w:before="159" w:after="31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签订日期：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年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月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日</w:t>
      </w:r>
    </w:p>
    <w:p w14:paraId="277FA388">
      <w:pPr>
        <w:snapToGrid w:val="0"/>
        <w:spacing w:before="319" w:after="159" w:line="440" w:lineRule="exact"/>
        <w:ind w:firstLine="482" w:firstLineChars="200"/>
        <w:rPr>
          <w:rFonts w:hint="eastAsia" w:ascii="宋体" w:cs="宋体"/>
          <w:b/>
          <w:color w:val="auto"/>
          <w:sz w:val="24"/>
          <w:highlight w:val="none"/>
          <w:lang w:bidi="ar-SA"/>
        </w:rPr>
      </w:pPr>
    </w:p>
    <w:p w14:paraId="777D29A2">
      <w:pPr>
        <w:snapToGrid w:val="0"/>
        <w:spacing w:before="319" w:after="159" w:line="440" w:lineRule="exact"/>
        <w:ind w:firstLine="482" w:firstLineChars="200"/>
        <w:rPr>
          <w:rFonts w:hint="eastAsia" w:ascii="宋体" w:cs="宋体"/>
          <w:bCs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/>
          <w:color w:val="auto"/>
          <w:sz w:val="24"/>
          <w:highlight w:val="none"/>
          <w:lang w:bidi="ar-SA"/>
        </w:rPr>
        <w:t>乙  方（盖章）：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</w:t>
      </w:r>
    </w:p>
    <w:p w14:paraId="78F4661C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Cs/>
          <w:color w:val="auto"/>
          <w:sz w:val="24"/>
          <w:highlight w:val="none"/>
          <w:lang w:bidi="ar-SA"/>
        </w:rPr>
        <w:t>地  址：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        </w:t>
      </w:r>
    </w:p>
    <w:p w14:paraId="1E2D856B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电  话：</w:t>
      </w:r>
      <w:r>
        <w:rPr>
          <w:rFonts w:hint="eastAsia" w:ascii="宋体" w:cs="宋体"/>
          <w:color w:val="auto"/>
          <w:sz w:val="24"/>
          <w:highlight w:val="none"/>
          <w:u w:val="single"/>
          <w:lang w:bidi="ar-SA"/>
        </w:rPr>
        <w:t xml:space="preserve">                                </w:t>
      </w:r>
    </w:p>
    <w:p w14:paraId="4BC4AF70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法定（授权）代表人（签章）：</w:t>
      </w:r>
      <w:r>
        <w:rPr>
          <w:rFonts w:hint="eastAsia" w:ascii="宋体" w:cs="宋体"/>
          <w:bCs/>
          <w:color w:val="auto"/>
          <w:sz w:val="24"/>
          <w:highlight w:val="none"/>
          <w:u w:val="single"/>
          <w:lang w:bidi="ar-SA"/>
        </w:rPr>
        <w:t xml:space="preserve">            </w:t>
      </w:r>
    </w:p>
    <w:p w14:paraId="229A4D6D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开户银行：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      </w:t>
      </w:r>
    </w:p>
    <w:p w14:paraId="1C31234C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银行账号：</w:t>
      </w:r>
      <w:r>
        <w:rPr>
          <w:rFonts w:hint="eastAsia" w:ascii="宋体" w:cs="宋体"/>
          <w:b/>
          <w:color w:val="auto"/>
          <w:sz w:val="24"/>
          <w:highlight w:val="none"/>
          <w:u w:val="single"/>
          <w:lang w:bidi="ar-SA"/>
        </w:rPr>
        <w:t xml:space="preserve">                              </w:t>
      </w:r>
    </w:p>
    <w:p w14:paraId="56754838">
      <w:pPr>
        <w:snapToGrid w:val="0"/>
        <w:spacing w:before="159" w:after="319" w:line="440" w:lineRule="exact"/>
        <w:ind w:firstLine="480" w:firstLineChars="200"/>
        <w:rPr>
          <w:rFonts w:hint="eastAsia" w:ascii="宋体" w:cs="宋体"/>
          <w:color w:val="auto"/>
          <w:sz w:val="24"/>
          <w:highlight w:val="none"/>
          <w:lang w:bidi="ar-SA"/>
        </w:rPr>
      </w:pPr>
      <w:r>
        <w:rPr>
          <w:rFonts w:hint="eastAsia" w:ascii="宋体" w:cs="宋体"/>
          <w:color w:val="auto"/>
          <w:sz w:val="24"/>
          <w:highlight w:val="none"/>
          <w:lang w:bidi="ar-SA"/>
        </w:rPr>
        <w:t>签订日期：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年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月</w:t>
      </w:r>
      <w:r>
        <w:rPr>
          <w:rFonts w:hint="eastAsia" w:ascii="宋体" w:cs="宋体"/>
          <w:b/>
          <w:bCs/>
          <w:color w:val="auto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宋体" w:cs="宋体"/>
          <w:color w:val="auto"/>
          <w:sz w:val="24"/>
          <w:highlight w:val="none"/>
          <w:lang w:bidi="ar-SA"/>
        </w:rPr>
        <w:t>日</w:t>
      </w:r>
    </w:p>
    <w:p w14:paraId="5855477E">
      <w:pPr>
        <w:spacing w:line="360" w:lineRule="auto"/>
        <w:ind w:firstLine="560" w:firstLineChars="200"/>
        <w:rPr>
          <w:rFonts w:hint="eastAsia" w:ascii="宋体"/>
          <w:color w:val="auto"/>
          <w:sz w:val="28"/>
          <w:szCs w:val="28"/>
          <w:highlight w:val="none"/>
        </w:rPr>
      </w:pPr>
    </w:p>
    <w:p w14:paraId="5EE80F45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 w:val="0"/>
          <w:bCs/>
          <w:color w:val="auto"/>
          <w:sz w:val="24"/>
          <w:highlight w:val="none"/>
          <w:u w:val="none"/>
          <w:lang w:bidi="ar-SA"/>
        </w:rPr>
        <w:t>采购代理机构（盖章）：</w:t>
      </w:r>
      <w:r>
        <w:rPr>
          <w:rFonts w:hint="eastAsia" w:ascii="宋体" w:hAnsi="Times New Roman" w:eastAsia="宋体" w:cs="宋体"/>
          <w:b w:val="0"/>
          <w:bCs/>
          <w:color w:val="auto"/>
          <w:sz w:val="24"/>
          <w:highlight w:val="none"/>
          <w:u w:val="single"/>
          <w:lang w:val="en-US" w:eastAsia="zh-CN" w:bidi="ar-SA"/>
        </w:rPr>
        <w:t>海</w:t>
      </w:r>
      <w:r>
        <w:rPr>
          <w:rFonts w:hint="eastAsia" w:ascii="宋体" w:hAnsi="Times New Roman" w:eastAsia="宋体" w:cs="宋体"/>
          <w:b w:val="0"/>
          <w:bCs/>
          <w:color w:val="auto"/>
          <w:sz w:val="24"/>
          <w:highlight w:val="none"/>
          <w:u w:val="single"/>
          <w:lang w:bidi="ar-SA"/>
        </w:rPr>
        <w:t>南鑫鸿源项目管理有限公司</w:t>
      </w:r>
    </w:p>
    <w:p w14:paraId="004E1F90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 w:val="0"/>
          <w:bCs/>
          <w:color w:val="auto"/>
          <w:sz w:val="24"/>
          <w:highlight w:val="none"/>
          <w:u w:val="none"/>
          <w:lang w:bidi="ar-SA"/>
        </w:rPr>
        <w:t>地  址：</w:t>
      </w:r>
      <w:r>
        <w:rPr>
          <w:rFonts w:hint="eastAsia" w:ascii="宋体" w:hAnsi="Times New Roman" w:eastAsia="宋体" w:cs="宋体"/>
          <w:b w:val="0"/>
          <w:bCs/>
          <w:color w:val="auto"/>
          <w:sz w:val="24"/>
          <w:highlight w:val="none"/>
          <w:u w:val="single"/>
          <w:lang w:bidi="ar-SA"/>
        </w:rPr>
        <w:t>海南省海口市龙华区金宇街道坡巷雅苑1栋B单元3205房</w:t>
      </w:r>
    </w:p>
    <w:p w14:paraId="4F9114B2">
      <w:pPr>
        <w:snapToGrid w:val="0"/>
        <w:spacing w:before="159" w:after="159" w:line="440" w:lineRule="exact"/>
        <w:ind w:firstLine="480" w:firstLineChars="200"/>
        <w:rPr>
          <w:rFonts w:hint="default" w:ascii="宋体" w:eastAsia="宋体" w:cs="宋体"/>
          <w:b w:val="0"/>
          <w:bCs/>
          <w:color w:val="auto"/>
          <w:sz w:val="24"/>
          <w:highlight w:val="none"/>
          <w:u w:val="single"/>
          <w:lang w:val="en-US" w:eastAsia="zh-CN" w:bidi="ar-SA"/>
        </w:rPr>
      </w:pPr>
      <w:r>
        <w:rPr>
          <w:rFonts w:hint="eastAsia" w:ascii="宋体" w:cs="宋体"/>
          <w:b w:val="0"/>
          <w:bCs/>
          <w:color w:val="auto"/>
          <w:sz w:val="24"/>
          <w:highlight w:val="none"/>
          <w:u w:val="none"/>
          <w:lang w:bidi="ar-SA"/>
        </w:rPr>
        <w:t>电  话：</w:t>
      </w:r>
      <w:r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  <w:t>0898-</w:t>
      </w:r>
      <w:r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val="en-US" w:eastAsia="zh-CN" w:bidi="ar-SA"/>
        </w:rPr>
        <w:t>66781015</w:t>
      </w:r>
    </w:p>
    <w:p w14:paraId="36FBDBCF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 w:val="0"/>
          <w:bCs/>
          <w:color w:val="auto"/>
          <w:sz w:val="24"/>
          <w:highlight w:val="none"/>
          <w:u w:val="none"/>
          <w:lang w:bidi="ar-SA"/>
        </w:rPr>
        <w:t>法定（授权）代表人（签章）：</w:t>
      </w:r>
      <w:r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  <w:t xml:space="preserve">            </w:t>
      </w:r>
    </w:p>
    <w:p w14:paraId="40E2C682">
      <w:pPr>
        <w:snapToGrid w:val="0"/>
        <w:spacing w:before="159" w:after="159" w:line="440" w:lineRule="exact"/>
        <w:ind w:firstLine="480" w:firstLineChars="200"/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</w:pPr>
      <w:r>
        <w:rPr>
          <w:rFonts w:hint="eastAsia" w:ascii="宋体" w:cs="宋体"/>
          <w:b w:val="0"/>
          <w:bCs/>
          <w:color w:val="auto"/>
          <w:sz w:val="24"/>
          <w:highlight w:val="none"/>
          <w:u w:val="none"/>
          <w:lang w:bidi="ar-SA"/>
        </w:rPr>
        <w:t>签订日期：</w:t>
      </w:r>
      <w:r>
        <w:rPr>
          <w:rFonts w:hint="eastAsia" w:ascii="宋体" w:cs="宋体"/>
          <w:b w:val="0"/>
          <w:bCs/>
          <w:color w:val="auto"/>
          <w:sz w:val="24"/>
          <w:highlight w:val="none"/>
          <w:u w:val="single"/>
          <w:lang w:bidi="ar-SA"/>
        </w:rPr>
        <w:t xml:space="preserve">      年    月    日</w:t>
      </w:r>
    </w:p>
    <w:p w14:paraId="165BEE02"/>
    <w:p w14:paraId="703F443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14691"/>
    <w:multiLevelType w:val="multilevel"/>
    <w:tmpl w:val="CFC1469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2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31537"/>
    <w:rsid w:val="17B33067"/>
    <w:rsid w:val="39B365F9"/>
    <w:rsid w:val="7DAC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tabs>
        <w:tab w:val="left" w:pos="0"/>
      </w:tabs>
      <w:spacing w:before="140" w:beforeLines="0" w:beforeAutospacing="0" w:after="140" w:afterLines="0" w:afterAutospacing="0" w:line="413" w:lineRule="auto"/>
      <w:ind w:left="0" w:firstLine="0" w:firstLineChars="0"/>
      <w:jc w:val="center"/>
      <w:outlineLvl w:val="1"/>
    </w:pPr>
    <w:rPr>
      <w:rFonts w:ascii="Arial" w:hAnsi="Arial" w:eastAsia="宋体" w:cs="Times New Roman"/>
      <w:b/>
      <w:sz w:val="30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4"/>
    <w:qFormat/>
    <w:uiPriority w:val="0"/>
    <w:pPr>
      <w:spacing w:after="120" w:afterLines="0" w:afterAutospacing="0"/>
      <w:ind w:left="420" w:leftChars="200"/>
    </w:pPr>
  </w:style>
  <w:style w:type="paragraph" w:styleId="6">
    <w:name w:val="Body Text First Indent 2"/>
    <w:basedOn w:val="5"/>
    <w:qFormat/>
    <w:uiPriority w:val="0"/>
    <w:pPr>
      <w:spacing w:before="240" w:after="240" w:line="240" w:lineRule="auto"/>
      <w:ind w:firstLine="420" w:firstLineChars="200"/>
    </w:pPr>
    <w:rPr>
      <w:rFonts w:ascii="Calibri" w:hAnsi="Calibri" w:eastAsia="宋体"/>
      <w:sz w:val="28"/>
    </w:rPr>
  </w:style>
  <w:style w:type="character" w:customStyle="1" w:styleId="9">
    <w:name w:val="标题 1 字符"/>
    <w:basedOn w:val="8"/>
    <w:link w:val="2"/>
    <w:autoRedefine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1144</Words>
  <Characters>1188</Characters>
  <Lines>0</Lines>
  <Paragraphs>0</Paragraphs>
  <TotalTime>2</TotalTime>
  <ScaleCrop>false</ScaleCrop>
  <LinksUpToDate>false</LinksUpToDate>
  <CharactersWithSpaces>1643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2025-05-21T06:26:00Z</dcterms:created>
  <dc:creator>Dell</dc:creator>
  <cp:lastModifiedBy>ZYLLDM</cp:lastModifiedBy>
  <dcterms:modified xsi:type="dcterms:W3CDTF">2026-03-19T13:15:41Z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eyJoZGlkIjoiNjQ2M2ExMWRiOWYzMmEyYmZlODE3Njk1M2VlOTMyNGQiLCJ1c2VySWQiOiIxNDc0ODY3ODY1In0=</vt:lpwstr>
  </property>
  <property fmtid="{D5CDD505-2E9C-101B-9397-08002B2CF9AE}" pid="4" name="ICV">
    <vt:lpwstr>4E463F83E94D4B4F9E82690FDC6E3D14_12</vt:lpwstr>
  </property>
</Properties>
</file>