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2026年居家和社区基本养老服务提升项目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HNXHY2026-008</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儋州市民政局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海南鑫鸿源项目管理有限公司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儋州市民政局</w:t>
      </w:r>
      <w:r>
        <w:rPr>
          <w:rFonts w:ascii="仿宋_GB2312" w:hAnsi="仿宋_GB2312" w:cs="仿宋_GB2312" w:eastAsia="仿宋_GB2312"/>
        </w:rPr>
        <w:t xml:space="preserve"> 的委托， </w:t>
      </w:r>
      <w:r>
        <w:rPr>
          <w:rFonts w:ascii="仿宋_GB2312" w:hAnsi="仿宋_GB2312" w:cs="仿宋_GB2312" w:eastAsia="仿宋_GB2312"/>
        </w:rPr>
        <w:t>海南鑫鸿源项目管理有限公司</w:t>
      </w:r>
      <w:r>
        <w:rPr>
          <w:rFonts w:ascii="仿宋_GB2312" w:hAnsi="仿宋_GB2312" w:cs="仿宋_GB2312" w:eastAsia="仿宋_GB2312"/>
        </w:rPr>
        <w:t xml:space="preserve"> 对 </w:t>
      </w:r>
      <w:r>
        <w:rPr>
          <w:rFonts w:ascii="仿宋_GB2312" w:hAnsi="仿宋_GB2312" w:cs="仿宋_GB2312" w:eastAsia="仿宋_GB2312"/>
        </w:rPr>
        <w:t>2026年居家和社区基本养老服务提升项目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HNXHY2026-008</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2026年居家和社区基本养老服务提升项目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1,750,000.00元</w:t>
      </w:r>
      <w:r>
        <w:rPr>
          <w:rFonts w:ascii="仿宋_GB2312" w:hAnsi="仿宋_GB2312" w:cs="仿宋_GB2312" w:eastAsia="仿宋_GB2312"/>
        </w:rPr>
        <w:t>壹佰柒拾伍万元整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自合同签订生效之日起至2026年10月31日止</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自合同签订生效之日起至2026年10月31日止</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自合同签订生效之日起至2026年10月31日止</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1、本项目不接受联合体投标。（提供承诺函，加盖单位公章）：本项目不接受联合体投标。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1、本项目不接受联合体投标。（提供承诺函，加盖单位公章）：本项目不接受联合体投标。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1、本项目不接受联合体投标。（提供承诺函，加盖单位公章）：本项目不接受联合体投标。</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本项目发布媒体为：海南省政府采购智慧云平台(https://ccgp-hainan.gov.cn/)。 2.有关本项目采购文件的补遗、澄清及变更信息以上述网站公告与下载为准，采购代理机构不再另行通知，采购文件与更正公告的内容相互矛盾时，以最后发出的更正公告内容为准。 3.本项目全程线上开标。如需云平台相关咨询，请拨打以下热线电话：热线：4001691288。 4.支持《政府采购促进中小企业发展管理办法》、《节能产品政府采购实施意见》、《关于环境标志产品政府采购实施的意见》、《关于促进残疾人就业政府采购政策的通知》、《财政部、司法部关于政府采购支持监狱企业发展有关问题的通知书》等相关政策。</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儋州市民政局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海南省儋州市那大镇中兴大街54号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0898-23312860</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海南鑫鸿源项目管理有限公司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海南省海口市龙华区金宇街道坡巷雅苑1栋B单元3205房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0898-66781015</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采购包2：500,000.00元</w:t>
            </w:r>
          </w:p>
          <w:p>
            <w:pPr>
              <w:pStyle w:val="null3"/>
              <w:jc w:val="left"/>
            </w:pPr>
            <w:r>
              <w:rPr>
                <w:rFonts w:ascii="仿宋_GB2312" w:hAnsi="仿宋_GB2312" w:cs="仿宋_GB2312" w:eastAsia="仿宋_GB2312"/>
              </w:rPr>
              <w:t>采购包3：500,000.00元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自响应文件递交截止之日起90日历天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代理服务费收费标准：参照《招标代理服务收费管理暂行办法》琼价费管[2011】225号文件标准以下浮70%优惠价格收取招标代理服务费计取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17.1低于成本价不正当竞争预防措施：1.在评审过程中，磋商小组认为供应商报价明显低于其他通过符合性审查供应商的报价，有可能影响产品质量或者不能诚信履约的，磋商小组应当要求其在评审现场合理的时间内提供书面说明，必要时提交相关证明材料，供应商不能证明其报价合理性的，磋商小组应当将其作为无效处理。2.供应商的书面说明材料应当按照国家财务会计制度的规定要求，逐项就供应商提供的货物、工程和服务的主营业务成本、税金及附加、销售费用、管理费用、财务费用等成本构成事项详细陈述。3.供应商书面说明应当签字确认或者加盖公章，否则无效。书面说明的签字确认，由其法定代表人或者其授权代表签字确认。4.供应商提供书面说明后，磋商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磋商小组应当将其响应文件作为无效处理。 17.2成交后须由成交供应商在成交后三日内提供纸质响应文件正本1份、副本2份，送至招标代理机构指定地点，提供的纸质版响应文件须采用书本式胶装，不得采用活页装订，且与参加响应的电子版文件内容一致。) 17.3磋商小组由采购人代表一人、评审专家两人组成，其中技术、经济等方面的专家从海南省综合评标专家库中随机抽取。</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联系人：刘工</w:t>
      </w:r>
    </w:p>
    <w:p>
      <w:pPr>
        <w:pStyle w:val="null3"/>
        <w:jc w:val="left"/>
      </w:pPr>
      <w:r>
        <w:rPr>
          <w:rFonts w:ascii="仿宋_GB2312" w:hAnsi="仿宋_GB2312" w:cs="仿宋_GB2312" w:eastAsia="仿宋_GB2312"/>
        </w:rPr>
        <w:t>联系电话：0898-66781015</w:t>
      </w:r>
    </w:p>
    <w:p>
      <w:pPr>
        <w:pStyle w:val="null3"/>
        <w:jc w:val="left"/>
      </w:pPr>
      <w:r>
        <w:rPr>
          <w:rFonts w:ascii="仿宋_GB2312" w:hAnsi="仿宋_GB2312" w:cs="仿宋_GB2312" w:eastAsia="仿宋_GB2312"/>
        </w:rPr>
        <w:t>地址：海南省海口市龙华区金宇街道坡巷雅苑1栋B单元3205房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1"/>
          <w:b/>
        </w:rPr>
        <w:t>采购包1：围绕“为不少于150名经济困难老年人家庭进行适老化改造”任务目标，提升家庭养老服务能力，提高养老服务质量，有效满足老年人多样化、多层次养老服务需求，不断提升老年人的获得感、幸福感、满意度。</w:t>
      </w:r>
    </w:p>
    <w:p>
      <w:pPr>
        <w:pStyle w:val="null3"/>
        <w:ind w:firstLine="562"/>
        <w:jc w:val="left"/>
      </w:pPr>
      <w:r>
        <w:rPr>
          <w:rFonts w:ascii="仿宋_GB2312" w:hAnsi="仿宋_GB2312" w:cs="仿宋_GB2312" w:eastAsia="仿宋_GB2312"/>
          <w:sz w:val="21"/>
          <w:b/>
        </w:rPr>
        <w:t>采购包2、3：围绕“为不少于1000名经济困难老年人上门服务”任务目标，进一步扩大居家养老服务有效供给，推动养老服务供给结构优化，提升家庭养老服务能力，提高养老服务质量，有效满足老年人多样化、多层次养老服务需求，不断提升老年人的获得感、幸福感、满意度。</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750,000.00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C99000000-其他服务</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jc w:val="left"/>
            </w:pPr>
            <w:r>
              <w:rPr>
                <w:rFonts w:ascii="仿宋_GB2312" w:hAnsi="仿宋_GB2312" w:cs="仿宋_GB2312" w:eastAsia="仿宋_GB2312"/>
              </w:rPr>
              <w:t>元/户</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C05010400-养老服务</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元/人</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C99000000-其他服务</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元/人</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元/户</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C05010400-养老服务</w:t>
            </w:r>
          </w:p>
        </w:tc>
        <w:tc>
          <w:tcPr>
            <w:tcW w:type="dxa" w:w="554"/>
          </w:tcPr>
          <w:p>
            <w:pPr>
              <w:pStyle w:val="null3"/>
              <w:jc w:val="left"/>
            </w:pPr>
            <w:r>
              <w:rPr>
                <w:rFonts w:ascii="仿宋_GB2312" w:hAnsi="仿宋_GB2312" w:cs="仿宋_GB2312" w:eastAsia="仿宋_GB2312"/>
              </w:rPr>
              <w:t>元/人</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C99000000-其他服务</w:t>
            </w:r>
          </w:p>
        </w:tc>
        <w:tc>
          <w:tcPr>
            <w:tcW w:type="dxa" w:w="554"/>
          </w:tcPr>
          <w:p>
            <w:pPr>
              <w:pStyle w:val="null3"/>
              <w:jc w:val="left"/>
            </w:pPr>
            <w:r>
              <w:rPr>
                <w:rFonts w:ascii="仿宋_GB2312" w:hAnsi="仿宋_GB2312" w:cs="仿宋_GB2312" w:eastAsia="仿宋_GB2312"/>
              </w:rPr>
              <w:t>元/人</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（1）技术要求</w:t>
            </w:r>
          </w:p>
          <w:p>
            <w:pPr>
              <w:pStyle w:val="null3"/>
              <w:ind w:firstLine="562"/>
              <w:jc w:val="left"/>
            </w:pPr>
            <w:r>
              <w:rPr>
                <w:rFonts w:ascii="仿宋_GB2312" w:hAnsi="仿宋_GB2312" w:cs="仿宋_GB2312" w:eastAsia="仿宋_GB2312"/>
                <w:sz w:val="21"/>
              </w:rPr>
              <w:t>1.1服务内容：按照“一户一案”，自由选择合适可行的项目进行组合，对老年人住所进行地面防滑处理、高差处理、安装床边护栏、加装安全扶手、配置助浴设施和灯源改造等基础适老化改造，购置印有民政LOGO标志的急救包、小药箱等设备，满足老年人居家生活照料、起居行走、康复护理等核心需求，增强老年人居家生活设施设备安全性、便利性。</w:t>
            </w:r>
          </w:p>
          <w:p>
            <w:pPr>
              <w:pStyle w:val="null3"/>
              <w:ind w:firstLine="480"/>
              <w:jc w:val="left"/>
            </w:pPr>
            <w:r>
              <w:rPr>
                <w:rFonts w:ascii="仿宋_GB2312" w:hAnsi="仿宋_GB2312" w:cs="仿宋_GB2312" w:eastAsia="仿宋_GB2312"/>
                <w:sz w:val="21"/>
              </w:rPr>
              <w:t>1.2家庭养老床位适老化改造项目清单</w:t>
            </w:r>
          </w:p>
          <w:tbl>
            <w:tblPr>
              <w:tblInd w:type="dxa" w:w="105"/>
              <w:tblBorders>
                <w:top w:val="none" w:color="000000" w:sz="4"/>
                <w:left w:val="none" w:color="000000" w:sz="4"/>
                <w:bottom w:val="none" w:color="000000" w:sz="4"/>
                <w:right w:val="none" w:color="000000" w:sz="4"/>
                <w:insideH w:val="none"/>
                <w:insideV w:val="none"/>
              </w:tblBorders>
            </w:tblPr>
            <w:tblGrid>
              <w:gridCol w:w="188"/>
              <w:gridCol w:w="340"/>
              <w:gridCol w:w="429"/>
              <w:gridCol w:w="1337"/>
              <w:gridCol w:w="259"/>
            </w:tblGrid>
            <w:tr>
              <w:tc>
                <w:tcPr>
                  <w:tcW w:type="dxa" w:w="1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序号</w:t>
                  </w:r>
                </w:p>
              </w:tc>
              <w:tc>
                <w:tcPr>
                  <w:tcW w:type="dxa" w:w="3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类别</w:t>
                  </w:r>
                </w:p>
              </w:tc>
              <w:tc>
                <w:tcPr>
                  <w:tcW w:type="dxa" w:w="4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项目名称</w:t>
                  </w:r>
                </w:p>
              </w:tc>
              <w:tc>
                <w:tcPr>
                  <w:tcW w:type="dxa" w:w="13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具体内容</w:t>
                  </w:r>
                </w:p>
              </w:tc>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项目类型</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（一）</w:t>
                  </w:r>
                </w:p>
                <w:p>
                  <w:pPr>
                    <w:pStyle w:val="null3"/>
                    <w:jc w:val="center"/>
                  </w:pPr>
                  <w:r>
                    <w:rPr>
                      <w:rFonts w:ascii="仿宋_GB2312" w:hAnsi="仿宋_GB2312" w:cs="仿宋_GB2312" w:eastAsia="仿宋_GB2312"/>
                      <w:sz w:val="21"/>
                      <w:b/>
                    </w:rPr>
                    <w:t>地面改造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防滑处理</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在卫生间、厨房、卧室等区域，铺设防滑砖或者防滑地胶，避免老年人滑倒，提高安全性。</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高差处理</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铺设水泥坡道或者加设橡胶等材质的可移动式坡道，保证路面平滑、无高差障碍，方便轮椅进出。</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平整硬化</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对地面进行平整硬化，方便轮椅通过，降低风险。</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安装扶手</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在高差变化处安装扶手，辅助老年人通过。</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（二）</w:t>
                  </w:r>
                </w:p>
                <w:p>
                  <w:pPr>
                    <w:pStyle w:val="null3"/>
                    <w:jc w:val="center"/>
                  </w:pPr>
                  <w:r>
                    <w:rPr>
                      <w:rFonts w:ascii="仿宋_GB2312" w:hAnsi="仿宋_GB2312" w:cs="仿宋_GB2312" w:eastAsia="仿宋_GB2312"/>
                      <w:sz w:val="21"/>
                      <w:b/>
                    </w:rPr>
                    <w:t>门改造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门槛移除</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移除门槛，保证老年人进门无障碍，方便轮椅进出。</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平开门改为推拉门</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方便开启，增加通行宽度和辅助操作空间。</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房门拓宽</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对卫生间、厨房等空间较窄的门洞进行拓宽，改善通过性，方便轮椅进出。</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下压式门把手改造</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可用单手手掌或者手指轻松操作，增加摩擦力和稳定性，方便老年人开门。</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安装闪光振动门铃</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供听力视力障碍老年人使用。</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（三）</w:t>
                  </w:r>
                </w:p>
                <w:p>
                  <w:pPr>
                    <w:pStyle w:val="null3"/>
                    <w:jc w:val="center"/>
                  </w:pPr>
                  <w:r>
                    <w:rPr>
                      <w:rFonts w:ascii="仿宋_GB2312" w:hAnsi="仿宋_GB2312" w:cs="仿宋_GB2312" w:eastAsia="仿宋_GB2312"/>
                      <w:sz w:val="21"/>
                      <w:b/>
                    </w:rPr>
                    <w:t>卧室改造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配置护理床</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帮助失能老年人完成起身、侧翻、上下床、吃饭等动作，辅助喂食、处理排泄物等。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安装床边护栏（抓杆）</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辅助老年人起身、上下床，防止翻身滚下床，保证老年人睡眠和活动安全。</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配置防压疮垫</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避免长期乘坐轮椅或卧床的老年人发生严重压疮，包括防压疮坐垫、靠垫或床垫等。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（四）</w:t>
                  </w:r>
                </w:p>
                <w:p>
                  <w:pPr>
                    <w:pStyle w:val="null3"/>
                    <w:jc w:val="center"/>
                  </w:pPr>
                  <w:r>
                    <w:rPr>
                      <w:rFonts w:ascii="仿宋_GB2312" w:hAnsi="仿宋_GB2312" w:cs="仿宋_GB2312" w:eastAsia="仿宋_GB2312"/>
                      <w:sz w:val="21"/>
                      <w:b/>
                    </w:rPr>
                    <w:t>如厕洗浴设备改造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安装扶手</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在如厕区或者洗浴区安装扶手，辅助老年人起身、站立、转身和坐下，包括一字形扶手、U形扶手、L形扶手、135°扶手、T形扶手或者助力扶手等。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蹲便器改坐便器</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减轻蹲姿造成的腿部压力，避免老年人如厕时摔倒，方便乘轮椅老年人使用。</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水龙头改造</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采用拔杆式或感应水龙头，方便老年人开关水阀。</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浴缸/淋浴房改造</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拆除浴缸/淋浴房，更换浴帘、浴杆，增加淋浴空间，方便照护人员辅助老年人洗浴。</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配置淋浴椅</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辅助老年人洗澡用，避免老年人滑倒，提高安全性。</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（五）</w:t>
                  </w:r>
                </w:p>
                <w:p>
                  <w:pPr>
                    <w:pStyle w:val="null3"/>
                    <w:jc w:val="center"/>
                  </w:pPr>
                  <w:r>
                    <w:rPr>
                      <w:rFonts w:ascii="仿宋_GB2312" w:hAnsi="仿宋_GB2312" w:cs="仿宋_GB2312" w:eastAsia="仿宋_GB2312"/>
                      <w:sz w:val="21"/>
                      <w:b/>
                    </w:rPr>
                    <w:t>厨房设备改造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台面改造</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降低操作台、灶台、洗菜池高度或者在其下方留出容膝空间，方便乘轮椅或者体型矮小老年人操作。</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加设中部柜</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在吊柜下方设置开敞式中部柜、中部架，方便老年人取放物品。</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（六）</w:t>
                  </w:r>
                </w:p>
                <w:p>
                  <w:pPr>
                    <w:pStyle w:val="null3"/>
                    <w:jc w:val="center"/>
                  </w:pPr>
                  <w:r>
                    <w:rPr>
                      <w:rFonts w:ascii="仿宋_GB2312" w:hAnsi="仿宋_GB2312" w:cs="仿宋_GB2312" w:eastAsia="仿宋_GB2312"/>
                      <w:sz w:val="21"/>
                      <w:b/>
                    </w:rPr>
                    <w:t>物理环境改造</w:t>
                  </w: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电源插座及开关改造</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视情进行高/低位改造，避免老年人下蹲或弯腰，方便老年人插拔电源和使用开关。</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安装防撞护角/防撞条、提示标识</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在家具尖角或墙角安装防撞护角或者防撞条，避免老年人磕碰划伤，必要时粘贴防滑条、警示条等符合相关标准和老年人认知特点的提示标识。</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适老家具配置</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比如换鞋凳、适老椅、电动升降晾衣架等。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（七）</w:t>
                  </w:r>
                </w:p>
                <w:p>
                  <w:pPr>
                    <w:pStyle w:val="null3"/>
                    <w:jc w:val="center"/>
                  </w:pPr>
                  <w:r>
                    <w:rPr>
                      <w:rFonts w:ascii="仿宋_GB2312" w:hAnsi="仿宋_GB2312" w:cs="仿宋_GB2312" w:eastAsia="仿宋_GB2312"/>
                      <w:sz w:val="21"/>
                      <w:b/>
                    </w:rPr>
                    <w:t>老年用品配置</w:t>
                  </w:r>
                </w:p>
                <w:p>
                  <w:pPr>
                    <w:pStyle w:val="null3"/>
                    <w:jc w:val="center"/>
                  </w:p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手杖</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辅助老年人平稳站立和行走，包含三脚或四脚手杖、凳拐等。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轮椅/助行器</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辅助家人、照护人员推行/帮助老年人站立行走，扩大老年人活动空间。</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放大装置</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运用光学/电子原理进行影像放大，方便老年人近用。</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助听器</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帮助老年人听清声音来源，增加与周围的交流，包括盒式助听器、耳内助听器、耳背助听器、骨导助听器等。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自助进食器具</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辅助老年人进食，包括防洒碗（盘）、助食筷、弯柄勺（叉）、饮水杯（壶）等。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可选</w:t>
                  </w:r>
                </w:p>
              </w:tc>
            </w:tr>
            <w:tr>
              <w:tc>
                <w:tcPr>
                  <w:tcW w:type="dxa" w:w="1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numPr>
                      <w:ilvl w:val="0"/>
                      <w:numId w:val="1"/>
                    </w:numPr>
                    <w:jc w:val="center"/>
                  </w:pPr>
                </w:p>
              </w:tc>
              <w:tc>
                <w:tcPr>
                  <w:tcW w:type="dxa" w:w="340"/>
                  <w:vMerge/>
                  <w:tcBorders>
                    <w:top w:val="none" w:color="000000" w:sz="4"/>
                    <w:left w:val="single" w:color="000000" w:sz="4"/>
                    <w:bottom w:val="single" w:color="000000" w:sz="4"/>
                    <w:right w:val="single" w:color="000000" w:sz="4"/>
                  </w:tcBorders>
                </w:tcPr>
                <w:p/>
              </w:tc>
              <w:tc>
                <w:tcPr>
                  <w:tcW w:type="dxa" w:w="4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急救包、小药箱</w:t>
                  </w:r>
                </w:p>
              </w:tc>
              <w:tc>
                <w:tcPr>
                  <w:tcW w:type="dxa" w:w="13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帮助老年人应对突发状况，降低意外风险等。</w:t>
                  </w:r>
                </w:p>
              </w:tc>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基础</w:t>
                  </w:r>
                </w:p>
              </w:tc>
            </w:tr>
          </w:tbl>
          <w:p>
            <w:pPr>
              <w:pStyle w:val="null3"/>
              <w:spacing w:after="120"/>
              <w:jc w:val="both"/>
            </w:pPr>
            <w:r>
              <w:rPr>
                <w:rFonts w:ascii="仿宋_GB2312" w:hAnsi="仿宋_GB2312" w:cs="仿宋_GB2312" w:eastAsia="仿宋_GB2312"/>
                <w:sz w:val="21"/>
                <w:b/>
              </w:rPr>
              <w:t>1.3儋州市经济困难老年人家庭适老化改造申请表</w:t>
            </w:r>
          </w:p>
          <w:p>
            <w:pPr>
              <w:pStyle w:val="null3"/>
              <w:spacing w:after="120"/>
              <w:ind w:firstLine="482"/>
              <w:jc w:val="both"/>
            </w:pPr>
            <w:r>
              <w:rPr>
                <w:rFonts w:ascii="仿宋_GB2312" w:hAnsi="仿宋_GB2312" w:cs="仿宋_GB2312" w:eastAsia="仿宋_GB2312"/>
                <w:sz w:val="21"/>
                <w:b/>
                <w:u w:val="single"/>
              </w:rPr>
              <w:t xml:space="preserve">        </w:t>
            </w:r>
            <w:r>
              <w:rPr>
                <w:rFonts w:ascii="仿宋_GB2312" w:hAnsi="仿宋_GB2312" w:cs="仿宋_GB2312" w:eastAsia="仿宋_GB2312"/>
                <w:sz w:val="21"/>
                <w:b/>
              </w:rPr>
              <w:t>市</w:t>
            </w:r>
            <w:r>
              <w:rPr>
                <w:rFonts w:ascii="仿宋_GB2312" w:hAnsi="仿宋_GB2312" w:cs="仿宋_GB2312" w:eastAsia="仿宋_GB2312"/>
                <w:sz w:val="21"/>
                <w:b/>
                <w:u w:val="single"/>
              </w:rPr>
              <w:t xml:space="preserve">          </w:t>
            </w:r>
            <w:r>
              <w:rPr>
                <w:rFonts w:ascii="仿宋_GB2312" w:hAnsi="仿宋_GB2312" w:cs="仿宋_GB2312" w:eastAsia="仿宋_GB2312"/>
                <w:sz w:val="21"/>
                <w:b/>
              </w:rPr>
              <w:t>镇（办事处）</w:t>
            </w:r>
            <w:r>
              <w:rPr>
                <w:rFonts w:ascii="仿宋_GB2312" w:hAnsi="仿宋_GB2312" w:cs="仿宋_GB2312" w:eastAsia="仿宋_GB2312"/>
                <w:sz w:val="21"/>
                <w:b/>
                <w:u w:val="single"/>
              </w:rPr>
              <w:t xml:space="preserve">           </w:t>
            </w:r>
            <w:r>
              <w:rPr>
                <w:rFonts w:ascii="仿宋_GB2312" w:hAnsi="仿宋_GB2312" w:cs="仿宋_GB2312" w:eastAsia="仿宋_GB2312"/>
                <w:sz w:val="21"/>
                <w:b/>
              </w:rPr>
              <w:t>村（居）委会</w:t>
            </w:r>
          </w:p>
          <w:tbl>
            <w:tblPr>
              <w:tblBorders>
                <w:top w:val="none" w:color="000000" w:sz="4"/>
                <w:left w:val="none" w:color="000000" w:sz="4"/>
                <w:bottom w:val="none" w:color="000000" w:sz="4"/>
                <w:right w:val="none" w:color="000000" w:sz="4"/>
                <w:insideH w:val="none"/>
                <w:insideV w:val="none"/>
              </w:tblBorders>
            </w:tblPr>
            <w:tblGrid>
              <w:gridCol w:w="332"/>
              <w:gridCol w:w="491"/>
              <w:gridCol w:w="256"/>
              <w:gridCol w:w="516"/>
              <w:gridCol w:w="820"/>
              <w:gridCol w:w="137"/>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老人姓名</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性别</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配偶姓名</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身份证号</w:t>
                  </w:r>
                </w:p>
              </w:tc>
              <w:tc>
                <w:tcPr>
                  <w:tcW w:type="dxa" w:w="74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户籍所在地</w:t>
                  </w:r>
                </w:p>
              </w:tc>
              <w:tc>
                <w:tcPr>
                  <w:tcW w:type="dxa" w:w="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申请改造家庭住址</w:t>
                  </w:r>
                </w:p>
              </w:tc>
              <w:tc>
                <w:tcPr>
                  <w:tcW w:type="dxa" w:w="126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（详细地址）</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联系电话</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住宅情况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房产所有人：</w:t>
                  </w:r>
                </w:p>
              </w:tc>
              <w:tc>
                <w:tcPr>
                  <w:tcW w:type="dxa" w:w="7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建设年代：</w:t>
                  </w:r>
                  <w:r>
                    <w:rPr>
                      <w:rFonts w:ascii="仿宋_GB2312" w:hAnsi="仿宋_GB2312" w:cs="仿宋_GB2312" w:eastAsia="仿宋_GB2312"/>
                      <w:sz w:val="21"/>
                    </w:rPr>
                    <w:t xml:space="preserve">    </w:t>
                  </w:r>
                  <w:r>
                    <w:rPr>
                      <w:rFonts w:ascii="仿宋_GB2312" w:hAnsi="仿宋_GB2312" w:cs="仿宋_GB2312" w:eastAsia="仿宋_GB2312"/>
                      <w:sz w:val="21"/>
                      <w:color w:val="000000"/>
                    </w:rPr>
                    <w:t>年</w:t>
                  </w:r>
                  <w:r>
                    <w:rPr>
                      <w:rFonts w:ascii="仿宋_GB2312" w:hAnsi="仿宋_GB2312" w:cs="仿宋_GB2312" w:eastAsia="仿宋_GB2312"/>
                      <w:sz w:val="21"/>
                    </w:rPr>
                    <w:t xml:space="preserve"> </w:t>
                  </w:r>
                  <w:r>
                    <w:rPr>
                      <w:rFonts w:ascii="仿宋_GB2312" w:hAnsi="仿宋_GB2312" w:cs="仿宋_GB2312" w:eastAsia="仿宋_GB2312"/>
                      <w:sz w:val="21"/>
                      <w:color w:val="000000"/>
                    </w:rPr>
                    <w:t>月</w:t>
                  </w:r>
                </w:p>
              </w:tc>
              <w:tc>
                <w:tcPr>
                  <w:tcW w:type="dxa" w:w="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□电梯房</w:t>
                  </w:r>
                  <w:r>
                    <w:rPr>
                      <w:rFonts w:ascii="仿宋_GB2312" w:hAnsi="仿宋_GB2312" w:cs="仿宋_GB2312" w:eastAsia="仿宋_GB2312"/>
                      <w:sz w:val="21"/>
                    </w:rPr>
                    <w:t xml:space="preserve">   </w:t>
                  </w:r>
                  <w:r>
                    <w:rPr>
                      <w:rFonts w:ascii="仿宋_GB2312" w:hAnsi="仿宋_GB2312" w:cs="仿宋_GB2312" w:eastAsia="仿宋_GB2312"/>
                      <w:sz w:val="21"/>
                      <w:color w:val="000000"/>
                    </w:rPr>
                    <w:t>□楼梯房</w:t>
                  </w:r>
                  <w:r>
                    <w:rPr>
                      <w:rFonts w:ascii="仿宋_GB2312" w:hAnsi="仿宋_GB2312" w:cs="仿宋_GB2312" w:eastAsia="仿宋_GB2312"/>
                      <w:sz w:val="21"/>
                    </w:rPr>
                    <w:t xml:space="preserve">  </w:t>
                  </w:r>
                  <w:r>
                    <w:rPr>
                      <w:rFonts w:ascii="仿宋_GB2312" w:hAnsi="仿宋_GB2312" w:cs="仿宋_GB2312" w:eastAsia="仿宋_GB2312"/>
                      <w:sz w:val="21"/>
                      <w:color w:val="000000"/>
                    </w:rPr>
                    <w:t>□平房</w:t>
                  </w:r>
                </w:p>
              </w:tc>
            </w:tr>
            <w:tr>
              <w:tc>
                <w:tcPr>
                  <w:tcW w:type="dxa" w:w="332"/>
                  <w:vMerge/>
                  <w:tcBorders>
                    <w:top w:val="none" w:color="000000" w:sz="4"/>
                    <w:left w:val="single" w:color="000000" w:sz="4"/>
                    <w:bottom w:val="single" w:color="000000" w:sz="4"/>
                    <w:right w:val="single" w:color="000000" w:sz="4"/>
                  </w:tcBorders>
                </w:tcP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居住人数：</w:t>
                  </w:r>
                </w:p>
              </w:tc>
              <w:tc>
                <w:tcPr>
                  <w:tcW w:type="dxa" w:w="7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建筑面积：</w:t>
                  </w:r>
                  <w:r>
                    <w:rPr>
                      <w:rFonts w:ascii="仿宋_GB2312" w:hAnsi="仿宋_GB2312" w:cs="仿宋_GB2312" w:eastAsia="仿宋_GB2312"/>
                      <w:sz w:val="21"/>
                    </w:rPr>
                    <w:t xml:space="preserve">    </w:t>
                  </w:r>
                  <w:r>
                    <w:rPr>
                      <w:rFonts w:ascii="仿宋_GB2312" w:hAnsi="仿宋_GB2312" w:cs="仿宋_GB2312" w:eastAsia="仿宋_GB2312"/>
                      <w:sz w:val="21"/>
                      <w:color w:val="000000"/>
                    </w:rPr>
                    <w:t>平方米</w:t>
                  </w:r>
                </w:p>
              </w:tc>
              <w:tc>
                <w:tcPr>
                  <w:tcW w:type="dxa" w:w="95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户型：    室    厅     卫</w:t>
                  </w: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身份特征</w:t>
                  </w:r>
                </w:p>
              </w:tc>
              <w:tc>
                <w:tcPr>
                  <w:tcW w:type="dxa" w:w="222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老年人能力评估情况：</w:t>
                  </w:r>
                </w:p>
                <w:p>
                  <w:pPr>
                    <w:pStyle w:val="null3"/>
                    <w:jc w:val="both"/>
                  </w:pPr>
                  <w:r>
                    <w:rPr>
                      <w:rFonts w:ascii="仿宋_GB2312" w:hAnsi="仿宋_GB2312" w:cs="仿宋_GB2312" w:eastAsia="仿宋_GB2312"/>
                      <w:sz w:val="21"/>
                      <w:color w:val="000000"/>
                    </w:rPr>
                    <w:t>□完全失能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□重度失能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□中度失能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□轻度失能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□能力完好</w:t>
                  </w:r>
                </w:p>
                <w:p>
                  <w:pPr>
                    <w:pStyle w:val="null3"/>
                    <w:jc w:val="both"/>
                  </w:pPr>
                  <w:r>
                    <w:rPr>
                      <w:rFonts w:ascii="仿宋_GB2312" w:hAnsi="仿宋_GB2312" w:cs="仿宋_GB2312" w:eastAsia="仿宋_GB2312"/>
                      <w:sz w:val="21"/>
                      <w:color w:val="000000"/>
                    </w:rPr>
                    <w:t>家庭情况：</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分散供养特困对象中失能、部分失能老年人家庭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城乡低保对象中失能、部分失能老年人家庭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城乡低保边缘对象中失能、部分失能老年人家庭</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刚性支出家庭中失能、部分失能老年人家庭</w:t>
                  </w:r>
                </w:p>
                <w:p>
                  <w:pPr>
                    <w:pStyle w:val="null3"/>
                    <w:jc w:val="both"/>
                  </w:pPr>
                  <w:r>
                    <w:rPr>
                      <w:rFonts w:ascii="仿宋_GB2312" w:hAnsi="仿宋_GB2312" w:cs="仿宋_GB2312" w:eastAsia="仿宋_GB2312"/>
                      <w:sz w:val="21"/>
                      <w:color w:val="000000"/>
                    </w:rPr>
                    <w:t xml:space="preserve">               (在所选项后口内划“√”，并附相关证明材料)</w:t>
                  </w: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改造需求</w:t>
                  </w:r>
                </w:p>
              </w:tc>
              <w:tc>
                <w:tcPr>
                  <w:tcW w:type="dxa" w:w="222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本人及家庭成员自愿申请，市民政部门组织相关（公司或企业）对家庭进行适老化改造，接受政府相关部门或单位的监督，同意政府补贴规定，愿意承担房屋改造中相关责任。拟对（□洗漱间□卫生间□厨房□卧室□客厅）进行适老化改造，及配置一些适老化产品。 </w:t>
                  </w:r>
                  <w:r>
                    <w:br/>
                  </w:r>
                  <w:r>
                    <w:rPr>
                      <w:rFonts w:ascii="仿宋_GB2312" w:hAnsi="仿宋_GB2312" w:cs="仿宋_GB2312" w:eastAsia="仿宋_GB2312"/>
                      <w:sz w:val="21"/>
                      <w:color w:val="000000"/>
                    </w:rPr>
                    <w:t xml:space="preserve">                                                   年    月    日</w:t>
                  </w:r>
                  <w:r>
                    <w:br/>
                  </w:r>
                  <w:r>
                    <w:rPr>
                      <w:rFonts w:ascii="仿宋_GB2312" w:hAnsi="仿宋_GB2312" w:cs="仿宋_GB2312" w:eastAsia="仿宋_GB2312"/>
                      <w:sz w:val="21"/>
                      <w:color w:val="000000"/>
                    </w:rPr>
                    <w:t>申请人（亲属）签字：</w:t>
                  </w: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社区（村）</w:t>
                  </w:r>
                  <w:r>
                    <w:br/>
                  </w:r>
                  <w:r>
                    <w:rPr>
                      <w:rFonts w:ascii="仿宋_GB2312" w:hAnsi="仿宋_GB2312" w:cs="仿宋_GB2312" w:eastAsia="仿宋_GB2312"/>
                      <w:sz w:val="21"/>
                      <w:color w:val="000000"/>
                    </w:rPr>
                    <w:t>初审意见</w:t>
                  </w:r>
                </w:p>
              </w:tc>
              <w:tc>
                <w:tcPr>
                  <w:tcW w:type="dxa" w:w="222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初审人签字                                  初审单位（盖章）</w:t>
                  </w:r>
                  <w:r>
                    <w:br/>
                  </w:r>
                  <w:r>
                    <w:rPr>
                      <w:rFonts w:ascii="仿宋_GB2312" w:hAnsi="仿宋_GB2312" w:cs="仿宋_GB2312" w:eastAsia="仿宋_GB2312"/>
                      <w:sz w:val="21"/>
                      <w:color w:val="000000"/>
                    </w:rPr>
                    <w:t xml:space="preserve">                                                   年    月    日</w:t>
                  </w: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镇（办事处）审核意见</w:t>
                  </w:r>
                </w:p>
              </w:tc>
              <w:tc>
                <w:tcPr>
                  <w:tcW w:type="dxa" w:w="222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审核人签字                                  审核单位（盖章）</w:t>
                  </w:r>
                  <w:r>
                    <w:br/>
                  </w:r>
                  <w:r>
                    <w:rPr>
                      <w:rFonts w:ascii="仿宋_GB2312" w:hAnsi="仿宋_GB2312" w:cs="仿宋_GB2312" w:eastAsia="仿宋_GB2312"/>
                      <w:sz w:val="21"/>
                      <w:color w:val="000000"/>
                    </w:rPr>
                    <w:t xml:space="preserve">                                                   年    月    日</w:t>
                  </w: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市民政局审定意见</w:t>
                  </w:r>
                </w:p>
              </w:tc>
              <w:tc>
                <w:tcPr>
                  <w:tcW w:type="dxa" w:w="2220"/>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审定人签字                                  审定单位（盖章）</w:t>
                  </w:r>
                  <w:r>
                    <w:br/>
                  </w:r>
                  <w:r>
                    <w:rPr>
                      <w:rFonts w:ascii="仿宋_GB2312" w:hAnsi="仿宋_GB2312" w:cs="仿宋_GB2312" w:eastAsia="仿宋_GB2312"/>
                      <w:sz w:val="21"/>
                      <w:color w:val="000000"/>
                    </w:rPr>
                    <w:t xml:space="preserve">                                                   年    月    日</w:t>
                  </w: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vMerge/>
                  <w:tcBorders>
                    <w:top w:val="none" w:color="000000" w:sz="4"/>
                    <w:left w:val="single" w:color="000000" w:sz="4"/>
                    <w:bottom w:val="single" w:color="000000" w:sz="4"/>
                    <w:right w:val="single" w:color="000000" w:sz="4"/>
                  </w:tcBorders>
                </w:tcPr>
                <w:p/>
              </w:tc>
              <w:tc>
                <w:tcPr>
                  <w:tcW w:type="dxa" w:w="2220"/>
                  <w:gridSpan w:val="5"/>
                  <w:vMerge/>
                  <w:tcBorders>
                    <w:top w:val="none" w:color="000000" w:sz="4"/>
                    <w:left w:val="none" w:color="000000" w:sz="4"/>
                    <w:bottom w:val="single" w:color="000000" w:sz="4"/>
                    <w:right w:val="single" w:color="000000" w:sz="4"/>
                  </w:tcBorders>
                </w:tc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c>
                <w:tcPr>
                  <w:tcW w:type="dxa" w:w="2220"/>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标的名称：C05010400-养老服务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（1）技术要求</w:t>
            </w:r>
          </w:p>
          <w:p>
            <w:pPr>
              <w:pStyle w:val="null3"/>
              <w:jc w:val="both"/>
            </w:pPr>
            <w:r>
              <w:rPr>
                <w:rFonts w:ascii="仿宋_GB2312" w:hAnsi="仿宋_GB2312" w:cs="仿宋_GB2312" w:eastAsia="仿宋_GB2312"/>
                <w:sz w:val="21"/>
                <w:b/>
              </w:rPr>
              <w:t>1.1开展能力评估与需求评估</w:t>
            </w:r>
          </w:p>
          <w:p>
            <w:pPr>
              <w:pStyle w:val="null3"/>
              <w:ind w:firstLine="560"/>
              <w:jc w:val="left"/>
            </w:pPr>
            <w:r>
              <w:rPr>
                <w:rFonts w:ascii="仿宋_GB2312" w:hAnsi="仿宋_GB2312" w:cs="仿宋_GB2312" w:eastAsia="仿宋_GB2312"/>
                <w:sz w:val="21"/>
              </w:rPr>
              <w:t>对老年人身体状况开展能力评估。可依据《老年人能力评估规范》(GB/T 42195-2022)标准或本地其他相关标准，对项目服务对象的失能等级进行评估认定。对已开展过能力评估的老年人，可不重复评估。</w:t>
            </w:r>
          </w:p>
          <w:p>
            <w:pPr>
              <w:pStyle w:val="null3"/>
              <w:ind w:firstLine="560"/>
              <w:jc w:val="left"/>
            </w:pPr>
            <w:r>
              <w:rPr>
                <w:rFonts w:ascii="仿宋_GB2312" w:hAnsi="仿宋_GB2312" w:cs="仿宋_GB2312" w:eastAsia="仿宋_GB2312"/>
                <w:sz w:val="21"/>
              </w:rPr>
              <w:t>对老年人开展需求评估。按照老年人能力评估结果，结合老年人居住条件和经济收入水平情况，开展照护需求评估，并出具经老年人及其家属确认的照护需求评估结果。</w:t>
            </w:r>
          </w:p>
          <w:p>
            <w:pPr>
              <w:pStyle w:val="null3"/>
              <w:jc w:val="both"/>
            </w:pPr>
            <w:r>
              <w:rPr>
                <w:rFonts w:ascii="仿宋_GB2312" w:hAnsi="仿宋_GB2312" w:cs="仿宋_GB2312" w:eastAsia="仿宋_GB2312"/>
                <w:sz w:val="21"/>
                <w:b/>
              </w:rPr>
              <w:t>1.2提供居家养老上门服务</w:t>
            </w:r>
          </w:p>
          <w:p>
            <w:pPr>
              <w:pStyle w:val="null3"/>
              <w:ind w:firstLine="560"/>
              <w:jc w:val="left"/>
            </w:pPr>
            <w:r>
              <w:rPr>
                <w:rFonts w:ascii="仿宋_GB2312" w:hAnsi="仿宋_GB2312" w:cs="仿宋_GB2312" w:eastAsia="仿宋_GB2312"/>
                <w:sz w:val="21"/>
              </w:rPr>
              <w:t>纳入居家养老上门服务范围的服务对象,根据能力评估和需求评估结果，服务机构设置服务项目清单，由老年人或家属与服务机构签定服务协议，按协议内容为老年人提供</w:t>
            </w:r>
            <w:r>
              <w:rPr>
                <w:rFonts w:ascii="仿宋_GB2312" w:hAnsi="仿宋_GB2312" w:cs="仿宋_GB2312" w:eastAsia="仿宋_GB2312"/>
                <w:sz w:val="21"/>
                <w:b/>
              </w:rPr>
              <w:t>生活照料</w:t>
            </w:r>
            <w:r>
              <w:rPr>
                <w:rFonts w:ascii="仿宋_GB2312" w:hAnsi="仿宋_GB2312" w:cs="仿宋_GB2312" w:eastAsia="仿宋_GB2312"/>
                <w:sz w:val="21"/>
                <w:b/>
              </w:rPr>
              <w:t>、基础照护、探访关爱、健康管理、委托代办、精神慰藉</w:t>
            </w:r>
            <w:r>
              <w:rPr>
                <w:rFonts w:ascii="仿宋_GB2312" w:hAnsi="仿宋_GB2312" w:cs="仿宋_GB2312" w:eastAsia="仿宋_GB2312"/>
                <w:sz w:val="21"/>
              </w:rPr>
              <w:t>等居家养老上门服务。项目执行周期内须为老年人每人每月上门次数不高于5次。</w:t>
            </w:r>
          </w:p>
          <w:p>
            <w:pPr>
              <w:pStyle w:val="null3"/>
              <w:jc w:val="both"/>
            </w:pPr>
            <w:r>
              <w:rPr>
                <w:rFonts w:ascii="仿宋_GB2312" w:hAnsi="仿宋_GB2312" w:cs="仿宋_GB2312" w:eastAsia="仿宋_GB2312"/>
                <w:sz w:val="21"/>
                <w:b/>
              </w:rPr>
              <w:t>1.3实施效果监测评估</w:t>
            </w:r>
          </w:p>
          <w:p>
            <w:pPr>
              <w:pStyle w:val="null3"/>
              <w:ind w:firstLine="560"/>
              <w:jc w:val="left"/>
            </w:pPr>
            <w:r>
              <w:rPr>
                <w:rFonts w:ascii="仿宋_GB2312" w:hAnsi="仿宋_GB2312" w:cs="仿宋_GB2312" w:eastAsia="仿宋_GB2312"/>
                <w:sz w:val="21"/>
              </w:rPr>
              <w:t>全过程监管项目实施，强化项目跟踪监测和质量评估，严把服务质量关，对项目实施效果开展监测评估。</w:t>
            </w:r>
          </w:p>
          <w:p>
            <w:pPr>
              <w:pStyle w:val="null3"/>
              <w:jc w:val="both"/>
            </w:pPr>
            <w:r>
              <w:rPr>
                <w:rFonts w:ascii="仿宋_GB2312" w:hAnsi="仿宋_GB2312" w:cs="仿宋_GB2312" w:eastAsia="仿宋_GB2312"/>
                <w:sz w:val="21"/>
                <w:b/>
              </w:rPr>
              <w:t>1.4实施细则及流程</w:t>
            </w:r>
          </w:p>
          <w:p>
            <w:pPr>
              <w:pStyle w:val="null3"/>
              <w:jc w:val="left"/>
            </w:pPr>
            <w:r>
              <w:rPr>
                <w:rFonts w:ascii="仿宋_GB2312" w:hAnsi="仿宋_GB2312" w:cs="仿宋_GB2312" w:eastAsia="仿宋_GB2312"/>
                <w:sz w:val="21"/>
                <w:b/>
              </w:rPr>
              <w:t>1.4.1评估</w:t>
            </w:r>
          </w:p>
          <w:p>
            <w:pPr>
              <w:pStyle w:val="null3"/>
              <w:ind w:firstLine="280"/>
              <w:jc w:val="left"/>
            </w:pPr>
            <w:r>
              <w:rPr>
                <w:rFonts w:ascii="仿宋_GB2312" w:hAnsi="仿宋_GB2312" w:cs="仿宋_GB2312" w:eastAsia="仿宋_GB2312"/>
                <w:sz w:val="21"/>
              </w:rPr>
              <w:t>居家养老上门服务机构按照《老年人能力评估规范》(GB/T42195-2022)标准，对提出申请的老年人进行评估，确定失能等级等，制定服务计划。</w:t>
            </w:r>
          </w:p>
          <w:p>
            <w:pPr>
              <w:pStyle w:val="null3"/>
              <w:jc w:val="left"/>
            </w:pPr>
            <w:r>
              <w:rPr>
                <w:rFonts w:ascii="仿宋_GB2312" w:hAnsi="仿宋_GB2312" w:cs="仿宋_GB2312" w:eastAsia="仿宋_GB2312"/>
                <w:sz w:val="21"/>
                <w:b/>
              </w:rPr>
              <w:t>1.4.2走访</w:t>
            </w:r>
          </w:p>
          <w:p>
            <w:pPr>
              <w:pStyle w:val="null3"/>
              <w:ind w:firstLine="280"/>
              <w:jc w:val="left"/>
            </w:pPr>
            <w:r>
              <w:rPr>
                <w:rFonts w:ascii="仿宋_GB2312" w:hAnsi="仿宋_GB2312" w:cs="仿宋_GB2312" w:eastAsia="仿宋_GB2312"/>
                <w:sz w:val="21"/>
              </w:rPr>
              <w:t>服务机构上门调研服务需求，了解老年人的身体状况和家庭居住环境等情况。</w:t>
            </w:r>
          </w:p>
          <w:p>
            <w:pPr>
              <w:pStyle w:val="null3"/>
              <w:jc w:val="left"/>
            </w:pPr>
            <w:r>
              <w:rPr>
                <w:rFonts w:ascii="仿宋_GB2312" w:hAnsi="仿宋_GB2312" w:cs="仿宋_GB2312" w:eastAsia="仿宋_GB2312"/>
                <w:sz w:val="21"/>
                <w:b/>
              </w:rPr>
              <w:t>1.4.3签订协议</w:t>
            </w:r>
          </w:p>
          <w:p>
            <w:pPr>
              <w:pStyle w:val="null3"/>
              <w:ind w:firstLine="560"/>
              <w:jc w:val="left"/>
            </w:pPr>
            <w:r>
              <w:rPr>
                <w:rFonts w:ascii="仿宋_GB2312" w:hAnsi="仿宋_GB2312" w:cs="仿宋_GB2312" w:eastAsia="仿宋_GB2312"/>
                <w:sz w:val="21"/>
              </w:rPr>
              <w:t>与老年人及家属协商确定服务计划后，服务机构与老年人或代理人签订服务，约定服务内容、服务方式等内容。</w:t>
            </w:r>
          </w:p>
          <w:p>
            <w:pPr>
              <w:pStyle w:val="null3"/>
              <w:jc w:val="left"/>
            </w:pPr>
            <w:r>
              <w:rPr>
                <w:rFonts w:ascii="仿宋_GB2312" w:hAnsi="仿宋_GB2312" w:cs="仿宋_GB2312" w:eastAsia="仿宋_GB2312"/>
                <w:sz w:val="21"/>
                <w:b/>
              </w:rPr>
              <w:t>1.4.4提供服务</w:t>
            </w:r>
          </w:p>
          <w:p>
            <w:pPr>
              <w:pStyle w:val="null3"/>
              <w:ind w:firstLine="280"/>
              <w:jc w:val="left"/>
            </w:pPr>
            <w:r>
              <w:rPr>
                <w:rFonts w:ascii="仿宋_GB2312" w:hAnsi="仿宋_GB2312" w:cs="仿宋_GB2312" w:eastAsia="仿宋_GB2312"/>
                <w:sz w:val="21"/>
              </w:rPr>
              <w:t>服务机构根据服务协议派出服务人员，为老年人提供专业照护服务。</w:t>
            </w:r>
          </w:p>
          <w:p>
            <w:pPr>
              <w:pStyle w:val="null3"/>
              <w:jc w:val="left"/>
            </w:pPr>
            <w:r>
              <w:rPr>
                <w:rFonts w:ascii="仿宋_GB2312" w:hAnsi="仿宋_GB2312" w:cs="仿宋_GB2312" w:eastAsia="仿宋_GB2312"/>
                <w:sz w:val="21"/>
                <w:b/>
              </w:rPr>
              <w:t>1.4.5质量跟踪</w:t>
            </w:r>
          </w:p>
          <w:p>
            <w:pPr>
              <w:pStyle w:val="null3"/>
              <w:ind w:firstLine="280"/>
              <w:jc w:val="left"/>
            </w:pPr>
            <w:r>
              <w:rPr>
                <w:rFonts w:ascii="仿宋_GB2312" w:hAnsi="仿宋_GB2312" w:cs="仿宋_GB2312" w:eastAsia="仿宋_GB2312"/>
                <w:sz w:val="21"/>
              </w:rPr>
              <w:t>服务机构应定期评估服务对象身体机能，根据服务对象的健康状况和服务需求的变化及时调整服务计划。</w:t>
            </w:r>
          </w:p>
          <w:p>
            <w:pPr>
              <w:pStyle w:val="null3"/>
              <w:jc w:val="left"/>
            </w:pPr>
            <w:r>
              <w:rPr>
                <w:rFonts w:ascii="仿宋_GB2312" w:hAnsi="仿宋_GB2312" w:cs="仿宋_GB2312" w:eastAsia="仿宋_GB2312"/>
                <w:sz w:val="21"/>
                <w:b/>
              </w:rPr>
              <w:t>1.4.6服务终止</w:t>
            </w:r>
          </w:p>
          <w:p>
            <w:pPr>
              <w:pStyle w:val="null3"/>
              <w:ind w:firstLine="280"/>
              <w:jc w:val="left"/>
            </w:pPr>
            <w:r>
              <w:rPr>
                <w:rFonts w:ascii="仿宋_GB2312" w:hAnsi="仿宋_GB2312" w:cs="仿宋_GB2312" w:eastAsia="仿宋_GB2312"/>
                <w:sz w:val="21"/>
              </w:rPr>
              <w:t>老年人服务未满 20次而去世、住院、搬家或出现其他妨碍服务持续的情形时，服务终止，服务机构要及时注销和及时更换服务对象。</w:t>
            </w:r>
          </w:p>
          <w:p>
            <w:pPr>
              <w:pStyle w:val="null3"/>
              <w:jc w:val="left"/>
            </w:pPr>
            <w:r>
              <w:rPr>
                <w:rFonts w:ascii="仿宋_GB2312" w:hAnsi="仿宋_GB2312" w:cs="仿宋_GB2312" w:eastAsia="仿宋_GB2312"/>
                <w:sz w:val="21"/>
                <w:b/>
              </w:rPr>
              <w:t>1.4.7验收</w:t>
            </w:r>
          </w:p>
          <w:p>
            <w:pPr>
              <w:pStyle w:val="null3"/>
              <w:ind w:firstLine="560"/>
              <w:jc w:val="left"/>
            </w:pPr>
            <w:r>
              <w:rPr>
                <w:rFonts w:ascii="仿宋_GB2312" w:hAnsi="仿宋_GB2312" w:cs="仿宋_GB2312" w:eastAsia="仿宋_GB2312"/>
                <w:sz w:val="21"/>
              </w:rPr>
              <w:t>实施项目县市相关部门对项目完成情况进行评估验收，将验收结果作为资金支付、项目竣工的主要依据。</w:t>
            </w:r>
          </w:p>
          <w:p>
            <w:pPr>
              <w:pStyle w:val="null3"/>
              <w:jc w:val="both"/>
            </w:pPr>
            <w:r>
              <w:rPr>
                <w:rFonts w:ascii="仿宋_GB2312" w:hAnsi="仿宋_GB2312" w:cs="仿宋_GB2312" w:eastAsia="仿宋_GB2312"/>
                <w:sz w:val="21"/>
                <w:b/>
              </w:rPr>
              <w:t>1.5居家养老上门服务基本项目参考清单</w:t>
            </w:r>
          </w:p>
          <w:tbl>
            <w:tblPr>
              <w:tblBorders>
                <w:top w:val="none" w:color="000000" w:sz="4"/>
                <w:left w:val="none" w:color="000000" w:sz="4"/>
                <w:bottom w:val="none" w:color="000000" w:sz="4"/>
                <w:right w:val="none" w:color="000000" w:sz="4"/>
                <w:insideH w:val="none"/>
                <w:insideV w:val="none"/>
              </w:tblBorders>
            </w:tblPr>
            <w:tblGrid>
              <w:gridCol w:w="310"/>
              <w:gridCol w:w="623"/>
              <w:gridCol w:w="1620"/>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r>
            <w:tr>
              <w:tc>
                <w:tcPr>
                  <w:tcW w:type="dxa" w:w="3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生活照料服务</w:t>
                  </w:r>
                </w:p>
              </w:tc>
              <w:tc>
                <w:tcPr>
                  <w:tcW w:type="dxa" w:w="6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助餐</w:t>
                  </w:r>
                </w:p>
              </w:tc>
              <w:tc>
                <w:tcPr>
                  <w:tcW w:type="dxa" w:w="1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烹饪服务、协助老年人前往老年助餐点就餐、送餐上门等</w:t>
                  </w:r>
                </w:p>
              </w:tc>
            </w:tr>
            <w:tr>
              <w:tc>
                <w:tcPr>
                  <w:tcW w:type="dxa" w:w="310"/>
                  <w:vMerge/>
                  <w:tcBorders>
                    <w:top w:val="none" w:color="000000" w:sz="4"/>
                    <w:left w:val="single" w:color="000000" w:sz="4"/>
                    <w:bottom w:val="none" w:color="000000" w:sz="4"/>
                    <w:right w:val="single" w:color="000000" w:sz="4"/>
                  </w:tcBorders>
                </w:tcPr>
                <w:p/>
              </w:tc>
              <w:tc>
                <w:tcPr>
                  <w:tcW w:type="dxa" w:w="623"/>
                  <w:vMerge/>
                  <w:tcBorders>
                    <w:top w:val="none" w:color="000000" w:sz="4"/>
                    <w:left w:val="none" w:color="000000" w:sz="4"/>
                    <w:bottom w:val="none" w:color="000000" w:sz="4"/>
                    <w:right w:val="single" w:color="000000" w:sz="4"/>
                  </w:tcBorders>
                </w:tcPr>
                <w:p/>
              </w:tc>
              <w:tc>
                <w:tcPr>
                  <w:tcW w:type="dxa" w:w="1620"/>
                  <w:vMerge/>
                  <w:tcBorders>
                    <w:top w:val="none" w:color="000000" w:sz="4"/>
                    <w:left w:val="none" w:color="000000" w:sz="4"/>
                    <w:bottom w:val="none" w:color="000000" w:sz="4"/>
                    <w:right w:val="single" w:color="000000" w:sz="4"/>
                  </w:tcBorders>
                </w:tcPr>
                <w:p/>
              </w:tc>
            </w:tr>
            <w:tr>
              <w:tc>
                <w:tcPr>
                  <w:tcW w:type="dxa" w:w="310"/>
                  <w:vMerge/>
                  <w:tcBorders>
                    <w:top w:val="none" w:color="000000" w:sz="4"/>
                    <w:left w:val="single" w:color="000000" w:sz="4"/>
                    <w:bottom w:val="none" w:color="000000" w:sz="4"/>
                    <w:right w:val="single" w:color="000000" w:sz="4"/>
                  </w:tcBorders>
                </w:tcPr>
                <w:p/>
              </w:tc>
              <w:tc>
                <w:tcPr>
                  <w:tcW w:type="dxa" w:w="6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助浴</w:t>
                  </w:r>
                </w:p>
              </w:tc>
              <w:tc>
                <w:tcPr>
                  <w:tcW w:type="dxa" w:w="1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上门助浴或协助前往老年人助浴点进行身体清洁等</w:t>
                  </w:r>
                </w:p>
              </w:tc>
            </w:tr>
            <w:tr>
              <w:tc>
                <w:tcPr>
                  <w:tcW w:type="dxa" w:w="310"/>
                  <w:vMerge/>
                  <w:tcBorders>
                    <w:top w:val="none" w:color="000000" w:sz="4"/>
                    <w:left w:val="single" w:color="000000" w:sz="4"/>
                    <w:bottom w:val="none" w:color="000000" w:sz="4"/>
                    <w:right w:val="single" w:color="000000" w:sz="4"/>
                  </w:tcBorders>
                </w:tcPr>
                <w:p/>
              </w:tc>
              <w:tc>
                <w:tcPr>
                  <w:tcW w:type="dxa" w:w="623"/>
                  <w:vMerge/>
                  <w:tcBorders>
                    <w:top w:val="none" w:color="000000" w:sz="4"/>
                    <w:left w:val="none" w:color="000000" w:sz="4"/>
                    <w:bottom w:val="none" w:color="000000" w:sz="4"/>
                    <w:right w:val="single" w:color="000000" w:sz="4"/>
                  </w:tcBorders>
                </w:tcPr>
                <w:p/>
              </w:tc>
              <w:tc>
                <w:tcPr>
                  <w:tcW w:type="dxa" w:w="1620"/>
                  <w:vMerge/>
                  <w:tcBorders>
                    <w:top w:val="none" w:color="000000" w:sz="4"/>
                    <w:left w:val="none" w:color="000000" w:sz="4"/>
                    <w:bottom w:val="none" w:color="000000" w:sz="4"/>
                    <w:right w:val="single" w:color="000000" w:sz="4"/>
                  </w:tcBorders>
                </w:tcP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普通助洁包括居家清洁、衣物洗涤、物品整理等。个人助洁包括洗漱、剪发剃须、洗脚剪指甲等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助行</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协助行走、陪伴外出、参加活动等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助急</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紧急呼叫、紧急转介等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助医</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陪同就医、治疗陪伴等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基础照护服务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排泄护理</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排尿护理、排便护理、排气护理等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护理协助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协助和指导翻身、拍背、褥疮预防等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康复护理</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包括康复评估、计划制定、康复指导、康复理疗等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探访关爱服务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远程服务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接受与协助老年人电话呼叫和紧急求助</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上门探访</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了解掌握老年人的健康状况、精神状况、安全情况、卫生状况、居室环境、服务需求等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健康管理服务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建立健康档案</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采集老年人的体检信息、既往疾病史等健康信息，建立老年人健康档案</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预防保健</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健康咨询、用药提醒、营养指导等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常规生理指数监测</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监测体温、体重、血压、呼吸、心率、血糖等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委托代办服务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代购日常用品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代购日常生活用品，纸品、果蔬等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代缴日常费用</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代缴水、电、暖气、通讯费等日常费用</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代订代取业务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代订车票、预约车辆，代取送信函、文件和物品等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代为申请服务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代为申请法律援助、救助服务等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精神慰藉服务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亲情陪护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定期协助有意愿的老年人外出活动或前往服务机构参加集体活动</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情绪疏导</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与老年人进行谈心、交流，耐心倾听老年人的诉说</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心理慰藉</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通过心理健康教育、心理干预手段调整老年人心理状态</w:t>
                  </w:r>
                </w:p>
              </w:tc>
            </w:tr>
            <w:tr>
              <w:tc>
                <w:tcPr>
                  <w:tcW w:type="dxa" w:w="3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其它</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水电、火灾安全隐患</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帮忙检查长者居住环境水电安全隐患及火灾安全隐患。</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根据老人需求提供协助。（不包含重体力劳动，如搬运重物）</w:t>
                  </w:r>
                </w:p>
              </w:tc>
            </w:tr>
          </w:tbl>
          <w:p>
            <w:pPr>
              <w:pStyle w:val="null3"/>
              <w:spacing w:after="120"/>
              <w:jc w:val="both"/>
            </w:pPr>
            <w:r>
              <w:rPr>
                <w:rFonts w:ascii="仿宋_GB2312" w:hAnsi="仿宋_GB2312" w:cs="仿宋_GB2312" w:eastAsia="仿宋_GB2312"/>
                <w:sz w:val="21"/>
                <w:b/>
              </w:rPr>
              <w:t>1.5</w:t>
            </w:r>
            <w:r>
              <w:rPr>
                <w:rFonts w:ascii="仿宋_GB2312" w:hAnsi="仿宋_GB2312" w:cs="仿宋_GB2312" w:eastAsia="仿宋_GB2312"/>
                <w:sz w:val="21"/>
                <w:b/>
              </w:rPr>
              <w:t>儋州市经济困难老年人居家养老上门服务申请表</w:t>
            </w:r>
          </w:p>
          <w:tbl>
            <w:tblPr>
              <w:tblBorders>
                <w:top w:val="none" w:color="000000" w:sz="4"/>
                <w:left w:val="none" w:color="000000" w:sz="4"/>
                <w:bottom w:val="none" w:color="000000" w:sz="4"/>
                <w:right w:val="none" w:color="000000" w:sz="4"/>
                <w:insideH w:val="none"/>
                <w:insideV w:val="none"/>
              </w:tblBorders>
            </w:tblPr>
            <w:tblGrid>
              <w:gridCol w:w="506"/>
              <w:gridCol w:w="181"/>
              <w:gridCol w:w="469"/>
              <w:gridCol w:w="217"/>
              <w:gridCol w:w="500"/>
              <w:gridCol w:w="500"/>
              <w:gridCol w:w="181"/>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老人姓名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性别</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户籍所在地</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身份证号</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申请服务</w:t>
                  </w:r>
                </w:p>
                <w:p>
                  <w:pPr>
                    <w:pStyle w:val="null3"/>
                    <w:jc w:val="center"/>
                  </w:pPr>
                  <w:r>
                    <w:rPr>
                      <w:rFonts w:ascii="仿宋_GB2312" w:hAnsi="仿宋_GB2312" w:cs="仿宋_GB2312" w:eastAsia="仿宋_GB2312"/>
                      <w:sz w:val="21"/>
                    </w:rPr>
                    <w:t>地址</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家庭联系人</w:t>
                  </w:r>
                </w:p>
              </w:tc>
              <w:tc>
                <w:tcPr>
                  <w:tcW w:type="dxa" w:w="6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68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身份特征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老年人能力评估情况：</w:t>
                  </w:r>
                </w:p>
                <w:p>
                  <w:pPr>
                    <w:pStyle w:val="null3"/>
                    <w:jc w:val="both"/>
                  </w:pPr>
                  <w:r>
                    <w:rPr>
                      <w:rFonts w:ascii="仿宋_GB2312" w:hAnsi="仿宋_GB2312" w:cs="仿宋_GB2312" w:eastAsia="仿宋_GB2312"/>
                      <w:sz w:val="21"/>
                      <w:color w:val="000000"/>
                    </w:rPr>
                    <w:t>□完全失能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□重度失能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□中度失能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□轻度失能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□能力完好</w:t>
                  </w:r>
                </w:p>
                <w:p>
                  <w:pPr>
                    <w:pStyle w:val="null3"/>
                    <w:jc w:val="both"/>
                  </w:pPr>
                  <w:r>
                    <w:rPr>
                      <w:rFonts w:ascii="仿宋_GB2312" w:hAnsi="仿宋_GB2312" w:cs="仿宋_GB2312" w:eastAsia="仿宋_GB2312"/>
                      <w:sz w:val="21"/>
                      <w:color w:val="000000"/>
                    </w:rPr>
                    <w:t>家庭情况：</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分散供养特困对象中失能、部分失能，以及中重度残疾老年人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城乡低保边缘对象中失能、部分失能，以及中重度残疾老年人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刚性支出家庭中失能、部分失能老年人家庭以及中重度残疾老年人</w:t>
                  </w:r>
                </w:p>
                <w:p>
                  <w:pPr>
                    <w:pStyle w:val="null3"/>
                    <w:jc w:val="both"/>
                  </w:pPr>
                  <w:r>
                    <w:rPr>
                      <w:rFonts w:ascii="仿宋_GB2312" w:hAnsi="仿宋_GB2312" w:cs="仿宋_GB2312" w:eastAsia="仿宋_GB2312"/>
                      <w:sz w:val="21"/>
                      <w:color w:val="000000"/>
                    </w:rPr>
                    <w:t xml:space="preserve">               (在所选项后口内划“√”，并附相关证明材料)</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申请服务</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 xml:space="preserve">本人及家庭成员自愿申请，接受市民政部门组织相关服务单位提供的生活照料、基础照护等居家养老上门服务。                                                   </w:t>
                  </w:r>
                </w:p>
                <w:p>
                  <w:pPr>
                    <w:pStyle w:val="null3"/>
                    <w:ind w:firstLine="420"/>
                    <w:jc w:val="left"/>
                  </w:pPr>
                  <w:r>
                    <w:rPr>
                      <w:rFonts w:ascii="仿宋_GB2312" w:hAnsi="仿宋_GB2312" w:cs="仿宋_GB2312" w:eastAsia="仿宋_GB2312"/>
                      <w:sz w:val="21"/>
                      <w:color w:val="000000"/>
                    </w:rPr>
                    <w:t>申请人签字：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社区（村）</w:t>
                  </w:r>
                  <w:r>
                    <w:br/>
                  </w:r>
                  <w:r>
                    <w:rPr>
                      <w:rFonts w:ascii="仿宋_GB2312" w:hAnsi="仿宋_GB2312" w:cs="仿宋_GB2312" w:eastAsia="仿宋_GB2312"/>
                      <w:sz w:val="21"/>
                      <w:color w:val="000000"/>
                    </w:rPr>
                    <w:t>初审意见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初审人签字：                                 初审单位（盖章）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镇（办事处）审核意见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审核人签字:                                  审核单位（盖章）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市民政局</w:t>
                  </w:r>
                </w:p>
                <w:p>
                  <w:pPr>
                    <w:pStyle w:val="null3"/>
                    <w:jc w:val="center"/>
                  </w:pPr>
                  <w:r>
                    <w:rPr>
                      <w:rFonts w:ascii="仿宋_GB2312" w:hAnsi="仿宋_GB2312" w:cs="仿宋_GB2312" w:eastAsia="仿宋_GB2312"/>
                      <w:sz w:val="21"/>
                      <w:color w:val="000000"/>
                    </w:rPr>
                    <w:t>审定意见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审批人签字:                                  审批单位（盖章）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标的名称：C99000000-其他服务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（1）技术要求</w:t>
            </w:r>
          </w:p>
          <w:p>
            <w:pPr>
              <w:pStyle w:val="null3"/>
              <w:jc w:val="both"/>
            </w:pPr>
            <w:r>
              <w:rPr>
                <w:rFonts w:ascii="仿宋_GB2312" w:hAnsi="仿宋_GB2312" w:cs="仿宋_GB2312" w:eastAsia="仿宋_GB2312"/>
                <w:sz w:val="21"/>
                <w:b/>
              </w:rPr>
              <w:t>1.1开展能力评估与需求评估</w:t>
            </w:r>
          </w:p>
          <w:p>
            <w:pPr>
              <w:pStyle w:val="null3"/>
              <w:ind w:firstLine="560"/>
              <w:jc w:val="left"/>
            </w:pPr>
            <w:r>
              <w:rPr>
                <w:rFonts w:ascii="仿宋_GB2312" w:hAnsi="仿宋_GB2312" w:cs="仿宋_GB2312" w:eastAsia="仿宋_GB2312"/>
                <w:sz w:val="21"/>
              </w:rPr>
              <w:t>对老年人身体状况开展能力评估。可依据《老年人能力评估规范》(GB/T 42195-2022)标准或本地其他相关标准，对项目服务对象的失能等级进行评估认定。对已开展过能力评估的老年人，可不重复评估。</w:t>
            </w:r>
          </w:p>
          <w:p>
            <w:pPr>
              <w:pStyle w:val="null3"/>
              <w:ind w:firstLine="560"/>
              <w:jc w:val="left"/>
            </w:pPr>
            <w:r>
              <w:rPr>
                <w:rFonts w:ascii="仿宋_GB2312" w:hAnsi="仿宋_GB2312" w:cs="仿宋_GB2312" w:eastAsia="仿宋_GB2312"/>
                <w:sz w:val="21"/>
              </w:rPr>
              <w:t>对老年人开展需求评估。按照老年人能力评估结果，结合老年人居住条件和经济收入水平情况，开展照护需求评估，并出具经老年人及其家属确认的照护需求评估结果。</w:t>
            </w:r>
          </w:p>
          <w:p>
            <w:pPr>
              <w:pStyle w:val="null3"/>
              <w:jc w:val="both"/>
            </w:pPr>
            <w:r>
              <w:rPr>
                <w:rFonts w:ascii="仿宋_GB2312" w:hAnsi="仿宋_GB2312" w:cs="仿宋_GB2312" w:eastAsia="仿宋_GB2312"/>
                <w:sz w:val="21"/>
                <w:b/>
              </w:rPr>
              <w:t>1.2提供居家养老上门服务</w:t>
            </w:r>
          </w:p>
          <w:p>
            <w:pPr>
              <w:pStyle w:val="null3"/>
              <w:ind w:firstLine="560"/>
              <w:jc w:val="left"/>
            </w:pPr>
            <w:r>
              <w:rPr>
                <w:rFonts w:ascii="仿宋_GB2312" w:hAnsi="仿宋_GB2312" w:cs="仿宋_GB2312" w:eastAsia="仿宋_GB2312"/>
                <w:sz w:val="21"/>
              </w:rPr>
              <w:t>纳入居家养老上门服务范围的服务对象,根据能力评估和需求评估结果，服务机构设置服务项目清单，由老年人或家属与服务机构签定服务协议，按协议内容为老年人提供</w:t>
            </w:r>
            <w:r>
              <w:rPr>
                <w:rFonts w:ascii="仿宋_GB2312" w:hAnsi="仿宋_GB2312" w:cs="仿宋_GB2312" w:eastAsia="仿宋_GB2312"/>
                <w:sz w:val="21"/>
                <w:b/>
              </w:rPr>
              <w:t>生活照料</w:t>
            </w:r>
            <w:r>
              <w:rPr>
                <w:rFonts w:ascii="仿宋_GB2312" w:hAnsi="仿宋_GB2312" w:cs="仿宋_GB2312" w:eastAsia="仿宋_GB2312"/>
                <w:sz w:val="21"/>
                <w:b/>
              </w:rPr>
              <w:t>、基础照护、探访关爱、健康管理、委托代办、精神慰藉</w:t>
            </w:r>
            <w:r>
              <w:rPr>
                <w:rFonts w:ascii="仿宋_GB2312" w:hAnsi="仿宋_GB2312" w:cs="仿宋_GB2312" w:eastAsia="仿宋_GB2312"/>
                <w:sz w:val="21"/>
              </w:rPr>
              <w:t>等居家养老上门服务。项目执行周期内须为老年人每人每月上门次数不高于5次。</w:t>
            </w:r>
          </w:p>
          <w:p>
            <w:pPr>
              <w:pStyle w:val="null3"/>
              <w:jc w:val="both"/>
            </w:pPr>
            <w:r>
              <w:rPr>
                <w:rFonts w:ascii="仿宋_GB2312" w:hAnsi="仿宋_GB2312" w:cs="仿宋_GB2312" w:eastAsia="仿宋_GB2312"/>
                <w:sz w:val="21"/>
                <w:b/>
              </w:rPr>
              <w:t>1.3实施效果监测评估</w:t>
            </w:r>
          </w:p>
          <w:p>
            <w:pPr>
              <w:pStyle w:val="null3"/>
              <w:ind w:firstLine="560"/>
              <w:jc w:val="left"/>
            </w:pPr>
            <w:r>
              <w:rPr>
                <w:rFonts w:ascii="仿宋_GB2312" w:hAnsi="仿宋_GB2312" w:cs="仿宋_GB2312" w:eastAsia="仿宋_GB2312"/>
                <w:sz w:val="21"/>
              </w:rPr>
              <w:t>全过程监管项目实施，强化项目跟踪监测和质量评估，严把服务质量关，对项目实施效果开展监测评估。</w:t>
            </w:r>
          </w:p>
          <w:p>
            <w:pPr>
              <w:pStyle w:val="null3"/>
              <w:jc w:val="both"/>
            </w:pPr>
            <w:r>
              <w:rPr>
                <w:rFonts w:ascii="仿宋_GB2312" w:hAnsi="仿宋_GB2312" w:cs="仿宋_GB2312" w:eastAsia="仿宋_GB2312"/>
                <w:sz w:val="21"/>
                <w:b/>
              </w:rPr>
              <w:t>1.4实施细则及流程</w:t>
            </w:r>
          </w:p>
          <w:p>
            <w:pPr>
              <w:pStyle w:val="null3"/>
              <w:jc w:val="left"/>
            </w:pPr>
            <w:r>
              <w:rPr>
                <w:rFonts w:ascii="仿宋_GB2312" w:hAnsi="仿宋_GB2312" w:cs="仿宋_GB2312" w:eastAsia="仿宋_GB2312"/>
                <w:sz w:val="21"/>
                <w:b/>
              </w:rPr>
              <w:t>1.4.1评估</w:t>
            </w:r>
          </w:p>
          <w:p>
            <w:pPr>
              <w:pStyle w:val="null3"/>
              <w:ind w:firstLine="280"/>
              <w:jc w:val="left"/>
            </w:pPr>
            <w:r>
              <w:rPr>
                <w:rFonts w:ascii="仿宋_GB2312" w:hAnsi="仿宋_GB2312" w:cs="仿宋_GB2312" w:eastAsia="仿宋_GB2312"/>
                <w:sz w:val="21"/>
              </w:rPr>
              <w:t>居家养老上门服务机构按照《老年人能力评估规范》(GB/T42195-2022)标准，对提出申请的老年人进行评估，确定失能等级等，制定服务计划。</w:t>
            </w:r>
          </w:p>
          <w:p>
            <w:pPr>
              <w:pStyle w:val="null3"/>
              <w:jc w:val="left"/>
            </w:pPr>
            <w:r>
              <w:rPr>
                <w:rFonts w:ascii="仿宋_GB2312" w:hAnsi="仿宋_GB2312" w:cs="仿宋_GB2312" w:eastAsia="仿宋_GB2312"/>
                <w:sz w:val="21"/>
                <w:b/>
              </w:rPr>
              <w:t>1.4.2走访</w:t>
            </w:r>
          </w:p>
          <w:p>
            <w:pPr>
              <w:pStyle w:val="null3"/>
              <w:ind w:firstLine="280"/>
              <w:jc w:val="left"/>
            </w:pPr>
            <w:r>
              <w:rPr>
                <w:rFonts w:ascii="仿宋_GB2312" w:hAnsi="仿宋_GB2312" w:cs="仿宋_GB2312" w:eastAsia="仿宋_GB2312"/>
                <w:sz w:val="21"/>
              </w:rPr>
              <w:t>服务机构上门调研服务需求，了解老年人的身体状况和家庭居住环境等情况。</w:t>
            </w:r>
          </w:p>
          <w:p>
            <w:pPr>
              <w:pStyle w:val="null3"/>
              <w:jc w:val="left"/>
            </w:pPr>
            <w:r>
              <w:rPr>
                <w:rFonts w:ascii="仿宋_GB2312" w:hAnsi="仿宋_GB2312" w:cs="仿宋_GB2312" w:eastAsia="仿宋_GB2312"/>
                <w:sz w:val="21"/>
                <w:b/>
              </w:rPr>
              <w:t>1.4.3签订协议</w:t>
            </w:r>
          </w:p>
          <w:p>
            <w:pPr>
              <w:pStyle w:val="null3"/>
              <w:ind w:firstLine="560"/>
              <w:jc w:val="left"/>
            </w:pPr>
            <w:r>
              <w:rPr>
                <w:rFonts w:ascii="仿宋_GB2312" w:hAnsi="仿宋_GB2312" w:cs="仿宋_GB2312" w:eastAsia="仿宋_GB2312"/>
                <w:sz w:val="21"/>
              </w:rPr>
              <w:t>与老年人及家属协商确定服务计划后，服务机构与老年人或代理人签订服务，约定服务内容、服务方式等内容。</w:t>
            </w:r>
          </w:p>
          <w:p>
            <w:pPr>
              <w:pStyle w:val="null3"/>
              <w:jc w:val="left"/>
            </w:pPr>
            <w:r>
              <w:rPr>
                <w:rFonts w:ascii="仿宋_GB2312" w:hAnsi="仿宋_GB2312" w:cs="仿宋_GB2312" w:eastAsia="仿宋_GB2312"/>
                <w:sz w:val="21"/>
                <w:b/>
              </w:rPr>
              <w:t>1.4.4提供服务</w:t>
            </w:r>
          </w:p>
          <w:p>
            <w:pPr>
              <w:pStyle w:val="null3"/>
              <w:ind w:firstLine="280"/>
              <w:jc w:val="left"/>
            </w:pPr>
            <w:r>
              <w:rPr>
                <w:rFonts w:ascii="仿宋_GB2312" w:hAnsi="仿宋_GB2312" w:cs="仿宋_GB2312" w:eastAsia="仿宋_GB2312"/>
                <w:sz w:val="21"/>
              </w:rPr>
              <w:t>服务机构根据服务协议派出服务人员，为老年人提供专业照护服务。</w:t>
            </w:r>
          </w:p>
          <w:p>
            <w:pPr>
              <w:pStyle w:val="null3"/>
              <w:jc w:val="left"/>
            </w:pPr>
            <w:r>
              <w:rPr>
                <w:rFonts w:ascii="仿宋_GB2312" w:hAnsi="仿宋_GB2312" w:cs="仿宋_GB2312" w:eastAsia="仿宋_GB2312"/>
                <w:sz w:val="21"/>
                <w:b/>
              </w:rPr>
              <w:t>1.4.5质量跟踪</w:t>
            </w:r>
          </w:p>
          <w:p>
            <w:pPr>
              <w:pStyle w:val="null3"/>
              <w:ind w:firstLine="280"/>
              <w:jc w:val="left"/>
            </w:pPr>
            <w:r>
              <w:rPr>
                <w:rFonts w:ascii="仿宋_GB2312" w:hAnsi="仿宋_GB2312" w:cs="仿宋_GB2312" w:eastAsia="仿宋_GB2312"/>
                <w:sz w:val="21"/>
              </w:rPr>
              <w:t>服务机构应定期评估服务对象身体机能，根据服务对象的健康状况和服务需求的变化及时调整服务计划。</w:t>
            </w:r>
          </w:p>
          <w:p>
            <w:pPr>
              <w:pStyle w:val="null3"/>
              <w:jc w:val="left"/>
            </w:pPr>
            <w:r>
              <w:rPr>
                <w:rFonts w:ascii="仿宋_GB2312" w:hAnsi="仿宋_GB2312" w:cs="仿宋_GB2312" w:eastAsia="仿宋_GB2312"/>
                <w:sz w:val="21"/>
                <w:b/>
              </w:rPr>
              <w:t>1.4.6服务终止</w:t>
            </w:r>
          </w:p>
          <w:p>
            <w:pPr>
              <w:pStyle w:val="null3"/>
              <w:ind w:firstLine="280"/>
              <w:jc w:val="left"/>
            </w:pPr>
            <w:r>
              <w:rPr>
                <w:rFonts w:ascii="仿宋_GB2312" w:hAnsi="仿宋_GB2312" w:cs="仿宋_GB2312" w:eastAsia="仿宋_GB2312"/>
                <w:sz w:val="21"/>
              </w:rPr>
              <w:t>老年人服务未满 20次而去世、住院、搬家或出现其他妨碍服务持续的情形时，服务终止，服务机构要及时注销和及时更换服务对象。</w:t>
            </w:r>
          </w:p>
          <w:p>
            <w:pPr>
              <w:pStyle w:val="null3"/>
              <w:jc w:val="left"/>
            </w:pPr>
            <w:r>
              <w:rPr>
                <w:rFonts w:ascii="仿宋_GB2312" w:hAnsi="仿宋_GB2312" w:cs="仿宋_GB2312" w:eastAsia="仿宋_GB2312"/>
                <w:sz w:val="21"/>
                <w:b/>
              </w:rPr>
              <w:t>1.4.7验收</w:t>
            </w:r>
          </w:p>
          <w:p>
            <w:pPr>
              <w:pStyle w:val="null3"/>
              <w:ind w:firstLine="560"/>
              <w:jc w:val="left"/>
            </w:pPr>
            <w:r>
              <w:rPr>
                <w:rFonts w:ascii="仿宋_GB2312" w:hAnsi="仿宋_GB2312" w:cs="仿宋_GB2312" w:eastAsia="仿宋_GB2312"/>
                <w:sz w:val="21"/>
              </w:rPr>
              <w:t>实施项目县市相关部门对项目完成情况进行评估验收，将验收结果作为资金支付、项目竣工的主要依据。</w:t>
            </w:r>
          </w:p>
          <w:p>
            <w:pPr>
              <w:pStyle w:val="null3"/>
              <w:jc w:val="both"/>
            </w:pPr>
            <w:r>
              <w:rPr>
                <w:rFonts w:ascii="仿宋_GB2312" w:hAnsi="仿宋_GB2312" w:cs="仿宋_GB2312" w:eastAsia="仿宋_GB2312"/>
                <w:sz w:val="21"/>
                <w:b/>
              </w:rPr>
              <w:t>1.5居家养老上门服务基本项目参考清单</w:t>
            </w:r>
          </w:p>
          <w:tbl>
            <w:tblPr>
              <w:tblBorders>
                <w:top w:val="none" w:color="000000" w:sz="4"/>
                <w:left w:val="none" w:color="000000" w:sz="4"/>
                <w:bottom w:val="none" w:color="000000" w:sz="4"/>
                <w:right w:val="none" w:color="000000" w:sz="4"/>
                <w:insideH w:val="none"/>
                <w:insideV w:val="none"/>
              </w:tblBorders>
            </w:tblPr>
            <w:tblGrid>
              <w:gridCol w:w="310"/>
              <w:gridCol w:w="623"/>
              <w:gridCol w:w="1620"/>
            </w:tblGrid>
            <w:tr>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服务内容</w:t>
                  </w:r>
                </w:p>
              </w:tc>
            </w:tr>
            <w:tr>
              <w:tc>
                <w:tcPr>
                  <w:tcW w:type="dxa" w:w="3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生活照料服务</w:t>
                  </w:r>
                </w:p>
              </w:tc>
              <w:tc>
                <w:tcPr>
                  <w:tcW w:type="dxa" w:w="6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助餐</w:t>
                  </w:r>
                </w:p>
              </w:tc>
              <w:tc>
                <w:tcPr>
                  <w:tcW w:type="dxa" w:w="1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烹饪服务、协助老年人前往老年助餐点就餐、送餐上门等</w:t>
                  </w:r>
                </w:p>
              </w:tc>
            </w:tr>
            <w:tr>
              <w:tc>
                <w:tcPr>
                  <w:tcW w:type="dxa" w:w="310"/>
                  <w:vMerge/>
                  <w:tcBorders>
                    <w:top w:val="none" w:color="000000" w:sz="4"/>
                    <w:left w:val="single" w:color="000000" w:sz="4"/>
                    <w:bottom w:val="none" w:color="000000" w:sz="4"/>
                    <w:right w:val="single" w:color="000000" w:sz="4"/>
                  </w:tcBorders>
                </w:tcPr>
                <w:p/>
              </w:tc>
              <w:tc>
                <w:tcPr>
                  <w:tcW w:type="dxa" w:w="623"/>
                  <w:vMerge/>
                  <w:tcBorders>
                    <w:top w:val="none" w:color="000000" w:sz="4"/>
                    <w:left w:val="none" w:color="000000" w:sz="4"/>
                    <w:bottom w:val="none" w:color="000000" w:sz="4"/>
                    <w:right w:val="single" w:color="000000" w:sz="4"/>
                  </w:tcBorders>
                </w:tcPr>
                <w:p/>
              </w:tc>
              <w:tc>
                <w:tcPr>
                  <w:tcW w:type="dxa" w:w="1620"/>
                  <w:vMerge/>
                  <w:tcBorders>
                    <w:top w:val="none" w:color="000000" w:sz="4"/>
                    <w:left w:val="none" w:color="000000" w:sz="4"/>
                    <w:bottom w:val="none" w:color="000000" w:sz="4"/>
                    <w:right w:val="single" w:color="000000" w:sz="4"/>
                  </w:tcBorders>
                </w:tcPr>
                <w:p/>
              </w:tc>
            </w:tr>
            <w:tr>
              <w:tc>
                <w:tcPr>
                  <w:tcW w:type="dxa" w:w="310"/>
                  <w:vMerge/>
                  <w:tcBorders>
                    <w:top w:val="none" w:color="000000" w:sz="4"/>
                    <w:left w:val="single" w:color="000000" w:sz="4"/>
                    <w:bottom w:val="none" w:color="000000" w:sz="4"/>
                    <w:right w:val="single" w:color="000000" w:sz="4"/>
                  </w:tcBorders>
                </w:tcPr>
                <w:p/>
              </w:tc>
              <w:tc>
                <w:tcPr>
                  <w:tcW w:type="dxa" w:w="62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助浴</w:t>
                  </w:r>
                </w:p>
              </w:tc>
              <w:tc>
                <w:tcPr>
                  <w:tcW w:type="dxa" w:w="16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上门助浴或协助前往老年人助浴点进行身体清洁等</w:t>
                  </w:r>
                </w:p>
              </w:tc>
            </w:tr>
            <w:tr>
              <w:tc>
                <w:tcPr>
                  <w:tcW w:type="dxa" w:w="310"/>
                  <w:vMerge/>
                  <w:tcBorders>
                    <w:top w:val="none" w:color="000000" w:sz="4"/>
                    <w:left w:val="single" w:color="000000" w:sz="4"/>
                    <w:bottom w:val="none" w:color="000000" w:sz="4"/>
                    <w:right w:val="single" w:color="000000" w:sz="4"/>
                  </w:tcBorders>
                </w:tcPr>
                <w:p/>
              </w:tc>
              <w:tc>
                <w:tcPr>
                  <w:tcW w:type="dxa" w:w="623"/>
                  <w:vMerge/>
                  <w:tcBorders>
                    <w:top w:val="none" w:color="000000" w:sz="4"/>
                    <w:left w:val="none" w:color="000000" w:sz="4"/>
                    <w:bottom w:val="none" w:color="000000" w:sz="4"/>
                    <w:right w:val="single" w:color="000000" w:sz="4"/>
                  </w:tcBorders>
                </w:tcPr>
                <w:p/>
              </w:tc>
              <w:tc>
                <w:tcPr>
                  <w:tcW w:type="dxa" w:w="1620"/>
                  <w:vMerge/>
                  <w:tcBorders>
                    <w:top w:val="none" w:color="000000" w:sz="4"/>
                    <w:left w:val="none" w:color="000000" w:sz="4"/>
                    <w:bottom w:val="none" w:color="000000" w:sz="4"/>
                    <w:right w:val="single" w:color="000000" w:sz="4"/>
                  </w:tcBorders>
                </w:tcP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普通助洁包括居家清洁、衣物洗涤、物品整理等。个人助洁包括洗漱、剪发剃须、洗脚剪指甲等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助行</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协助行走、陪伴外出、参加活动等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助急</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紧急呼叫、紧急转介等</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助医</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陪同就医、治疗陪伴等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基础照护服务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排泄护理</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排尿护理、排便护理、排气护理等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护理协助</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协助和指导翻身、拍背、褥疮预防等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康复护理</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包括康复评估、计划制定、康复指导、康复理疗等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探访关爱服务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远程服务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接受与协助老年人电话呼叫和紧急求助</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上门探访</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了解掌握老年人的健康状况、精神状况、安全情况、卫生状况、居室环境、服务需求等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健康管理服务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建立健康档案</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采集老年人的体检信息、既往疾病史等健康信息，建立老年人健康档案</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预防保健</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健康咨询、用药提醒、营养指导等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常规生理指数监测</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监测体温、体重、血压、呼吸、心率、血糖等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委托代办服务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代购日常用品</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代购日常生活用品，纸品、果蔬等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代缴日常费用</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代缴水、电、暖气、通讯费等日常费用</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代订代取业务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代订车票、预约车辆，代取送信函、文件和物品等</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代为申请服务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代为申请法律援助、救助服务等</w:t>
                  </w:r>
                </w:p>
              </w:tc>
            </w:tr>
            <w:tr>
              <w:tc>
                <w:tcPr>
                  <w:tcW w:type="dxa" w:w="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精神慰藉服务</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亲情陪护</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定期协助有意愿的老年人外出活动或前往服务机构参加集体活动</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情绪疏导</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与老年人进行谈心、交流，耐心倾听老年人的诉说</w:t>
                  </w:r>
                </w:p>
              </w:tc>
            </w:tr>
            <w:tr>
              <w:tc>
                <w:tcPr>
                  <w:tcW w:type="dxa" w:w="310"/>
                  <w:vMerge/>
                  <w:tcBorders>
                    <w:top w:val="none" w:color="000000" w:sz="4"/>
                    <w:left w:val="singl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心理慰藉</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通过心理健康教育、心理干预手段调整老年人心理状态</w:t>
                  </w:r>
                </w:p>
              </w:tc>
            </w:tr>
            <w:tr>
              <w:tc>
                <w:tcPr>
                  <w:tcW w:type="dxa" w:w="3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其它</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水电、火灾安全隐患</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帮忙检查长者居住环境水电安全隐患及火灾安全隐患。</w:t>
                  </w:r>
                </w:p>
              </w:tc>
            </w:tr>
            <w:tr>
              <w:tc>
                <w:tcPr>
                  <w:tcW w:type="dxa" w:w="310"/>
                  <w:vMerge/>
                  <w:tcBorders>
                    <w:top w:val="none" w:color="000000" w:sz="4"/>
                    <w:left w:val="singl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农务</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根据老人需求提供协助。（不包含重体力劳动，如搬运重物）</w:t>
                  </w:r>
                </w:p>
              </w:tc>
            </w:tr>
          </w:tbl>
          <w:p>
            <w:pPr>
              <w:pStyle w:val="null3"/>
              <w:spacing w:after="120"/>
              <w:jc w:val="both"/>
            </w:pPr>
            <w:r>
              <w:rPr>
                <w:rFonts w:ascii="仿宋_GB2312" w:hAnsi="仿宋_GB2312" w:cs="仿宋_GB2312" w:eastAsia="仿宋_GB2312"/>
                <w:sz w:val="21"/>
                <w:b/>
              </w:rPr>
              <w:t>1.5</w:t>
            </w:r>
            <w:r>
              <w:rPr>
                <w:rFonts w:ascii="仿宋_GB2312" w:hAnsi="仿宋_GB2312" w:cs="仿宋_GB2312" w:eastAsia="仿宋_GB2312"/>
                <w:sz w:val="21"/>
                <w:b/>
              </w:rPr>
              <w:t>儋州市经济困难老年人居家养老上门服务申请表</w:t>
            </w:r>
          </w:p>
          <w:tbl>
            <w:tblPr>
              <w:tblBorders>
                <w:top w:val="none" w:color="000000" w:sz="4"/>
                <w:left w:val="none" w:color="000000" w:sz="4"/>
                <w:bottom w:val="none" w:color="000000" w:sz="4"/>
                <w:right w:val="none" w:color="000000" w:sz="4"/>
                <w:insideH w:val="none"/>
                <w:insideV w:val="none"/>
              </w:tblBorders>
            </w:tblPr>
            <w:tblGrid>
              <w:gridCol w:w="506"/>
              <w:gridCol w:w="181"/>
              <w:gridCol w:w="469"/>
              <w:gridCol w:w="217"/>
              <w:gridCol w:w="500"/>
              <w:gridCol w:w="500"/>
              <w:gridCol w:w="181"/>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老人姓名</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性别</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户籍所在地</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身份证号</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申请服务</w:t>
                  </w:r>
                </w:p>
                <w:p>
                  <w:pPr>
                    <w:pStyle w:val="null3"/>
                    <w:jc w:val="center"/>
                  </w:pPr>
                  <w:r>
                    <w:rPr>
                      <w:rFonts w:ascii="仿宋_GB2312" w:hAnsi="仿宋_GB2312" w:cs="仿宋_GB2312" w:eastAsia="仿宋_GB2312"/>
                      <w:sz w:val="21"/>
                    </w:rPr>
                    <w:t>地址</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家庭联系人</w:t>
                  </w:r>
                </w:p>
              </w:tc>
              <w:tc>
                <w:tcPr>
                  <w:tcW w:type="dxa" w:w="65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联系电话</w:t>
                  </w:r>
                </w:p>
              </w:tc>
              <w:tc>
                <w:tcPr>
                  <w:tcW w:type="dxa" w:w="68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身份特征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老年人能力评估情况：</w:t>
                  </w:r>
                </w:p>
                <w:p>
                  <w:pPr>
                    <w:pStyle w:val="null3"/>
                    <w:jc w:val="both"/>
                  </w:pPr>
                  <w:r>
                    <w:rPr>
                      <w:rFonts w:ascii="仿宋_GB2312" w:hAnsi="仿宋_GB2312" w:cs="仿宋_GB2312" w:eastAsia="仿宋_GB2312"/>
                      <w:sz w:val="21"/>
                      <w:color w:val="000000"/>
                    </w:rPr>
                    <w:t>□完全失能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□重度失能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□中度失能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□轻度失能</w:t>
                  </w:r>
                  <w:r>
                    <w:rPr>
                      <w:rFonts w:ascii="仿宋_GB2312" w:hAnsi="仿宋_GB2312" w:cs="仿宋_GB2312" w:eastAsia="仿宋_GB2312"/>
                      <w:sz w:val="21"/>
                    </w:rPr>
                    <w:t xml:space="preserve"> </w:t>
                  </w:r>
                  <w:r>
                    <w:rPr>
                      <w:rFonts w:ascii="仿宋_GB2312" w:hAnsi="仿宋_GB2312" w:cs="仿宋_GB2312" w:eastAsia="仿宋_GB2312"/>
                      <w:sz w:val="21"/>
                      <w:color w:val="000000"/>
                    </w:rPr>
                    <w:t>□能力完好</w:t>
                  </w:r>
                </w:p>
                <w:p>
                  <w:pPr>
                    <w:pStyle w:val="null3"/>
                    <w:jc w:val="both"/>
                  </w:pPr>
                  <w:r>
                    <w:rPr>
                      <w:rFonts w:ascii="仿宋_GB2312" w:hAnsi="仿宋_GB2312" w:cs="仿宋_GB2312" w:eastAsia="仿宋_GB2312"/>
                      <w:sz w:val="21"/>
                      <w:color w:val="000000"/>
                    </w:rPr>
                    <w:t>家庭情况：</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分散供养特困对象中失能、部分失能，以及中重度残疾老年人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城乡低保边缘对象中失能、部分失能，以及中重度残疾老年人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刚性支出家庭中失能、部分失能老年人家庭以及中重度残疾老年人</w:t>
                  </w:r>
                </w:p>
                <w:p>
                  <w:pPr>
                    <w:pStyle w:val="null3"/>
                    <w:jc w:val="both"/>
                  </w:pPr>
                  <w:r>
                    <w:rPr>
                      <w:rFonts w:ascii="仿宋_GB2312" w:hAnsi="仿宋_GB2312" w:cs="仿宋_GB2312" w:eastAsia="仿宋_GB2312"/>
                      <w:sz w:val="21"/>
                      <w:color w:val="000000"/>
                    </w:rPr>
                    <w:t xml:space="preserve">               (在所选项后口内划“√”，并附相关证明材料)</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申请服务</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 xml:space="preserve">本人及家庭成员自愿申请，接受市民政部门组织相关服务单位提供的生活照料、基础照护等居家养老上门服务。                                                   </w:t>
                  </w:r>
                </w:p>
                <w:p>
                  <w:pPr>
                    <w:pStyle w:val="null3"/>
                    <w:ind w:firstLine="420"/>
                    <w:jc w:val="left"/>
                  </w:pPr>
                  <w:r>
                    <w:rPr>
                      <w:rFonts w:ascii="仿宋_GB2312" w:hAnsi="仿宋_GB2312" w:cs="仿宋_GB2312" w:eastAsia="仿宋_GB2312"/>
                      <w:sz w:val="21"/>
                      <w:color w:val="000000"/>
                    </w:rPr>
                    <w:t>申请人签字：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社区（村）</w:t>
                  </w:r>
                  <w:r>
                    <w:br/>
                  </w:r>
                  <w:r>
                    <w:rPr>
                      <w:rFonts w:ascii="仿宋_GB2312" w:hAnsi="仿宋_GB2312" w:cs="仿宋_GB2312" w:eastAsia="仿宋_GB2312"/>
                      <w:sz w:val="21"/>
                      <w:color w:val="000000"/>
                    </w:rPr>
                    <w:t>初审意见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初审人签字：                                 初审单位（盖章）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镇（办事处）审核意见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审核人签字:                                  审核单位（盖章）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市民政局</w:t>
                  </w:r>
                </w:p>
                <w:p>
                  <w:pPr>
                    <w:pStyle w:val="null3"/>
                    <w:jc w:val="center"/>
                  </w:pPr>
                  <w:r>
                    <w:rPr>
                      <w:rFonts w:ascii="仿宋_GB2312" w:hAnsi="仿宋_GB2312" w:cs="仿宋_GB2312" w:eastAsia="仿宋_GB2312"/>
                      <w:sz w:val="21"/>
                      <w:color w:val="000000"/>
                    </w:rPr>
                    <w:t>审定意见</w:t>
                  </w:r>
                </w:p>
              </w:tc>
              <w:tc>
                <w:tcPr>
                  <w:tcW w:type="dxa" w:w="2048"/>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审批人签字:                                  审批单位（盖章）</w:t>
                  </w:r>
                  <w:r>
                    <w:br/>
                  </w:r>
                  <w:r>
                    <w:rPr>
                      <w:rFonts w:ascii="仿宋_GB2312" w:hAnsi="仿宋_GB2312" w:cs="仿宋_GB2312" w:eastAsia="仿宋_GB2312"/>
                      <w:sz w:val="21"/>
                      <w:color w:val="000000"/>
                    </w:rPr>
                    <w:t xml:space="preserve">                                                  年    月    日</w:t>
                  </w: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2048"/>
                  <w:gridSpan w:val="6"/>
                  <w:vMerge/>
                  <w:tcBorders>
                    <w:top w:val="none" w:color="000000" w:sz="4"/>
                    <w:left w:val="none" w:color="000000" w:sz="4"/>
                    <w:bottom w:val="single" w:color="000000" w:sz="4"/>
                    <w:right w:val="single" w:color="000000" w:sz="4"/>
                  </w:tcBorders>
                </w:tcP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c>
                <w:tcPr>
                  <w:tcW w:type="dxa" w:w="204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2"/>
              <w:jc w:val="left"/>
            </w:pPr>
            <w:r>
              <w:rPr>
                <w:rFonts w:ascii="仿宋_GB2312" w:hAnsi="仿宋_GB2312" w:cs="仿宋_GB2312" w:eastAsia="仿宋_GB2312"/>
                <w:sz w:val="24"/>
              </w:rPr>
              <w:t>1.合同履行期限（服务期限）</w:t>
            </w:r>
            <w:r>
              <w:rPr>
                <w:rFonts w:ascii="仿宋_GB2312" w:hAnsi="仿宋_GB2312" w:cs="仿宋_GB2312" w:eastAsia="仿宋_GB2312"/>
                <w:sz w:val="24"/>
              </w:rPr>
              <w:t>：</w:t>
            </w:r>
            <w:r>
              <w:rPr>
                <w:rFonts w:ascii="仿宋_GB2312" w:hAnsi="仿宋_GB2312" w:cs="仿宋_GB2312" w:eastAsia="仿宋_GB2312"/>
                <w:sz w:val="24"/>
              </w:rPr>
              <w:t>自</w:t>
            </w:r>
            <w:r>
              <w:rPr>
                <w:rFonts w:ascii="仿宋_GB2312" w:hAnsi="仿宋_GB2312" w:cs="仿宋_GB2312" w:eastAsia="仿宋_GB2312"/>
                <w:sz w:val="24"/>
              </w:rPr>
              <w:t>合同签订生效之日起至</w:t>
            </w:r>
            <w:r>
              <w:rPr>
                <w:rFonts w:ascii="仿宋_GB2312" w:hAnsi="仿宋_GB2312" w:cs="仿宋_GB2312" w:eastAsia="仿宋_GB2312"/>
                <w:sz w:val="24"/>
              </w:rPr>
              <w:t>2026年10月</w:t>
            </w:r>
            <w:r>
              <w:rPr>
                <w:rFonts w:ascii="仿宋_GB2312" w:hAnsi="仿宋_GB2312" w:cs="仿宋_GB2312" w:eastAsia="仿宋_GB2312"/>
                <w:sz w:val="24"/>
              </w:rPr>
              <w:t>31日止；</w:t>
            </w:r>
          </w:p>
          <w:p>
            <w:pPr>
              <w:pStyle w:val="null3"/>
              <w:ind w:firstLine="480"/>
              <w:jc w:val="left"/>
            </w:pPr>
            <w:r>
              <w:rPr>
                <w:rFonts w:ascii="仿宋_GB2312" w:hAnsi="仿宋_GB2312" w:cs="仿宋_GB2312" w:eastAsia="仿宋_GB2312"/>
                <w:sz w:val="24"/>
              </w:rPr>
              <w:t>2.服务范围（服务地点）：采购人指定地点；</w:t>
            </w:r>
          </w:p>
          <w:p>
            <w:pPr>
              <w:pStyle w:val="null3"/>
              <w:ind w:firstLine="480"/>
              <w:jc w:val="left"/>
            </w:pPr>
            <w:r>
              <w:rPr>
                <w:rFonts w:ascii="仿宋_GB2312" w:hAnsi="仿宋_GB2312" w:cs="仿宋_GB2312" w:eastAsia="仿宋_GB2312"/>
                <w:sz w:val="24"/>
              </w:rPr>
              <w:t>3.付款方式：签订合同生效且开具发票后，达到付款条件起10日，支付合同总金额的40.00%预付款；任务完成80％后，拨付至合同总金额的75％进度款；项目完成且验收合格且供应商开具发票后，达到付款条件起10日，支付合同总金额的100.00%；</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严禁成交供应商将本项目合同转包或分包；</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成交供应商在</w:t>
            </w:r>
            <w:r>
              <w:rPr>
                <w:rFonts w:ascii="仿宋_GB2312" w:hAnsi="仿宋_GB2312" w:cs="仿宋_GB2312" w:eastAsia="仿宋_GB2312"/>
                <w:sz w:val="24"/>
              </w:rPr>
              <w:t>参与</w:t>
            </w:r>
            <w:r>
              <w:rPr>
                <w:rFonts w:ascii="仿宋_GB2312" w:hAnsi="仿宋_GB2312" w:cs="仿宋_GB2312" w:eastAsia="仿宋_GB2312"/>
                <w:sz w:val="24"/>
              </w:rPr>
              <w:t>本项目过程中，应严格遵守保密相关规定，对于采购人提供的任何形式的任何信息（包括技术信息和内容信息）均为保密信息，仅可用于完成本项目规定的工作任务；</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成交供应商应确保按时保质完成任务进度，对长时间达不到进度要求或结果质量经多次抽检</w:t>
            </w:r>
            <w:r>
              <w:rPr>
                <w:rFonts w:ascii="仿宋_GB2312" w:hAnsi="仿宋_GB2312" w:cs="仿宋_GB2312" w:eastAsia="仿宋_GB2312"/>
                <w:sz w:val="24"/>
              </w:rPr>
              <w:t>，</w:t>
            </w:r>
            <w:r>
              <w:rPr>
                <w:rFonts w:ascii="仿宋_GB2312" w:hAnsi="仿宋_GB2312" w:cs="仿宋_GB2312" w:eastAsia="仿宋_GB2312"/>
                <w:sz w:val="24"/>
              </w:rPr>
              <w:t>不合格</w:t>
            </w:r>
            <w:r>
              <w:rPr>
                <w:rFonts w:ascii="仿宋_GB2312" w:hAnsi="仿宋_GB2312" w:cs="仿宋_GB2312" w:eastAsia="仿宋_GB2312"/>
                <w:sz w:val="24"/>
              </w:rPr>
              <w:t>者</w:t>
            </w:r>
            <w:r>
              <w:rPr>
                <w:rFonts w:ascii="仿宋_GB2312" w:hAnsi="仿宋_GB2312" w:cs="仿宋_GB2312" w:eastAsia="仿宋_GB2312"/>
                <w:sz w:val="24"/>
              </w:rPr>
              <w:t>，采购人有权解除合同；</w:t>
            </w:r>
          </w:p>
          <w:p>
            <w:pPr>
              <w:pStyle w:val="null3"/>
              <w:jc w:val="left"/>
            </w:pPr>
            <w:r>
              <w:rPr>
                <w:rFonts w:ascii="仿宋_GB2312" w:hAnsi="仿宋_GB2312" w:cs="仿宋_GB2312" w:eastAsia="仿宋_GB2312"/>
                <w:sz w:val="24"/>
              </w:rPr>
              <w:t xml:space="preserve">   7.</w:t>
            </w:r>
            <w:r>
              <w:rPr>
                <w:rFonts w:ascii="仿宋_GB2312" w:hAnsi="仿宋_GB2312" w:cs="仿宋_GB2312" w:eastAsia="仿宋_GB2312"/>
                <w:sz w:val="24"/>
              </w:rPr>
              <w:t>成交供应商要保持同采购人的密切联系，遇有重大事项及时报告和反馈信息，尊重采购人的意见，接受采购人的提议、监督和指导</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80"/>
              <w:jc w:val="left"/>
            </w:pPr>
            <w:r>
              <w:rPr>
                <w:rFonts w:ascii="仿宋_GB2312" w:hAnsi="仿宋_GB2312" w:cs="仿宋_GB2312" w:eastAsia="仿宋_GB2312"/>
                <w:sz w:val="24"/>
              </w:rPr>
              <w:t>1.合同履行期限（服务期限）：自合同签订生效之日起至2026年10月31日止；</w:t>
            </w:r>
          </w:p>
          <w:p>
            <w:pPr>
              <w:pStyle w:val="null3"/>
              <w:ind w:firstLine="480"/>
              <w:jc w:val="left"/>
            </w:pPr>
            <w:r>
              <w:rPr>
                <w:rFonts w:ascii="仿宋_GB2312" w:hAnsi="仿宋_GB2312" w:cs="仿宋_GB2312" w:eastAsia="仿宋_GB2312"/>
                <w:sz w:val="24"/>
              </w:rPr>
              <w:t>2.服务范围（服务地点）：那大镇、南丰镇、和庆镇、兰洋镇、东成镇、雅星镇、大成镇、光村镇；</w:t>
            </w:r>
          </w:p>
          <w:p>
            <w:pPr>
              <w:pStyle w:val="null3"/>
              <w:ind w:firstLine="480"/>
              <w:jc w:val="left"/>
            </w:pPr>
            <w:r>
              <w:rPr>
                <w:rFonts w:ascii="仿宋_GB2312" w:hAnsi="仿宋_GB2312" w:cs="仿宋_GB2312" w:eastAsia="仿宋_GB2312"/>
                <w:sz w:val="24"/>
              </w:rPr>
              <w:t>3.付款方式：签订合同生效且开具发票后，达到付款条件起10日，支付合同总金额的40.00%预付款；任务完成80％后，拨付至合同总金额的75％进度款；项目完成且验收合格且供应商开具发票后，达到付款条件起10日，支付合同总金额的100.00%。</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严禁成交供应商将本项目合同转包或分包；</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成交供应商在</w:t>
            </w:r>
            <w:r>
              <w:rPr>
                <w:rFonts w:ascii="仿宋_GB2312" w:hAnsi="仿宋_GB2312" w:cs="仿宋_GB2312" w:eastAsia="仿宋_GB2312"/>
                <w:sz w:val="24"/>
              </w:rPr>
              <w:t>参与</w:t>
            </w:r>
            <w:r>
              <w:rPr>
                <w:rFonts w:ascii="仿宋_GB2312" w:hAnsi="仿宋_GB2312" w:cs="仿宋_GB2312" w:eastAsia="仿宋_GB2312"/>
                <w:sz w:val="24"/>
              </w:rPr>
              <w:t>本项目过程中，应严格遵守保密相关规定，对于采购人提供的任何形式的任何信息（包括技术信息和内容信息）均为保密信息，仅可用于完成本项目规定的工作任务。</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成交供应商应确保按时保质完成任务进度，对长时间达不到进度要求或结果质量经多次抽检</w:t>
            </w:r>
            <w:r>
              <w:rPr>
                <w:rFonts w:ascii="仿宋_GB2312" w:hAnsi="仿宋_GB2312" w:cs="仿宋_GB2312" w:eastAsia="仿宋_GB2312"/>
                <w:sz w:val="24"/>
              </w:rPr>
              <w:t>，</w:t>
            </w:r>
            <w:r>
              <w:rPr>
                <w:rFonts w:ascii="仿宋_GB2312" w:hAnsi="仿宋_GB2312" w:cs="仿宋_GB2312" w:eastAsia="仿宋_GB2312"/>
                <w:sz w:val="24"/>
              </w:rPr>
              <w:t>不合格</w:t>
            </w:r>
            <w:r>
              <w:rPr>
                <w:rFonts w:ascii="仿宋_GB2312" w:hAnsi="仿宋_GB2312" w:cs="仿宋_GB2312" w:eastAsia="仿宋_GB2312"/>
                <w:sz w:val="24"/>
              </w:rPr>
              <w:t>者</w:t>
            </w:r>
            <w:r>
              <w:rPr>
                <w:rFonts w:ascii="仿宋_GB2312" w:hAnsi="仿宋_GB2312" w:cs="仿宋_GB2312" w:eastAsia="仿宋_GB2312"/>
                <w:sz w:val="24"/>
              </w:rPr>
              <w:t>，采购人有权解除合同。</w:t>
            </w:r>
          </w:p>
          <w:p>
            <w:pPr>
              <w:pStyle w:val="null3"/>
              <w:jc w:val="left"/>
            </w:pPr>
            <w:r>
              <w:rPr>
                <w:rFonts w:ascii="仿宋_GB2312" w:hAnsi="仿宋_GB2312" w:cs="仿宋_GB2312" w:eastAsia="仿宋_GB2312"/>
                <w:sz w:val="24"/>
              </w:rPr>
              <w:t xml:space="preserve">  7.</w:t>
            </w:r>
            <w:r>
              <w:rPr>
                <w:rFonts w:ascii="仿宋_GB2312" w:hAnsi="仿宋_GB2312" w:cs="仿宋_GB2312" w:eastAsia="仿宋_GB2312"/>
                <w:sz w:val="24"/>
              </w:rPr>
              <w:t>成交供应商要保持同采购人的密切联系，遇有重大事项及时报告和反馈信息，尊重采购人的意见，接受采购人的提议、监督和指导</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ind w:firstLine="480"/>
              <w:jc w:val="left"/>
            </w:pPr>
            <w:r>
              <w:rPr>
                <w:rFonts w:ascii="仿宋_GB2312" w:hAnsi="仿宋_GB2312" w:cs="仿宋_GB2312" w:eastAsia="仿宋_GB2312"/>
                <w:sz w:val="24"/>
              </w:rPr>
              <w:t>1.合同履行期限（服务期限）：自合同签订生效之日起至2026年10月31日止；</w:t>
            </w:r>
          </w:p>
          <w:p>
            <w:pPr>
              <w:pStyle w:val="null3"/>
              <w:spacing w:before="105" w:after="105"/>
              <w:ind w:firstLine="480"/>
              <w:jc w:val="left"/>
            </w:pPr>
            <w:r>
              <w:rPr>
                <w:rFonts w:ascii="仿宋_GB2312" w:hAnsi="仿宋_GB2312" w:cs="仿宋_GB2312" w:eastAsia="仿宋_GB2312"/>
                <w:sz w:val="24"/>
              </w:rPr>
              <w:t>2.服务范围（服务地点）：白马井镇、排浦镇、新州镇、峨蔓镇、木棠镇、王五镇、海头镇、中和镇、新英湾办事处、干冲办事处、三都办事处；</w:t>
            </w:r>
          </w:p>
          <w:p>
            <w:pPr>
              <w:pStyle w:val="null3"/>
              <w:spacing w:before="105" w:after="105"/>
              <w:ind w:firstLine="480"/>
              <w:jc w:val="left"/>
            </w:pPr>
            <w:r>
              <w:rPr>
                <w:rFonts w:ascii="仿宋_GB2312" w:hAnsi="仿宋_GB2312" w:cs="仿宋_GB2312" w:eastAsia="仿宋_GB2312"/>
                <w:sz w:val="24"/>
              </w:rPr>
              <w:t>3.付款方式：签订合同生效且开具发票后，达到付款条件起10日，支付合同总金额的40.00%预付款；任务完成80％后，拨付至合同总金额的75％进度款；项目完成且验收合格且供应商开具发票后，达到付款条件起10日，支付合同总金额的100.00%。</w:t>
            </w:r>
          </w:p>
          <w:p>
            <w:pPr>
              <w:pStyle w:val="null3"/>
              <w:spacing w:before="105" w:after="105"/>
              <w:ind w:firstLine="480"/>
              <w:jc w:val="left"/>
            </w:pPr>
            <w:r>
              <w:rPr>
                <w:rFonts w:ascii="仿宋_GB2312" w:hAnsi="仿宋_GB2312" w:cs="仿宋_GB2312" w:eastAsia="仿宋_GB2312"/>
                <w:sz w:val="24"/>
              </w:rPr>
              <w:t>4.严禁成交供应商将本项目合同转包或分包；</w:t>
            </w:r>
          </w:p>
          <w:p>
            <w:pPr>
              <w:pStyle w:val="null3"/>
              <w:spacing w:before="105" w:after="105"/>
              <w:ind w:firstLine="480"/>
              <w:jc w:val="left"/>
            </w:pPr>
            <w:r>
              <w:rPr>
                <w:rFonts w:ascii="仿宋_GB2312" w:hAnsi="仿宋_GB2312" w:cs="仿宋_GB2312" w:eastAsia="仿宋_GB2312"/>
                <w:sz w:val="24"/>
              </w:rPr>
              <w:t>5.成交供应商在参与本项目过程中，应严格遵守保密相关规定，对于采购人提供的任何形式的任何信息（包括技术信息和内容信息）均为保密信息，仅可用于完成本项目规定的工作任务。</w:t>
            </w:r>
          </w:p>
          <w:p>
            <w:pPr>
              <w:pStyle w:val="null3"/>
              <w:spacing w:before="105" w:after="105"/>
              <w:ind w:firstLine="480"/>
              <w:jc w:val="left"/>
            </w:pPr>
            <w:r>
              <w:rPr>
                <w:rFonts w:ascii="仿宋_GB2312" w:hAnsi="仿宋_GB2312" w:cs="仿宋_GB2312" w:eastAsia="仿宋_GB2312"/>
                <w:sz w:val="24"/>
              </w:rPr>
              <w:t>6.成交供应商应确保按时保质完成任务进度，对长时间达不到进度要求或结果质量经多次抽检，不合格者，采购人有权解除合同。</w:t>
            </w:r>
          </w:p>
          <w:p>
            <w:pPr>
              <w:pStyle w:val="null3"/>
              <w:spacing w:before="105" w:after="105"/>
              <w:ind w:firstLine="480"/>
              <w:jc w:val="left"/>
            </w:pPr>
            <w:r>
              <w:rPr>
                <w:rFonts w:ascii="仿宋_GB2312" w:hAnsi="仿宋_GB2312" w:cs="仿宋_GB2312" w:eastAsia="仿宋_GB2312"/>
                <w:sz w:val="24"/>
              </w:rPr>
              <w:t>7.成交供应商要保持同采购人的密切联系，遇有重大事项及时报告和反馈信息，尊重采购人的意见，接受采购人的提议、监督和指导。</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1"/>
        </w:rPr>
        <w:t>1.其他未尽事宜由采购双方在合同中详细约定。</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相关条款承诺书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相关条款承诺书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相关条款承诺书</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本项目不接受联合体投标。（提供承诺函，加盖单位公章）</w:t>
            </w:r>
          </w:p>
        </w:tc>
        <w:tc>
          <w:tcPr>
            <w:tcW w:type="dxa" w:w="3322"/>
          </w:tcPr>
          <w:p>
            <w:pPr>
              <w:pStyle w:val="null3"/>
              <w:jc w:val="left"/>
            </w:pPr>
            <w:r>
              <w:rPr>
                <w:rFonts w:ascii="仿宋_GB2312" w:hAnsi="仿宋_GB2312" w:cs="仿宋_GB2312" w:eastAsia="仿宋_GB2312"/>
              </w:rPr>
              <w:t>本项目不接受联合体投标。</w:t>
            </w:r>
          </w:p>
        </w:tc>
        <w:tc>
          <w:tcPr>
            <w:tcW w:type="dxa" w:w="1661"/>
          </w:tcPr>
          <w:p>
            <w:pPr>
              <w:pStyle w:val="null3"/>
              <w:jc w:val="left"/>
            </w:pPr>
            <w:r>
              <w:rPr>
                <w:rFonts w:ascii="仿宋_GB2312" w:hAnsi="仿宋_GB2312" w:cs="仿宋_GB2312" w:eastAsia="仿宋_GB2312"/>
              </w:rPr>
              <w:t>不接受联合体投标承诺函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本项目不接受联合体投标。（提供承诺函，加盖单位公章）</w:t>
            </w:r>
          </w:p>
        </w:tc>
        <w:tc>
          <w:tcPr>
            <w:tcW w:type="dxa" w:w="3322"/>
          </w:tcPr>
          <w:p>
            <w:pPr>
              <w:pStyle w:val="null3"/>
              <w:jc w:val="left"/>
            </w:pPr>
            <w:r>
              <w:rPr>
                <w:rFonts w:ascii="仿宋_GB2312" w:hAnsi="仿宋_GB2312" w:cs="仿宋_GB2312" w:eastAsia="仿宋_GB2312"/>
              </w:rPr>
              <w:t>本项目不接受联合体投标。</w:t>
            </w:r>
          </w:p>
        </w:tc>
        <w:tc>
          <w:tcPr>
            <w:tcW w:type="dxa" w:w="1661"/>
          </w:tcPr>
          <w:p>
            <w:pPr>
              <w:pStyle w:val="null3"/>
              <w:jc w:val="left"/>
            </w:pPr>
            <w:r>
              <w:rPr>
                <w:rFonts w:ascii="仿宋_GB2312" w:hAnsi="仿宋_GB2312" w:cs="仿宋_GB2312" w:eastAsia="仿宋_GB2312"/>
              </w:rPr>
              <w:t>不接受联合体投标承诺函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本项目不接受联合体投标。（提供承诺函，加盖单位公章）</w:t>
            </w:r>
          </w:p>
        </w:tc>
        <w:tc>
          <w:tcPr>
            <w:tcW w:type="dxa" w:w="3322"/>
          </w:tcPr>
          <w:p>
            <w:pPr>
              <w:pStyle w:val="null3"/>
              <w:jc w:val="left"/>
            </w:pPr>
            <w:r>
              <w:rPr>
                <w:rFonts w:ascii="仿宋_GB2312" w:hAnsi="仿宋_GB2312" w:cs="仿宋_GB2312" w:eastAsia="仿宋_GB2312"/>
              </w:rPr>
              <w:t>本项目不接受联合体投标。</w:t>
            </w:r>
          </w:p>
        </w:tc>
        <w:tc>
          <w:tcPr>
            <w:tcW w:type="dxa" w:w="1661"/>
          </w:tcPr>
          <w:p>
            <w:pPr>
              <w:pStyle w:val="null3"/>
              <w:jc w:val="left"/>
            </w:pPr>
            <w:r>
              <w:rPr>
                <w:rFonts w:ascii="仿宋_GB2312" w:hAnsi="仿宋_GB2312" w:cs="仿宋_GB2312" w:eastAsia="仿宋_GB2312"/>
              </w:rPr>
              <w:t>不接受联合体投标承诺函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 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相关条款承诺书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 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相关条款承诺书</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相关条款承诺书</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投标（响应）报价明细表 开标（报价）一览表 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中小企业声明函 商务应答表 自觉抵制政府采购领域商业贿赂行为承诺书 封面 商业信誉、财务会计制度、缴纳税收和社保的承诺函 具有独立承担民事责任的能力证明文件 供应商承诺函 磋商保证金缴纳证明材料 投标（响应）报价明细表 其他材料 残疾人福利性单位声明函 供应商应提交的相关证明材料 无重大违法记录声明函 法定代表人资格证明书或法定代表人授权委托书 相关条款承诺书 监狱企业的证明文件 具备履行合同所必需设备和专业技术能力的声明函 技术参数响应表 不接受联合体投标承诺函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相关条款承诺书</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相关条款承诺书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技术部分75.00分</w:t>
            </w:r>
          </w:p>
          <w:p>
            <w:pPr>
              <w:pStyle w:val="null3"/>
              <w:jc w:val="left"/>
            </w:pPr>
            <w:r>
              <w:rPr>
                <w:rFonts w:ascii="仿宋_GB2312" w:hAnsi="仿宋_GB2312" w:cs="仿宋_GB2312" w:eastAsia="仿宋_GB2312"/>
              </w:rPr>
              <w:t>商务部分15.00分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根据供应商提供项目实施方案进行赋分，内容包括但不限于①项目改造方案；②入户调查方案；③养老床位改造；④居家场景改造(包括地面、墙体、卧室、客厅、厨房、卫生间等)；⑤项目重点难点分析等。 供应商提交完整科学合理的项目实施方案的得25分，如第①—⑤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项目售后服务方案</w:t>
            </w:r>
          </w:p>
        </w:tc>
        <w:tc>
          <w:tcPr>
            <w:tcW w:type="dxa" w:w="2492"/>
          </w:tcPr>
          <w:p>
            <w:pPr>
              <w:pStyle w:val="null3"/>
              <w:jc w:val="left"/>
            </w:pPr>
            <w:r>
              <w:rPr>
                <w:rFonts w:ascii="仿宋_GB2312" w:hAnsi="仿宋_GB2312" w:cs="仿宋_GB2312" w:eastAsia="仿宋_GB2312"/>
              </w:rPr>
              <w:t>根据供应商提供项目售后服务方案进行赋分，内容包括但不限于①项目服务理念；②服务承诺；③服务质量控制的相关制度与规范；④服务响应时间；⑤服务跟踪管理等。 供应商提交完整科学合理的项目售后服务方案的得25分，如第①—⑤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项目应急方案</w:t>
            </w:r>
          </w:p>
        </w:tc>
        <w:tc>
          <w:tcPr>
            <w:tcW w:type="dxa" w:w="2492"/>
          </w:tcPr>
          <w:p>
            <w:pPr>
              <w:pStyle w:val="null3"/>
              <w:jc w:val="left"/>
            </w:pPr>
            <w:r>
              <w:rPr>
                <w:rFonts w:ascii="仿宋_GB2312" w:hAnsi="仿宋_GB2312" w:cs="仿宋_GB2312" w:eastAsia="仿宋_GB2312"/>
              </w:rPr>
              <w:t>根据供应商提供项目应急方案进行赋分，内容包括但不限于①应急管理体系；②应急处置预案；③重大事故紧急方案；④现场突发事件处置方案；⑤事件调查及善后处理等。 供应商提交完整科学合理的项目应急方案的得25分，如第①—⑤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供应商2023年1月1日至今所承担类似项目业绩，每提供一个得5分，满分15分，不提供不得分。 证明材料：中标（成交）通知书或合同（时间以合同签订时间为主）复印件加盖公章，不提供不得分。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中小企业声明函</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居家上门服务方案</w:t>
            </w:r>
          </w:p>
        </w:tc>
        <w:tc>
          <w:tcPr>
            <w:tcW w:type="dxa" w:w="2492"/>
          </w:tcPr>
          <w:p>
            <w:pPr>
              <w:pStyle w:val="null3"/>
              <w:jc w:val="left"/>
            </w:pPr>
            <w:r>
              <w:rPr>
                <w:rFonts w:ascii="仿宋_GB2312" w:hAnsi="仿宋_GB2312" w:cs="仿宋_GB2312" w:eastAsia="仿宋_GB2312"/>
              </w:rPr>
              <w:t>根据供应商提供居家上门服务方案进行赋分，内容包括但不限于①生活护理服务方案；②康复训练服务方案；③日常照料管理服务方案；④健康关爱管理服务方案；⑤医 疗护理服务方案等。 供应商提交完整科学合理的居家上门服务方案的得25分，如第①—⑤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项目管理制度</w:t>
            </w:r>
          </w:p>
        </w:tc>
        <w:tc>
          <w:tcPr>
            <w:tcW w:type="dxa" w:w="2492"/>
          </w:tcPr>
          <w:p>
            <w:pPr>
              <w:pStyle w:val="null3"/>
              <w:jc w:val="left"/>
            </w:pPr>
            <w:r>
              <w:rPr>
                <w:rFonts w:ascii="仿宋_GB2312" w:hAnsi="仿宋_GB2312" w:cs="仿宋_GB2312" w:eastAsia="仿宋_GB2312"/>
              </w:rPr>
              <w:t>根据供应商提供项目管理制度进行赋分，内容包括但不限于①项目管理制度；②内部管理机制；③老人分级护理和照护管理规范等制度；④人员考核管理制度及档案管理等。 供应商提交完整科学合理的项目管理制度的得20分，如第①—④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项目应急预案</w:t>
            </w:r>
          </w:p>
        </w:tc>
        <w:tc>
          <w:tcPr>
            <w:tcW w:type="dxa" w:w="2492"/>
          </w:tcPr>
          <w:p>
            <w:pPr>
              <w:pStyle w:val="null3"/>
              <w:jc w:val="left"/>
            </w:pPr>
            <w:r>
              <w:rPr>
                <w:rFonts w:ascii="仿宋_GB2312" w:hAnsi="仿宋_GB2312" w:cs="仿宋_GB2312" w:eastAsia="仿宋_GB2312"/>
              </w:rPr>
              <w:t>根据供应商提供项目应急预案进行赋分，内容包括但不限于①突发卫生事件应急预案；②紧急医疗应急预案；③老年人心理应急预案等。 供应商提交完整科学合理的项目应急预案的得15分，如第①—③项，每提供一项得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供应商2023年1月1日至今所承担过类似项目业绩，每提供一个得5分，满分15分，不提供不得分。 证明材料：中标（成交）通知书或合同（时间以合同签订时间为主）复印件加盖公章，不提供不得分。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492"/>
          </w:tcPr>
          <w:p>
            <w:pPr>
              <w:pStyle w:val="null3"/>
              <w:jc w:val="left"/>
            </w:pPr>
            <w:r>
              <w:rPr>
                <w:rFonts w:ascii="仿宋_GB2312" w:hAnsi="仿宋_GB2312" w:cs="仿宋_GB2312" w:eastAsia="仿宋_GB2312"/>
              </w:rPr>
              <w:t>供应商拟投入本项目服务团队具备从事医护健康服务管理或养老服务管理或老年保健与管理或老年社会工作等具有相关专业背景的至少5人，配备齐全的得15分，若缺少一个扣3分，本项最高得15分。 证明材料：同一人员具备多项证书，按一项证书计分。提供服务团队相关证书（相关学历证书和培训证书或资格证书复印件）、身份证复印件、近一个月在本单位缴纳的社保证明或劳动合同复印件加盖公章，未提供或不按要求提供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技术部分60.00分</w:t>
            </w:r>
          </w:p>
          <w:p>
            <w:pPr>
              <w:pStyle w:val="null3"/>
              <w:jc w:val="left"/>
            </w:pPr>
            <w:r>
              <w:rPr>
                <w:rFonts w:ascii="仿宋_GB2312" w:hAnsi="仿宋_GB2312" w:cs="仿宋_GB2312" w:eastAsia="仿宋_GB2312"/>
              </w:rPr>
              <w:t>商务部分30.00分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居家上门服务方案</w:t>
            </w:r>
          </w:p>
        </w:tc>
        <w:tc>
          <w:tcPr>
            <w:tcW w:type="dxa" w:w="2492"/>
          </w:tcPr>
          <w:p>
            <w:pPr>
              <w:pStyle w:val="null3"/>
              <w:jc w:val="left"/>
            </w:pPr>
            <w:r>
              <w:rPr>
                <w:rFonts w:ascii="仿宋_GB2312" w:hAnsi="仿宋_GB2312" w:cs="仿宋_GB2312" w:eastAsia="仿宋_GB2312"/>
              </w:rPr>
              <w:t>根据供应商提供居家上门服务方案进行赋分，内容包括但不限于①生活护理服务方案；②康复训练服务方案；③日常照料管理服务方案；④健康关爱管理服务方案；⑤医疗护理服务方案等。 供应商提交完整科学合理的居家上门服务方案的得25分，如第①—⑤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项目管理制度</w:t>
            </w:r>
          </w:p>
        </w:tc>
        <w:tc>
          <w:tcPr>
            <w:tcW w:type="dxa" w:w="2492"/>
          </w:tcPr>
          <w:p>
            <w:pPr>
              <w:pStyle w:val="null3"/>
              <w:jc w:val="left"/>
            </w:pPr>
            <w:r>
              <w:rPr>
                <w:rFonts w:ascii="仿宋_GB2312" w:hAnsi="仿宋_GB2312" w:cs="仿宋_GB2312" w:eastAsia="仿宋_GB2312"/>
              </w:rPr>
              <w:t>根据供应商提供项目管理制度进行赋分，内容包括但不限于①项目管理制度；②内部管理机制；③老人分级护理和照护管理规范等制度；④人员考核管理制度及档案管理等。 供应商提交完整科学合理的项目管理制度的得20分，如第①—④项，每提供一项得5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项目应急预案</w:t>
            </w:r>
          </w:p>
        </w:tc>
        <w:tc>
          <w:tcPr>
            <w:tcW w:type="dxa" w:w="2492"/>
          </w:tcPr>
          <w:p>
            <w:pPr>
              <w:pStyle w:val="null3"/>
              <w:jc w:val="left"/>
            </w:pPr>
            <w:r>
              <w:rPr>
                <w:rFonts w:ascii="仿宋_GB2312" w:hAnsi="仿宋_GB2312" w:cs="仿宋_GB2312" w:eastAsia="仿宋_GB2312"/>
              </w:rPr>
              <w:t>根据供应商提供项目应急预案进行赋分，内容包括但不限于①突发卫生事件应急预案；②紧急医疗应急预案；③老年人心理应急预案等。 供应商提交完整科学合理的项目应急预案的得15分，如第①—③项，每提供一项得分，每缺少一项扣5分；方案内容存在一处缺陷（缺陷是指方案内容不符合采购项目的具体特点、与采购项目实际需要不相适应、与合同履行无关、凭空编造、方案中内容前后不一致、前后逻辑错误等情形）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类似项目业绩</w:t>
            </w:r>
          </w:p>
        </w:tc>
        <w:tc>
          <w:tcPr>
            <w:tcW w:type="dxa" w:w="2492"/>
          </w:tcPr>
          <w:p>
            <w:pPr>
              <w:pStyle w:val="null3"/>
              <w:jc w:val="left"/>
            </w:pPr>
            <w:r>
              <w:rPr>
                <w:rFonts w:ascii="仿宋_GB2312" w:hAnsi="仿宋_GB2312" w:cs="仿宋_GB2312" w:eastAsia="仿宋_GB2312"/>
              </w:rPr>
              <w:t>供应商2023年1月1日至今所承担过类似项目业绩，每提供一个得5分，满分15分，不提供不得分。 证明材料：中标（成交）通知书或合同（时间以合同签订时间为主）复印件加盖公章，不提供不得分。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服务团队</w:t>
            </w:r>
          </w:p>
        </w:tc>
        <w:tc>
          <w:tcPr>
            <w:tcW w:type="dxa" w:w="2492"/>
          </w:tcPr>
          <w:p>
            <w:pPr>
              <w:pStyle w:val="null3"/>
              <w:jc w:val="left"/>
            </w:pPr>
            <w:r>
              <w:rPr>
                <w:rFonts w:ascii="仿宋_GB2312" w:hAnsi="仿宋_GB2312" w:cs="仿宋_GB2312" w:eastAsia="仿宋_GB2312"/>
              </w:rPr>
              <w:t>供应商拟投入本项目服务团队具备从事医护健康服务管理或养老服务管理或老年保健与管理或老年社会工作等具有相关专业背景的至少5人，配备齐全的得15分，若缺少一个扣3分，本项最高得15分。 证明材料：同一人员具备多项证书，按一项证书计分。提供服务团队相关证书（相关学历证书和培训证书或资格证书复印件）、身份证复印件、近一个月在本单位缴纳的社保证明或劳动合同复印件加盖公章，未提供或不按要求提供证明材料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中小企业声明函</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详见附件：2026年居家和社区基本养老服务提升项目合同文本（模板）.docx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HNXHY2026-008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2026年居家和社区基本养老服务提升项目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2026年居家和社区基本养老服务提升项目-1包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150.00元/户</w:t>
            </w:r>
          </w:p>
        </w:tc>
        <w:tc>
          <w:tcPr>
            <w:tcW w:type="dxa" w:w="1038"/>
          </w:tcPr>
          <w:p>
            <w:pPr>
              <w:pStyle w:val="null3"/>
              <w:jc w:val="left"/>
            </w:pPr>
            <w:r>
              <w:rPr>
                <w:rFonts w:ascii="仿宋_GB2312" w:hAnsi="仿宋_GB2312" w:cs="仿宋_GB2312" w:eastAsia="仿宋_GB2312"/>
              </w:rPr>
              <w:t xml:space="preserve"> 750000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HNXHY2026-008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2026年居家和社区基本养老服务提升项目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2026年居家和社区基本养老服务提升项目-2包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C05010400-养老服务</w:t>
            </w:r>
          </w:p>
        </w:tc>
        <w:tc>
          <w:tcPr>
            <w:tcW w:type="dxa" w:w="1038"/>
          </w:tcPr>
          <w:p>
            <w:pPr>
              <w:pStyle w:val="null3"/>
              <w:jc w:val="left"/>
            </w:pPr>
            <w:r>
              <w:rPr>
                <w:rFonts w:ascii="仿宋_GB2312" w:hAnsi="仿宋_GB2312" w:cs="仿宋_GB2312" w:eastAsia="仿宋_GB2312"/>
              </w:rPr>
              <w:t xml:space="preserve"> 500.00元/人</w:t>
            </w:r>
          </w:p>
        </w:tc>
        <w:tc>
          <w:tcPr>
            <w:tcW w:type="dxa" w:w="1038"/>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HNXHY2026-008</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2026年居家和社区基本养老服务提升项目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2026年居家和社区基本养老服务提升项目-3包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C99000000-其他服务</w:t>
            </w:r>
          </w:p>
        </w:tc>
        <w:tc>
          <w:tcPr>
            <w:tcW w:type="dxa" w:w="1038"/>
          </w:tcPr>
          <w:p>
            <w:pPr>
              <w:pStyle w:val="null3"/>
              <w:jc w:val="left"/>
            </w:pPr>
            <w:r>
              <w:rPr>
                <w:rFonts w:ascii="仿宋_GB2312" w:hAnsi="仿宋_GB2312" w:cs="仿宋_GB2312" w:eastAsia="仿宋_GB2312"/>
              </w:rPr>
              <w:t xml:space="preserve"> 500.00元/人</w:t>
            </w:r>
          </w:p>
        </w:tc>
        <w:tc>
          <w:tcPr>
            <w:tcW w:type="dxa" w:w="1038"/>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详见附件：相关条款承诺书</w:t>
      </w:r>
    </w:p>
    <w:p>
      <w:pPr>
        <w:pStyle w:val="null3"/>
        <w:ind w:firstLine="960"/>
        <w:jc w:val="left"/>
      </w:pPr>
      <w:r>
        <w:rPr>
          <w:rFonts w:ascii="仿宋_GB2312" w:hAnsi="仿宋_GB2312" w:cs="仿宋_GB2312" w:eastAsia="仿宋_GB2312"/>
        </w:rPr>
        <w:t>详见附件：不接受联合体投标承诺函</w:t>
      </w:r>
    </w:p>
    <w:p>
      <w:pPr>
        <w:pStyle w:val="null3"/>
        <w:ind w:firstLine="960"/>
        <w:jc w:val="left"/>
      </w:pPr>
      <w:r>
        <w:rPr>
          <w:rFonts w:ascii="仿宋_GB2312" w:hAnsi="仿宋_GB2312" w:cs="仿宋_GB2312" w:eastAsia="仿宋_GB2312"/>
        </w:rPr>
        <w:t>详见附件：相关条款承诺书</w:t>
      </w:r>
    </w:p>
    <w:p>
      <w:pPr>
        <w:pStyle w:val="null3"/>
        <w:ind w:firstLine="960"/>
        <w:jc w:val="left"/>
      </w:pPr>
      <w:r>
        <w:rPr>
          <w:rFonts w:ascii="仿宋_GB2312" w:hAnsi="仿宋_GB2312" w:cs="仿宋_GB2312" w:eastAsia="仿宋_GB2312"/>
        </w:rPr>
        <w:t>详见附件：不接受联合体投标承诺函</w:t>
      </w:r>
    </w:p>
    <w:p>
      <w:pPr>
        <w:pStyle w:val="null3"/>
        <w:ind w:firstLine="960"/>
        <w:jc w:val="left"/>
      </w:pPr>
      <w:r>
        <w:rPr>
          <w:rFonts w:ascii="仿宋_GB2312" w:hAnsi="仿宋_GB2312" w:cs="仿宋_GB2312" w:eastAsia="仿宋_GB2312"/>
        </w:rPr>
        <w:t>详见附件：相关条款承诺书</w:t>
      </w:r>
    </w:p>
    <w:p>
      <w:pPr>
        <w:pStyle w:val="null3"/>
        <w:ind w:firstLine="960"/>
        <w:jc w:val="left"/>
      </w:pPr>
      <w:r>
        <w:rPr>
          <w:rFonts w:ascii="仿宋_GB2312" w:hAnsi="仿宋_GB2312" w:cs="仿宋_GB2312" w:eastAsia="仿宋_GB2312"/>
        </w:rPr>
        <w:t>详见附件：不接受联合体投标承诺函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