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儋州市东成镇茅坡村委会供水管道改造工程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[HZHN-2024]20250800001[CS]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儋州市水务项目建设管理中心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海招（海南）企业咨询有限公司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儋州市水务项目建设管理中心</w:t>
      </w:r>
      <w:r>
        <w:rPr>
          <w:rFonts w:ascii="仿宋_GB2312" w:hAnsi="仿宋_GB2312" w:cs="仿宋_GB2312" w:eastAsia="仿宋_GB2312"/>
        </w:rPr>
        <w:t xml:space="preserve"> 的委托， </w:t>
      </w:r>
      <w:r>
        <w:rPr>
          <w:rFonts w:ascii="仿宋_GB2312" w:hAnsi="仿宋_GB2312" w:cs="仿宋_GB2312" w:eastAsia="仿宋_GB2312"/>
        </w:rPr>
        <w:t>海招（海南）企业咨询有限公司</w:t>
      </w:r>
      <w:r>
        <w:rPr>
          <w:rFonts w:ascii="仿宋_GB2312" w:hAnsi="仿宋_GB2312" w:cs="仿宋_GB2312" w:eastAsia="仿宋_GB2312"/>
        </w:rPr>
        <w:t xml:space="preserve"> 对 </w:t>
      </w:r>
      <w:r>
        <w:rPr>
          <w:rFonts w:ascii="仿宋_GB2312" w:hAnsi="仿宋_GB2312" w:cs="仿宋_GB2312" w:eastAsia="仿宋_GB2312"/>
        </w:rPr>
        <w:t>儋州市东成镇茅坡村委会供水管道改造工程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[HZHN-2024]20250800001[CS]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儋州市东成镇茅坡村委会供水管道改造工程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2,128,927.03元</w:t>
      </w:r>
      <w:r>
        <w:rPr>
          <w:rFonts w:ascii="仿宋_GB2312" w:hAnsi="仿宋_GB2312" w:cs="仿宋_GB2312" w:eastAsia="仿宋_GB2312"/>
        </w:rPr>
        <w:t>贰佰壹拾贰万捌仟玖佰贰拾柒元零叁分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审查：（1）具备国家行政主管部门颁发的安全生产许可证且在有效期内，具备建设行政主管部门核发的市政公用工程施工总承包叁级或以上资质或（根据《住房和城乡建设部关于印发建设工程企业资质管理制度改革方案的通知》【建市〔2020〕94 号】已换发新证取得相应资质（提供证书复印件并加盖公章）。（2）拟派项目经理（项目负责人）须具备市政公用工程专业二级或以上建造师注册证书，且未担任其他在施工程项目的项目经理（项目负责人），（提供建造师注册证书复印件及未在建承诺函加盖公章）。（3）本项目接受联合体投标。联合体投标的，应满足下列要求：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三、联合体各方应当共同与采购人签订采购合同，就采购合同约定的事项对采购人承担连带责任。</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 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儋州市水务项目建设管理中心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海南省儋州市文化北路1号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0898-23331290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海招（海南）企业咨询有限公司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海南省海口市美兰区海甸街道五西路13号C3008号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18389295650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采购包1：2,128,927.03元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说明：银行保函或商业保险保函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本响应文件的有效期为从响应截止日期起计算的90天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甲乙双方按各自承担的义务。甲方在乙方移交招标汇总成果后7个工作日内一次性支付代理服务费，本项目预算审核报告的施工招标代理费80%计取。（备注：最终合同金额以施工中标金额为基数，按《关于降低部分招标代理服务收费标准的通知》（琼价费管〔2011〕225号）计算后的80%与预算审核报告的施工招标代理费80%相比较低者结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1、本项目为专门面向中小企业采购项目，不在进行投标报价扣除，如不提供则按无效投标处理。 2、根据关于印发《海南省组织贫困劳动力积极务工专项行动工作方案》琼脱贫指〔2020〕5 号的通知，所有投标单位参与投标时，在投标文件中须提供“若中标本项目，新招劳动力优先考虑贫困劳动力，且贫困劳动力不低于新招录人员数量的10%”的承诺，承诺函具体格式由供应商自拟。 3、《海南省房屋建筑和市政工程工程量清单招标投标评标办法》第二十三条规定：“投标报价应由注册在本单位的一级或二级造价工程师使用本单位实名的计价软件编制。委托工程造价咨询企业编制的，应在投标文件中提供加盖双方单位公章的委托书，并在已标价工程量清单上加盖负责编制的工程造价咨询企业公章以及负责审核的一级注册造价师执业印章”。根据上述规定，若供应商的投标报价文件由本企业的造价人员编制，则由造价工程师签字并加盖职业专用章，以及在本单位缴交社保证明。若供应商的投标报价文件委托造价机构编制的，则应提供委托造价合同，且造价文件由两名造价员（即编制人、复核人）签字并加盖执业专用章。 供应商未按前述要求编制造价文件的，导致评审小组无法认定、无法评审或者做将其无效响应处理的，由此产生的一切后果由供应商自行承担。供应商、造价人员、造价机构（如有）应在工程量清单签署页签章，工程量清单中《总价措施项目清单与计价表》和《规费、税金项目计价表》的“编制人(造价人员)”及“复核人(造价工程师)”一栏不做签字或盖章要求。 4、供应商应当根据《海南省建筑企业诚信档案手册管理办法》的规定，通过省住房和城乡建设厅网站（http://www.hnjst.gov.cn/）登录海南省房屋建筑工程全过程监管信息平台填报项目名称、项目地址、派驻的项目班子人员信息，打印生成诚信档案手册，诚信档案手册须在响应文件中体现； 5、项目管理机构最低人员配备要求：（1）项目负责人（项目经理）1名：具备市政公用工程专业二级或以上注册建造师执业资格，且未担任其他在施建设工程项目的项目经理【证明材料：提供无在建项目的承诺书、注册证书及身份证、2025年1月至今任意一个月在本单位缴纳社保证明，提供复印件加盖公章】、 （2）项目技术负责人1名：投标人拟派项目技术负责人须具备市政工程类专业中级或以上技术职称；【证明材料：提供职称证书及身份证复印件加盖公章、2025年1月至今任意一个月在本单位缴纳社保证明，提供复印件加盖公章】、 （3）施工员1名、安全员1名、质量员1名、资料员☆1名、劳资专管员1名、机械管理员☆1名（“☆”表示岗位可以兼任的人数）。【证明材料：提供岗位证书复印件加盖公章（劳资专管员如已开展劳资专管员岗位培训的地区，提供岗位相关证书；未开展劳资专管员岗位培训的地区，只需提供该岗位人员身份证、供应商自行出具的岗位任命书），2025年1月至今任意一个月在本单位缴纳社保证明，提供复印件加盖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联系电话：0898-23331290</w:t>
      </w:r>
    </w:p>
    <w:p>
      <w:pPr>
        <w:pStyle w:val="null3"/>
        <w:jc w:val="left"/>
      </w:pPr>
      <w:r>
        <w:rPr>
          <w:rFonts w:ascii="仿宋_GB2312" w:hAnsi="仿宋_GB2312" w:cs="仿宋_GB2312" w:eastAsia="仿宋_GB2312"/>
        </w:rPr>
        <w:t>地址：海南省儋州市文化北路1号</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主要包含</w:t>
      </w:r>
      <w:r>
        <w:rPr>
          <w:rFonts w:ascii="仿宋_GB2312" w:hAnsi="仿宋_GB2312" w:cs="仿宋_GB2312" w:eastAsia="仿宋_GB2312"/>
          <w:sz w:val="28"/>
        </w:rPr>
        <w:t>本工程属于管网延伸工程，东成水厂现状配水管道已延伸至茅坡村委会世茂坡村村口处和天角潭管养所门口、本工程分别在世茂坡村村口和天角潭管养所门口处的现状配水管道上就近接驳</w:t>
      </w:r>
      <w:r>
        <w:rPr>
          <w:rFonts w:ascii="仿宋_GB2312" w:hAnsi="仿宋_GB2312" w:cs="仿宋_GB2312" w:eastAsia="仿宋_GB2312"/>
          <w:sz w:val="28"/>
        </w:rPr>
        <w:t>,新建配水管道沿着现状道路敷设至各个自然村(天角潭管养所),在各个自然村(天角潭管养所)内新建村内管道、入户水表组及其附属工程</w:t>
      </w:r>
      <w:r>
        <w:rPr>
          <w:rFonts w:ascii="仿宋_GB2312" w:hAnsi="仿宋_GB2312" w:cs="仿宋_GB2312" w:eastAsia="仿宋_GB2312"/>
          <w:sz w:val="28"/>
        </w:rPr>
        <w:t>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2,128,927.03</w:t>
      </w:r>
    </w:p>
    <w:p>
      <w:pPr>
        <w:pStyle w:val="null3"/>
        <w:jc w:val="left"/>
      </w:pPr>
      <w:r>
        <w:rPr>
          <w:rFonts w:ascii="仿宋_GB2312" w:hAnsi="仿宋_GB2312" w:cs="仿宋_GB2312" w:eastAsia="仿宋_GB2312"/>
        </w:rPr>
        <w:t>采购包最高限价（元）: 2,128,927.03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B02130103-市内供水管道铺设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2,128,927.03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B02130103-市内供水管道铺设</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2,128,927.03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具体详见工程量清单及施工图</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标的名称：B02130103-市内供水管道铺设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 供应商应提交的相关证明材料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资格审查</w:t>
            </w:r>
          </w:p>
        </w:tc>
        <w:tc>
          <w:tcPr>
            <w:tcW w:type="dxa" w:w="3322"/>
          </w:tcPr>
          <w:p>
            <w:pPr>
              <w:pStyle w:val="null3"/>
              <w:jc w:val="left"/>
            </w:pPr>
            <w:r>
              <w:rPr>
                <w:rFonts w:ascii="仿宋_GB2312" w:hAnsi="仿宋_GB2312" w:cs="仿宋_GB2312" w:eastAsia="仿宋_GB2312"/>
              </w:rPr>
              <w:t>（1）具备国家行政主管部门颁发的安全生产许可证且在有效期内，具备建设行政主管部门核发的市政公用工程施工总承包叁级或以上资质或（根据《住房和城乡建设部关于印发建设工程企业资质管理制度改革方案的通知》【建市〔2020〕94 号】已换发新证取得相应资质（提供证书复印件并加盖公章）。（2）拟派项目经理（项目负责人）须具备市政公用工程专业二级或以上建造师注册证书，且未担任其他在施工程项目的项目经理（项目负责人），（提供建造师注册证书复印件及未在建承诺函加盖公章）。（3）本项目接受联合体投标。联合体投标的，应满足下列要求：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三、联合体各方应当共同与采购人签订采购合同，就采购合同约定的事项对采购人承担连带责任。</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中小企业声明函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项目管理人员情况表 中小企业声明函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项目管理人员情况表 中小企业声明函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项目管理人员情况表 中小企业声明函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1、主要施工方案与技术措施</w:t>
            </w:r>
          </w:p>
        </w:tc>
        <w:tc>
          <w:tcPr>
            <w:tcW w:type="dxa" w:w="2492"/>
          </w:tcPr>
          <w:p>
            <w:pPr>
              <w:pStyle w:val="null3"/>
              <w:jc w:val="left"/>
            </w:pPr>
            <w:r>
              <w:rPr>
                <w:rFonts w:ascii="仿宋_GB2312" w:hAnsi="仿宋_GB2312" w:cs="仿宋_GB2312" w:eastAsia="仿宋_GB2312"/>
              </w:rPr>
              <w:t>供应商提供主要施工方案与技术措施，方案中包含但不限于工程特点、施工重点与难点及绿色施工等，根据方案科学、合理等相关因素进行横向比较评分： A.施工方案（含工程特点、施工重点与难点及绿色施工）总体安排合理，运用先进、合理的施工工艺、施工机械；对施工难点有先进和合理的建议，混凝土施工质量保证（含大体积混凝土质量、混凝土外观质量等）措施、方案可靠、经济、安全、切实可行、措施得力；对现场保护等提出科学、合理方案，得10分； B. 施工方案（含工程特点、施工重点与难点及绿色施工）总体安排比较合理，运用合理的施工工艺、施工机械；对施工难点有建议，混凝土质量保证（含大体积混凝土质量、混凝土外观质量等）措施、方案基本可行；对现场保护等方案一般，得7分； C. 施工总体安排不合理，施工工艺、施工机械不合理；对施工难点无建议，混凝土质量保证（含大体积混凝土质量、混凝土外观质量等）措施、线形控制方案不可行；对现场保护等未提出方案，得3分； D.未提供者不得分。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2、质量管理体系与措施</w:t>
            </w:r>
          </w:p>
        </w:tc>
        <w:tc>
          <w:tcPr>
            <w:tcW w:type="dxa" w:w="2492"/>
          </w:tcPr>
          <w:p>
            <w:pPr>
              <w:pStyle w:val="null3"/>
              <w:jc w:val="left"/>
            </w:pPr>
            <w:r>
              <w:rPr>
                <w:rFonts w:ascii="仿宋_GB2312" w:hAnsi="仿宋_GB2312" w:cs="仿宋_GB2312" w:eastAsia="仿宋_GB2312"/>
              </w:rPr>
              <w:t>供应商提供质量管理体系与措施，方案中包含但不限于质量监控系统、联络协调系统等，根据方案具体、可行等相关因素进行横向比较评分： A. 组织机构形式合理，有完善的指挥系统、质量监控系统、联络协调系统，对项目提出先进、可行、具体的保证措施，按照工程建设强制性标准和其他技术标准施工，不得偷工减料；工程质量高于招标文件的质量要求，得9分； B. 组织机构形式基本合理，指挥系统、质量监控系统、联络协调系统，具体措施可行，符合工程建设强制性标准，不得偷工减料；工程质量基本满足招标文件的质量要求，得6分； C. 组织机构形式不合理，有指挥系统、监控系统、联络协调系统不齐全，具体措施不可行，不能满足招标文件的质量要求，得3分； D.未提供者不得分。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3、安全管理体系与措施</w:t>
            </w:r>
          </w:p>
        </w:tc>
        <w:tc>
          <w:tcPr>
            <w:tcW w:type="dxa" w:w="2492"/>
          </w:tcPr>
          <w:p>
            <w:pPr>
              <w:pStyle w:val="null3"/>
              <w:jc w:val="left"/>
            </w:pPr>
            <w:r>
              <w:rPr>
                <w:rFonts w:ascii="仿宋_GB2312" w:hAnsi="仿宋_GB2312" w:cs="仿宋_GB2312" w:eastAsia="仿宋_GB2312"/>
              </w:rPr>
              <w:t>供应商提供安全管理体系与措施，方案中包含但不限于安全生产保障体系、施工安全生产目标、现场管理人员安全生产职责等，根据方案详细、具体等相关因素进行横向比较评分： A. 建立施工安全生产保障体系，施工安全生产目标、现场管理人员安全生产职责明确，针对工程特点、周边环境和施工工艺，确定危险源并制定详细、具体的防护措施，方案先进、可行，得9分； B. 有施工安全生产保障体系，施工安全生产目标、现场管理人员安全生产职责不够明确，针对工程特点、周边环境和施工工艺，确定危险源并制定具体的防护措施，方案基本可行，得6分； C. 缺少施工安全生产保障体系，施工安全生产目标、现场管理人员安全生产职责不明确，缺少对工程特点、周边环境和施工工艺，确定危险源并制定具体的防护措施，得3分； D.未提供者不得分。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4、文明施工、环境保护管理体系及施工现场扬尘治理措施</w:t>
            </w:r>
          </w:p>
        </w:tc>
        <w:tc>
          <w:tcPr>
            <w:tcW w:type="dxa" w:w="2492"/>
          </w:tcPr>
          <w:p>
            <w:pPr>
              <w:pStyle w:val="null3"/>
              <w:jc w:val="left"/>
            </w:pPr>
            <w:r>
              <w:rPr>
                <w:rFonts w:ascii="仿宋_GB2312" w:hAnsi="仿宋_GB2312" w:cs="仿宋_GB2312" w:eastAsia="仿宋_GB2312"/>
              </w:rPr>
              <w:t>供应商提供文明施工、环境保护管理体系及施工现场扬尘治理措施，方案中包含但不限于创文明工地目标、施工现场扬尘治理及建筑垃圾分类减量等，根据方案科学、先进等相关因素进行横向比较评分： A. 针对项目实际情况，有先进、具体、完整、可行的措施，采用规范准确、清晰。创文明工地目标明确，临时设施、现场道路、建筑材料堆放等应符合有关文明施工、健康卫生的规定。施工现场扬尘治理及建筑垃圾分类减量等措施科学、先进，达到内部标准化、外部景观化、无露土、干净整齐等“净化、绿化、亮化”效果，得9分； B. 有基本合理的文明施工措施，采用规范准确。创文明工地目标不够明确，临时设施、现场道路、建筑材料堆放等基本符合有关文明施工、健康卫生的规定。施工现场扬尘治理及建筑垃圾分类减量措施一般，得6分； C. 文明施工措施不力、或采用规范不正确。缺少创文明工地目标，临时设施、现场道路、建筑材料堆放等不符合有关文明施工、健康卫生的规定。缺少施工现场扬尘治理及建筑垃圾分类减量措施，得3分； D.未提供者不得分。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5、施工总进度计划</w:t>
            </w:r>
          </w:p>
        </w:tc>
        <w:tc>
          <w:tcPr>
            <w:tcW w:type="dxa" w:w="2492"/>
          </w:tcPr>
          <w:p>
            <w:pPr>
              <w:pStyle w:val="null3"/>
              <w:jc w:val="left"/>
            </w:pPr>
            <w:r>
              <w:rPr>
                <w:rFonts w:ascii="仿宋_GB2312" w:hAnsi="仿宋_GB2312" w:cs="仿宋_GB2312" w:eastAsia="仿宋_GB2312"/>
              </w:rPr>
              <w:t>供应商提供施工总进度计划，方案中包含但不限于关键线路、关键节点控制措施等，根据方案合理、可行等相关因素进行横向比较评分： A. 关键线路清晰、准确、完整、计划编制合理、可行、满足招标文件对工期的要求，对关键节点的控制措施有力、合理、可行，得9分； B. 关键线路基本准确，计划编制不合理，对关键节点的控制措施基本可行，得6分； C. 关键线路不准确、计划编制不合理，或对关键节点的控制措施不可行，得3分； D.未提供者不得分。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6、拟投入的主要施工机械计划</w:t>
            </w:r>
          </w:p>
        </w:tc>
        <w:tc>
          <w:tcPr>
            <w:tcW w:type="dxa" w:w="2492"/>
          </w:tcPr>
          <w:p>
            <w:pPr>
              <w:pStyle w:val="null3"/>
              <w:jc w:val="left"/>
            </w:pPr>
            <w:r>
              <w:rPr>
                <w:rFonts w:ascii="仿宋_GB2312" w:hAnsi="仿宋_GB2312" w:cs="仿宋_GB2312" w:eastAsia="仿宋_GB2312"/>
              </w:rPr>
              <w:t>供应商提供拟投入的主要施工机械计划，方案中包含但不限于投入计划与进度计划、机械设备配置等，根据合理、满足施工要求等相关因素进行横向比较评分： A. 投入计划与进度计划呼应，采用先进机械设备且配置合理、先进，满足安全技术规范和施工进度需要；PC构件运输、安装设备满足施工要求，得9分； B. 投入计划与进度计划呼应，机械设备配置基本合理，满足安全技术规范和施工进度需要，得6分； C. 投入计划与进度计划不呼应，机械设备配置不合理，不能满足安全技术规范和施工进度需要；PC构件运输、安装设备不能满足施工要求，得3分； D.未提供者不得分。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供应商具备独立承担过市政类工程业绩经验，每提供一份业绩合同得5分，本项满分15分。 证明材料：提供业绩合同复印件并加盖公章，不提供不得分。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[HZHN-2024]20250800001[CS]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儋州市东成镇茅坡村委会供水管道改造工程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儋州市东成镇茅坡村委会供水管道改造工程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B02130103-市内供水管道铺设</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2128927.03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