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儋州市2025年海水渔业增殖放流项目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[招标代理]20250800001[CS]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海南通合项目管理有限公司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儋州市农业农村局</w:t>
      </w:r>
      <w:r>
        <w:rPr>
          <w:rFonts w:ascii="仿宋_GB2312" w:hAnsi="仿宋_GB2312" w:cs="仿宋_GB2312" w:eastAsia="仿宋_GB2312"/>
        </w:rPr>
        <w:t xml:space="preserve"> 的委托， </w:t>
      </w:r>
      <w:r>
        <w:rPr>
          <w:rFonts w:ascii="仿宋_GB2312" w:hAnsi="仿宋_GB2312" w:cs="仿宋_GB2312" w:eastAsia="仿宋_GB2312"/>
        </w:rPr>
        <w:t>海南通合项目管理有限公司</w:t>
      </w:r>
      <w:r>
        <w:rPr>
          <w:rFonts w:ascii="仿宋_GB2312" w:hAnsi="仿宋_GB2312" w:cs="仿宋_GB2312" w:eastAsia="仿宋_GB2312"/>
        </w:rPr>
        <w:t xml:space="preserve"> 对 </w:t>
      </w:r>
      <w:r>
        <w:rPr>
          <w:rFonts w:ascii="仿宋_GB2312" w:hAnsi="仿宋_GB2312" w:cs="仿宋_GB2312" w:eastAsia="仿宋_GB2312"/>
        </w:rPr>
        <w:t>儋州市2025年海水渔业增殖放流项目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[招标代理]20250800001[CS]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儋州市2025年海水渔业增殖放流项目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2,800,000.53元</w:t>
      </w:r>
      <w:r>
        <w:rPr>
          <w:rFonts w:ascii="仿宋_GB2312" w:hAnsi="仿宋_GB2312" w:cs="仿宋_GB2312" w:eastAsia="仿宋_GB2312"/>
        </w:rPr>
        <w:t>贰佰捌拾万元零伍角叁分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2025年12月31日前，自合同生效之日起计算</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1、《水产苗种生产许可证》：供应商须提供生产范围涵盖海水类苗种的《水产苗种生产许可证》</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本项目采用不见面开标形式，投标单位远程参加开标会。远程参与开标流程的投标人需提前在海南省政府采购智慧云平 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海南省儋州市那大镇松涛路38号农业农村局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符大鹄</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13215857266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海南通合项目管理有限公司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美苑路美苑小区1号楼2东单元1104</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18007872111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采购包1：2,800,000.53元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60天（日历日），自响应文件递交截止之日起计算。</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代理服务费收费标准：参照计价格（〔2002〕1980号）和市场行为计算本项目采购代理服务费，在此计算结果的基础上下浮75%，计算基数为预算金额</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供应商是企业（包括合伙企业）的，提供在工商部门注册的有效的“企业法人营业执照”或“营业执照”；供应商是事业单位的，提供有效的“事业单位法人证书”；供应商是非企业专业服务机构的，如律师事务所、会计师事务所、税务师事务所等，提供执业许可证等证明文件；供应商是个体工商户的，提供有效的“个体工商户营业执照”；供应商是自然人的，提供有效的自然人身份证明。要求提供的资料须是复印件加盖公章。 2.如供应商是银行、保险、石油石化、电力、电信行业的，分支机构可参与本项目的政府采购活动。采购文件中涉及要求提供“法定代表人”相关证明材料的，提供分支机构“负责人”的相关证明材料。 3.只有中国公民才能以自然人的身份参加本项目的政府采购活动。 4.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 4.1投标（响应）报价低于全部通过符合性审查供应商投标（响应）报价平均值50%的，即投标（响应）报价&lt;全部通过符合性审查供应商投标（响应）报价平均值×50%； 4.2投标（响应）报价低于通过符合性审查且报价次低供应商投标（响应）报价50%的，即投标（响应）报价&lt;通过符合性审查且报价次低供应商投标（响应）报价×50%； 4.3投标（响应）报价低于采购项目最高限价45%的，即投标（响应）报价&lt;采购项目最高限价×45%； 4.4其他评审委员会认为供应商报价过低，有可能影响产品质量或者不能诚信履约的情形。</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联系人：符大鹄</w:t>
      </w:r>
    </w:p>
    <w:p>
      <w:pPr>
        <w:pStyle w:val="null3"/>
        <w:jc w:val="left"/>
      </w:pPr>
      <w:r>
        <w:rPr>
          <w:rFonts w:ascii="仿宋_GB2312" w:hAnsi="仿宋_GB2312" w:cs="仿宋_GB2312" w:eastAsia="仿宋_GB2312"/>
        </w:rPr>
        <w:t>联系电话：13215857266</w:t>
      </w:r>
    </w:p>
    <w:p>
      <w:pPr>
        <w:pStyle w:val="null3"/>
        <w:jc w:val="left"/>
      </w:pPr>
      <w:r>
        <w:rPr>
          <w:rFonts w:ascii="仿宋_GB2312" w:hAnsi="仿宋_GB2312" w:cs="仿宋_GB2312" w:eastAsia="仿宋_GB2312"/>
        </w:rPr>
        <w:t>地址：海南省儋州市那大镇松涛路38号农业农村局</w:t>
      </w:r>
    </w:p>
    <w:p>
      <w:pPr>
        <w:pStyle w:val="null3"/>
        <w:jc w:val="left"/>
      </w:pPr>
      <w:r>
        <w:rPr>
          <w:rFonts w:ascii="仿宋_GB2312" w:hAnsi="仿宋_GB2312" w:cs="仿宋_GB2312" w:eastAsia="仿宋_GB2312"/>
        </w:rPr>
        <w:t>邮编：571700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2,800,000.53</w:t>
      </w:r>
    </w:p>
    <w:p>
      <w:pPr>
        <w:pStyle w:val="null3"/>
        <w:jc w:val="left"/>
      </w:pPr>
      <w:r>
        <w:rPr>
          <w:rFonts w:ascii="仿宋_GB2312" w:hAnsi="仿宋_GB2312" w:cs="仿宋_GB2312" w:eastAsia="仿宋_GB2312"/>
        </w:rPr>
        <w:t>采购包最高限价（元）: 2,800,000.53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儋州市 2025 年海水渔业增殖放流项目</w:t>
            </w:r>
          </w:p>
        </w:tc>
        <w:tc>
          <w:tcPr>
            <w:tcW w:type="dxa" w:w="831"/>
          </w:tcPr>
          <w:p>
            <w:pPr>
              <w:pStyle w:val="null3"/>
              <w:jc w:val="right"/>
            </w:pPr>
            <w:r>
              <w:rPr>
                <w:rFonts w:ascii="仿宋_GB2312" w:hAnsi="仿宋_GB2312" w:cs="仿宋_GB2312" w:eastAsia="仿宋_GB2312"/>
              </w:rPr>
              <w:t>333.00</w:t>
            </w:r>
          </w:p>
        </w:tc>
        <w:tc>
          <w:tcPr>
            <w:tcW w:type="dxa" w:w="831"/>
          </w:tcPr>
          <w:p>
            <w:pPr>
              <w:pStyle w:val="null3"/>
              <w:jc w:val="right"/>
            </w:pPr>
            <w:r>
              <w:rPr>
                <w:rFonts w:ascii="仿宋_GB2312" w:hAnsi="仿宋_GB2312" w:cs="仿宋_GB2312" w:eastAsia="仿宋_GB2312"/>
              </w:rPr>
              <w:t>2,800,000.53</w:t>
            </w:r>
          </w:p>
        </w:tc>
        <w:tc>
          <w:tcPr>
            <w:tcW w:type="dxa" w:w="831"/>
          </w:tcPr>
          <w:p>
            <w:pPr>
              <w:pStyle w:val="null3"/>
              <w:jc w:val="left"/>
            </w:pPr>
            <w:r>
              <w:rPr>
                <w:rFonts w:ascii="仿宋_GB2312" w:hAnsi="仿宋_GB2312" w:cs="仿宋_GB2312" w:eastAsia="仿宋_GB2312"/>
              </w:rPr>
              <w:t>万尾（粒）</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C09040100-鱼苗、鱼种培育和养殖服务</w:t>
            </w:r>
          </w:p>
        </w:tc>
        <w:tc>
          <w:tcPr>
            <w:tcW w:type="dxa" w:w="554"/>
          </w:tcPr>
          <w:p>
            <w:pPr>
              <w:pStyle w:val="null3"/>
              <w:jc w:val="left"/>
            </w:pPr>
            <w:r>
              <w:rPr>
                <w:rFonts w:ascii="仿宋_GB2312" w:hAnsi="仿宋_GB2312" w:cs="仿宋_GB2312" w:eastAsia="仿宋_GB2312"/>
              </w:rPr>
              <w:t>万尾（粒）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2,800,000.53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标的名称：儋州市 2025 年海水渔业增殖放流项目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1.技术需求</w:t>
            </w:r>
          </w:p>
          <w:p>
            <w:pPr>
              <w:pStyle w:val="null3"/>
              <w:ind w:firstLine="562"/>
              <w:jc w:val="both"/>
            </w:pPr>
            <w:r>
              <w:rPr>
                <w:rFonts w:ascii="仿宋_GB2312" w:hAnsi="仿宋_GB2312" w:cs="仿宋_GB2312" w:eastAsia="仿宋_GB2312"/>
                <w:sz w:val="28"/>
                <w:b/>
              </w:rPr>
              <w:t>1.1</w:t>
            </w:r>
            <w:r>
              <w:rPr>
                <w:rFonts w:ascii="仿宋_GB2312" w:hAnsi="仿宋_GB2312" w:cs="仿宋_GB2312" w:eastAsia="仿宋_GB2312"/>
                <w:sz w:val="28"/>
                <w:b/>
              </w:rPr>
              <w:t>项目背景</w:t>
            </w:r>
          </w:p>
          <w:p>
            <w:pPr>
              <w:pStyle w:val="null3"/>
              <w:ind w:firstLine="560"/>
              <w:jc w:val="left"/>
            </w:pPr>
            <w:r>
              <w:rPr>
                <w:rFonts w:ascii="仿宋_GB2312" w:hAnsi="仿宋_GB2312" w:cs="仿宋_GB2312" w:eastAsia="仿宋_GB2312"/>
                <w:sz w:val="28"/>
              </w:rPr>
              <w:t>受环境污染、生境退化、过度捕捞和全球气候变化等因素的影响，</w:t>
            </w:r>
          </w:p>
          <w:p>
            <w:pPr>
              <w:pStyle w:val="null3"/>
              <w:jc w:val="left"/>
            </w:pPr>
            <w:r>
              <w:rPr>
                <w:rFonts w:ascii="仿宋_GB2312" w:hAnsi="仿宋_GB2312" w:cs="仿宋_GB2312" w:eastAsia="仿宋_GB2312"/>
                <w:sz w:val="28"/>
              </w:rPr>
              <w:t>全球海洋渔业资源衰退明显。各国渔业专家和海洋生态学家普遍认</w:t>
            </w:r>
          </w:p>
          <w:p>
            <w:pPr>
              <w:pStyle w:val="null3"/>
              <w:jc w:val="left"/>
            </w:pPr>
            <w:r>
              <w:rPr>
                <w:rFonts w:ascii="仿宋_GB2312" w:hAnsi="仿宋_GB2312" w:cs="仿宋_GB2312" w:eastAsia="仿宋_GB2312"/>
                <w:sz w:val="28"/>
              </w:rPr>
              <w:t>为，建设海洋牧场是海洋渔业的重要出路。海洋牧场是基于海洋生态</w:t>
            </w:r>
          </w:p>
          <w:p>
            <w:pPr>
              <w:pStyle w:val="null3"/>
              <w:jc w:val="left"/>
            </w:pPr>
            <w:r>
              <w:rPr>
                <w:rFonts w:ascii="仿宋_GB2312" w:hAnsi="仿宋_GB2312" w:cs="仿宋_GB2312" w:eastAsia="仿宋_GB2312"/>
                <w:sz w:val="28"/>
              </w:rPr>
              <w:t>系统原理，在特定海域通过人工鱼礁、增值放流等措施，构建或修复</w:t>
            </w:r>
          </w:p>
          <w:p>
            <w:pPr>
              <w:pStyle w:val="null3"/>
              <w:jc w:val="left"/>
            </w:pPr>
            <w:r>
              <w:rPr>
                <w:rFonts w:ascii="仿宋_GB2312" w:hAnsi="仿宋_GB2312" w:cs="仿宋_GB2312" w:eastAsia="仿宋_GB2312"/>
                <w:sz w:val="28"/>
              </w:rPr>
              <w:t>海洋生物繁殖、生长、索饵或避敌所需的场所。</w:t>
            </w:r>
          </w:p>
          <w:p>
            <w:pPr>
              <w:pStyle w:val="null3"/>
              <w:ind w:firstLine="560"/>
              <w:jc w:val="left"/>
            </w:pPr>
            <w:r>
              <w:rPr>
                <w:rFonts w:ascii="仿宋_GB2312" w:hAnsi="仿宋_GB2312" w:cs="仿宋_GB2312" w:eastAsia="仿宋_GB2312"/>
                <w:sz w:val="28"/>
              </w:rPr>
              <w:t>增殖放流项目的开展紧紧围绕改善生态环境保护、养护渔业资</w:t>
            </w:r>
          </w:p>
          <w:p>
            <w:pPr>
              <w:pStyle w:val="null3"/>
              <w:jc w:val="left"/>
            </w:pPr>
            <w:r>
              <w:rPr>
                <w:rFonts w:ascii="仿宋_GB2312" w:hAnsi="仿宋_GB2312" w:cs="仿宋_GB2312" w:eastAsia="仿宋_GB2312"/>
                <w:sz w:val="28"/>
              </w:rPr>
              <w:t>源、助力海南自由贸易港建设，与国家海洋发展战略及海南省委相关</w:t>
            </w:r>
          </w:p>
          <w:p>
            <w:pPr>
              <w:pStyle w:val="null3"/>
              <w:jc w:val="left"/>
            </w:pPr>
            <w:r>
              <w:rPr>
                <w:rFonts w:ascii="仿宋_GB2312" w:hAnsi="仿宋_GB2312" w:cs="仿宋_GB2312" w:eastAsia="仿宋_GB2312"/>
                <w:sz w:val="28"/>
              </w:rPr>
              <w:t>政策要求的</w:t>
            </w:r>
            <w:r>
              <w:rPr>
                <w:rFonts w:ascii="仿宋_GB2312" w:hAnsi="仿宋_GB2312" w:cs="仿宋_GB2312" w:eastAsia="仿宋_GB2312"/>
                <w:sz w:val="28"/>
              </w:rPr>
              <w:t>“海陆并举的发展思路，发展海洋经济，合理开发和利用</w:t>
            </w:r>
          </w:p>
          <w:p>
            <w:pPr>
              <w:pStyle w:val="null3"/>
              <w:jc w:val="left"/>
            </w:pPr>
            <w:r>
              <w:rPr>
                <w:rFonts w:ascii="仿宋_GB2312" w:hAnsi="仿宋_GB2312" w:cs="仿宋_GB2312" w:eastAsia="仿宋_GB2312"/>
                <w:sz w:val="28"/>
              </w:rPr>
              <w:t>海洋资源，建设海洋经济强省</w:t>
            </w:r>
            <w:r>
              <w:rPr>
                <w:rFonts w:ascii="仿宋_GB2312" w:hAnsi="仿宋_GB2312" w:cs="仿宋_GB2312" w:eastAsia="仿宋_GB2312"/>
                <w:sz w:val="28"/>
              </w:rPr>
              <w:t>”相符。国家“十四五”规划提出“坚</w:t>
            </w:r>
          </w:p>
          <w:p>
            <w:pPr>
              <w:pStyle w:val="null3"/>
              <w:jc w:val="left"/>
            </w:pPr>
            <w:r>
              <w:rPr>
                <w:rFonts w:ascii="仿宋_GB2312" w:hAnsi="仿宋_GB2312" w:cs="仿宋_GB2312" w:eastAsia="仿宋_GB2312"/>
                <w:sz w:val="28"/>
              </w:rPr>
              <w:t>持陆海统筹、人海和谐、合作共赢，协同推进海洋生态保护、海洋经</w:t>
            </w:r>
          </w:p>
          <w:p>
            <w:pPr>
              <w:pStyle w:val="null3"/>
              <w:jc w:val="left"/>
            </w:pPr>
            <w:r>
              <w:rPr>
                <w:rFonts w:ascii="仿宋_GB2312" w:hAnsi="仿宋_GB2312" w:cs="仿宋_GB2312" w:eastAsia="仿宋_GB2312"/>
                <w:sz w:val="28"/>
              </w:rPr>
              <w:t>济发展和海洋权益维护，加快建设海洋强国</w:t>
            </w:r>
            <w:r>
              <w:rPr>
                <w:rFonts w:ascii="仿宋_GB2312" w:hAnsi="仿宋_GB2312" w:cs="仿宋_GB2312" w:eastAsia="仿宋_GB2312"/>
                <w:sz w:val="28"/>
              </w:rPr>
              <w:t>”。《习近平总书记系列</w:t>
            </w:r>
          </w:p>
          <w:p>
            <w:pPr>
              <w:pStyle w:val="null3"/>
              <w:jc w:val="left"/>
            </w:pPr>
            <w:r>
              <w:rPr>
                <w:rFonts w:ascii="仿宋_GB2312" w:hAnsi="仿宋_GB2312" w:cs="仿宋_GB2312" w:eastAsia="仿宋_GB2312"/>
                <w:sz w:val="28"/>
              </w:rPr>
              <w:t>讲话》中也多次提到以新发展理念引领发展，树立创新、绿色、开放、</w:t>
            </w:r>
          </w:p>
          <w:p>
            <w:pPr>
              <w:pStyle w:val="null3"/>
              <w:jc w:val="left"/>
            </w:pPr>
            <w:r>
              <w:rPr>
                <w:rFonts w:ascii="仿宋_GB2312" w:hAnsi="仿宋_GB2312" w:cs="仿宋_GB2312" w:eastAsia="仿宋_GB2312"/>
                <w:sz w:val="28"/>
              </w:rPr>
              <w:t>共享的发展理念，</w:t>
            </w:r>
            <w:r>
              <w:rPr>
                <w:rFonts w:ascii="仿宋_GB2312" w:hAnsi="仿宋_GB2312" w:cs="仿宋_GB2312" w:eastAsia="仿宋_GB2312"/>
                <w:sz w:val="28"/>
              </w:rPr>
              <w:t>“绿水青山就是金山银山”等对生态保护，可持续</w:t>
            </w:r>
          </w:p>
          <w:p>
            <w:pPr>
              <w:pStyle w:val="null3"/>
              <w:jc w:val="left"/>
            </w:pPr>
            <w:r>
              <w:rPr>
                <w:rFonts w:ascii="仿宋_GB2312" w:hAnsi="仿宋_GB2312" w:cs="仿宋_GB2312" w:eastAsia="仿宋_GB2312"/>
                <w:sz w:val="28"/>
              </w:rPr>
              <w:t>发展的理论与政策。</w:t>
            </w:r>
          </w:p>
          <w:p>
            <w:pPr>
              <w:pStyle w:val="null3"/>
              <w:ind w:firstLine="562"/>
              <w:jc w:val="both"/>
            </w:pPr>
            <w:r>
              <w:rPr>
                <w:rFonts w:ascii="仿宋_GB2312" w:hAnsi="仿宋_GB2312" w:cs="仿宋_GB2312" w:eastAsia="仿宋_GB2312"/>
                <w:sz w:val="28"/>
                <w:b/>
              </w:rPr>
              <w:t>1.2指导思想及行动目标</w:t>
            </w:r>
          </w:p>
          <w:p>
            <w:pPr>
              <w:pStyle w:val="null3"/>
              <w:ind w:firstLine="560"/>
              <w:jc w:val="both"/>
            </w:pPr>
            <w:r>
              <w:rPr>
                <w:rFonts w:ascii="仿宋_GB2312" w:hAnsi="仿宋_GB2312" w:cs="仿宋_GB2312" w:eastAsia="仿宋_GB2312"/>
                <w:sz w:val="28"/>
              </w:rPr>
              <w:t>按照《中国水生生物资源养护行动纲要》（国发〔</w:t>
            </w:r>
            <w:r>
              <w:rPr>
                <w:rFonts w:ascii="仿宋_GB2312" w:hAnsi="仿宋_GB2312" w:cs="仿宋_GB2312" w:eastAsia="仿宋_GB2312"/>
                <w:sz w:val="28"/>
              </w:rPr>
              <w:t>2006〕9 号）</w:t>
            </w:r>
          </w:p>
          <w:p>
            <w:pPr>
              <w:pStyle w:val="null3"/>
              <w:jc w:val="both"/>
            </w:pPr>
            <w:r>
              <w:rPr>
                <w:rFonts w:ascii="仿宋_GB2312" w:hAnsi="仿宋_GB2312" w:cs="仿宋_GB2312" w:eastAsia="仿宋_GB2312"/>
                <w:sz w:val="28"/>
              </w:rPr>
              <w:t>和《海南省农业农村厅关于印发海南省</w:t>
            </w:r>
            <w:r>
              <w:rPr>
                <w:rFonts w:ascii="仿宋_GB2312" w:hAnsi="仿宋_GB2312" w:cs="仿宋_GB2312" w:eastAsia="仿宋_GB2312"/>
                <w:sz w:val="28"/>
              </w:rPr>
              <w:t>2025 年成品油价格调整对渔</w:t>
            </w:r>
          </w:p>
          <w:p>
            <w:pPr>
              <w:pStyle w:val="null3"/>
              <w:jc w:val="both"/>
            </w:pPr>
            <w:r>
              <w:rPr>
                <w:rFonts w:ascii="仿宋_GB2312" w:hAnsi="仿宋_GB2312" w:cs="仿宋_GB2312" w:eastAsia="仿宋_GB2312"/>
                <w:sz w:val="28"/>
              </w:rPr>
              <w:t>业补助资金增殖放流工作实施方案的通知》（琼农字〔</w:t>
            </w:r>
            <w:r>
              <w:rPr>
                <w:rFonts w:ascii="仿宋_GB2312" w:hAnsi="仿宋_GB2312" w:cs="仿宋_GB2312" w:eastAsia="仿宋_GB2312"/>
                <w:sz w:val="28"/>
              </w:rPr>
              <w:t>2025〕6 号）</w:t>
            </w:r>
          </w:p>
          <w:p>
            <w:pPr>
              <w:pStyle w:val="null3"/>
              <w:jc w:val="both"/>
            </w:pPr>
            <w:r>
              <w:rPr>
                <w:rFonts w:ascii="仿宋_GB2312" w:hAnsi="仿宋_GB2312" w:cs="仿宋_GB2312" w:eastAsia="仿宋_GB2312"/>
                <w:sz w:val="28"/>
              </w:rPr>
              <w:t>等文件要求，通过开展渔业资源人工增殖放流活动，补充儋州市近海</w:t>
            </w:r>
          </w:p>
          <w:p>
            <w:pPr>
              <w:pStyle w:val="null3"/>
              <w:jc w:val="both"/>
            </w:pPr>
            <w:r>
              <w:rPr>
                <w:rFonts w:ascii="仿宋_GB2312" w:hAnsi="仿宋_GB2312" w:cs="仿宋_GB2312" w:eastAsia="仿宋_GB2312"/>
                <w:sz w:val="28"/>
              </w:rPr>
              <w:t>海域的渔业资源总量，改善海洋生态环境，增殖与恢复渔业资源，维</w:t>
            </w:r>
          </w:p>
          <w:p>
            <w:pPr>
              <w:pStyle w:val="null3"/>
              <w:jc w:val="both"/>
            </w:pPr>
            <w:r>
              <w:rPr>
                <w:rFonts w:ascii="仿宋_GB2312" w:hAnsi="仿宋_GB2312" w:cs="仿宋_GB2312" w:eastAsia="仿宋_GB2312"/>
                <w:sz w:val="28"/>
              </w:rPr>
              <w:t>护海洋生物多样性，增进人与自然和谐相处，推进儋州市海洋生态城</w:t>
            </w:r>
          </w:p>
          <w:p>
            <w:pPr>
              <w:pStyle w:val="null3"/>
              <w:jc w:val="both"/>
            </w:pPr>
            <w:r>
              <w:rPr>
                <w:rFonts w:ascii="仿宋_GB2312" w:hAnsi="仿宋_GB2312" w:cs="仿宋_GB2312" w:eastAsia="仿宋_GB2312"/>
                <w:sz w:val="28"/>
              </w:rPr>
              <w:t>市建设，促进渔业增效、渔民增收和渔业经济健康可持续发展，落实</w:t>
            </w:r>
          </w:p>
          <w:p>
            <w:pPr>
              <w:pStyle w:val="null3"/>
              <w:jc w:val="both"/>
            </w:pPr>
            <w:r>
              <w:rPr>
                <w:rFonts w:ascii="仿宋_GB2312" w:hAnsi="仿宋_GB2312" w:cs="仿宋_GB2312" w:eastAsia="仿宋_GB2312"/>
                <w:sz w:val="28"/>
              </w:rPr>
              <w:t>政府社会责任，服务海南海洋经济强省和海洋生态文明建设。</w:t>
            </w:r>
          </w:p>
          <w:p>
            <w:pPr>
              <w:pStyle w:val="null3"/>
              <w:ind w:firstLine="562"/>
              <w:jc w:val="both"/>
            </w:pPr>
            <w:r>
              <w:rPr>
                <w:rFonts w:ascii="仿宋_GB2312" w:hAnsi="仿宋_GB2312" w:cs="仿宋_GB2312" w:eastAsia="仿宋_GB2312"/>
                <w:sz w:val="28"/>
                <w:b/>
              </w:rPr>
              <w:t>1.3放流时间、地点和方式</w:t>
            </w:r>
          </w:p>
          <w:p>
            <w:pPr>
              <w:pStyle w:val="null3"/>
              <w:ind w:firstLine="560"/>
              <w:jc w:val="both"/>
            </w:pPr>
            <w:r>
              <w:rPr>
                <w:rFonts w:ascii="仿宋_GB2312" w:hAnsi="仿宋_GB2312" w:cs="仿宋_GB2312" w:eastAsia="仿宋_GB2312"/>
                <w:sz w:val="28"/>
              </w:rPr>
              <w:t>1.3.1放流时间</w:t>
            </w:r>
          </w:p>
          <w:p>
            <w:pPr>
              <w:pStyle w:val="null3"/>
              <w:ind w:firstLine="560"/>
              <w:jc w:val="both"/>
            </w:pPr>
            <w:r>
              <w:rPr>
                <w:rFonts w:ascii="仿宋_GB2312" w:hAnsi="仿宋_GB2312" w:cs="仿宋_GB2312" w:eastAsia="仿宋_GB2312"/>
                <w:sz w:val="28"/>
              </w:rPr>
              <w:t>在海南省最适宜进行增殖放流的时间是</w:t>
            </w:r>
            <w:r>
              <w:rPr>
                <w:rFonts w:ascii="仿宋_GB2312" w:hAnsi="仿宋_GB2312" w:cs="仿宋_GB2312" w:eastAsia="仿宋_GB2312"/>
                <w:sz w:val="28"/>
              </w:rPr>
              <w:t>3～10月份，此时间段种苗多、海区初级生产力高，尤其是5～8月份的禁渔期，本次放流活动在2025年5～8月进行，具体时间安排由儋州市农业农村局依据项目进度，根据海况进行确定。</w:t>
            </w:r>
          </w:p>
          <w:p>
            <w:pPr>
              <w:pStyle w:val="null3"/>
              <w:ind w:firstLine="560"/>
              <w:jc w:val="both"/>
            </w:pPr>
            <w:r>
              <w:rPr>
                <w:rFonts w:ascii="仿宋_GB2312" w:hAnsi="仿宋_GB2312" w:cs="仿宋_GB2312" w:eastAsia="仿宋_GB2312"/>
                <w:sz w:val="28"/>
              </w:rPr>
              <w:t>1.3.2放流地点</w:t>
            </w:r>
          </w:p>
          <w:p>
            <w:pPr>
              <w:pStyle w:val="null3"/>
              <w:ind w:firstLine="560"/>
              <w:jc w:val="both"/>
            </w:pPr>
            <w:r>
              <w:rPr>
                <w:rFonts w:ascii="仿宋_GB2312" w:hAnsi="仿宋_GB2312" w:cs="仿宋_GB2312" w:eastAsia="仿宋_GB2312"/>
                <w:sz w:val="28"/>
              </w:rPr>
              <w:t>本次增殖放流项目鱼、虾、贝类放流点选定于峨蔓海洋牧场示范区，中国鲎放流点选定于新英湾，具体依照采购人指定地点为准。</w:t>
            </w:r>
          </w:p>
          <w:p>
            <w:pPr>
              <w:pStyle w:val="null3"/>
              <w:ind w:firstLine="560"/>
              <w:jc w:val="both"/>
            </w:pPr>
            <w:r>
              <w:rPr>
                <w:rFonts w:ascii="仿宋_GB2312" w:hAnsi="仿宋_GB2312" w:cs="仿宋_GB2312" w:eastAsia="仿宋_GB2312"/>
                <w:sz w:val="28"/>
              </w:rPr>
              <w:t>1.3.3放流方式</w:t>
            </w:r>
          </w:p>
          <w:p>
            <w:pPr>
              <w:pStyle w:val="null3"/>
              <w:ind w:firstLine="560"/>
              <w:jc w:val="both"/>
            </w:pPr>
            <w:r>
              <w:rPr>
                <w:rFonts w:ascii="仿宋_GB2312" w:hAnsi="仿宋_GB2312" w:cs="仿宋_GB2312" w:eastAsia="仿宋_GB2312"/>
                <w:sz w:val="28"/>
              </w:rPr>
              <w:t>根据《水生生物增殖放流规范》要求，苗种在安全运输至指定渔</w:t>
            </w:r>
            <w:r>
              <w:rPr>
                <w:rFonts w:ascii="仿宋_GB2312" w:hAnsi="仿宋_GB2312" w:cs="仿宋_GB2312" w:eastAsia="仿宋_GB2312"/>
                <w:sz w:val="28"/>
              </w:rPr>
              <w:t>港码头，安排人员将放流苗种和放流工具运送至放流船上，运至指定</w:t>
            </w:r>
            <w:r>
              <w:rPr>
                <w:rFonts w:ascii="仿宋_GB2312" w:hAnsi="仿宋_GB2312" w:cs="仿宋_GB2312" w:eastAsia="仿宋_GB2312"/>
                <w:sz w:val="28"/>
              </w:rPr>
              <w:t>海域进行投放。苗种置于薄膜袋内充氧加水或者置于船上活水仓，投</w:t>
            </w:r>
            <w:r>
              <w:rPr>
                <w:rFonts w:ascii="仿宋_GB2312" w:hAnsi="仿宋_GB2312" w:cs="仿宋_GB2312" w:eastAsia="仿宋_GB2312"/>
                <w:sz w:val="28"/>
              </w:rPr>
              <w:t>放苗种时应选择在适宜的天气条件下。苗种投放过程中，根据要求测</w:t>
            </w:r>
            <w:r>
              <w:rPr>
                <w:rFonts w:ascii="仿宋_GB2312" w:hAnsi="仿宋_GB2312" w:cs="仿宋_GB2312" w:eastAsia="仿宋_GB2312"/>
                <w:sz w:val="28"/>
              </w:rPr>
              <w:t>量并记录投苗区水深、表层水温、盐度等参数，根据当地当日气象预</w:t>
            </w:r>
            <w:r>
              <w:rPr>
                <w:rFonts w:ascii="仿宋_GB2312" w:hAnsi="仿宋_GB2312" w:cs="仿宋_GB2312" w:eastAsia="仿宋_GB2312"/>
                <w:sz w:val="28"/>
              </w:rPr>
              <w:t>报情况记录天气、风向和风力，填写增殖放流记录表。整个增殖放流</w:t>
            </w:r>
            <w:r>
              <w:rPr>
                <w:rFonts w:ascii="仿宋_GB2312" w:hAnsi="仿宋_GB2312" w:cs="仿宋_GB2312" w:eastAsia="仿宋_GB2312"/>
                <w:sz w:val="28"/>
              </w:rPr>
              <w:t>过程在承担单位监督下及在公证单位和技术支撑单位等多家单位的</w:t>
            </w:r>
            <w:r>
              <w:rPr>
                <w:rFonts w:ascii="仿宋_GB2312" w:hAnsi="仿宋_GB2312" w:cs="仿宋_GB2312" w:eastAsia="仿宋_GB2312"/>
                <w:sz w:val="28"/>
              </w:rPr>
              <w:t>见证下，把合格的苗种投放于目标海域</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b/>
              </w:rPr>
              <w:t>1.4各苗种规格、数量、价格（控制价）</w:t>
            </w:r>
          </w:p>
          <w:tbl>
            <w:tblPr>
              <w:tblBorders>
                <w:top w:val="none" w:color="000000" w:sz="4"/>
                <w:left w:val="none" w:color="000000" w:sz="4"/>
                <w:bottom w:val="none" w:color="000000" w:sz="4"/>
                <w:right w:val="none" w:color="000000" w:sz="4"/>
                <w:insideH w:val="none"/>
                <w:insideV w:val="none"/>
              </w:tblBorders>
            </w:tblPr>
            <w:tblGrid>
              <w:gridCol w:w="208"/>
              <w:gridCol w:w="502"/>
              <w:gridCol w:w="404"/>
              <w:gridCol w:w="634"/>
              <w:gridCol w:w="478"/>
              <w:gridCol w:w="328"/>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苗种种类</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r>
                    <w:rPr>
                      <w:rFonts w:ascii="仿宋_GB2312" w:hAnsi="仿宋_GB2312" w:cs="仿宋_GB2312" w:eastAsia="仿宋_GB2312"/>
                      <w:sz w:val="24"/>
                      <w:b/>
                    </w:rPr>
                    <w:t xml:space="preserve">   </w:t>
                  </w:r>
                  <w:r>
                    <w:rPr>
                      <w:rFonts w:ascii="仿宋_GB2312" w:hAnsi="仿宋_GB2312" w:cs="仿宋_GB2312" w:eastAsia="仿宋_GB2312"/>
                      <w:sz w:val="24"/>
                      <w:b/>
                    </w:rPr>
                    <w:t>（元</w:t>
                  </w:r>
                  <w:r>
                    <w:rPr>
                      <w:rFonts w:ascii="仿宋_GB2312" w:hAnsi="仿宋_GB2312" w:cs="仿宋_GB2312" w:eastAsia="仿宋_GB2312"/>
                      <w:sz w:val="24"/>
                      <w:b/>
                    </w:rPr>
                    <w:t>/尾）</w:t>
                  </w: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r>
                    <w:rPr>
                      <w:rFonts w:ascii="仿宋_GB2312" w:hAnsi="仿宋_GB2312" w:cs="仿宋_GB2312" w:eastAsia="仿宋_GB2312"/>
                      <w:sz w:val="24"/>
                      <w:b/>
                    </w:rPr>
                    <w:t>（</w:t>
                  </w:r>
                  <w:r>
                    <w:rPr>
                      <w:rFonts w:ascii="仿宋_GB2312" w:hAnsi="仿宋_GB2312" w:cs="仿宋_GB2312" w:eastAsia="仿宋_GB2312"/>
                      <w:sz w:val="24"/>
                      <w:b/>
                    </w:rPr>
                    <w:t>cm</w:t>
                  </w:r>
                  <w:r>
                    <w:rPr>
                      <w:rFonts w:ascii="仿宋_GB2312" w:hAnsi="仿宋_GB2312" w:cs="仿宋_GB2312" w:eastAsia="仿宋_GB2312"/>
                      <w:sz w:val="24"/>
                      <w:b/>
                    </w:rPr>
                    <w:t>）</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万</w:t>
                  </w:r>
                  <w:r>
                    <w:rPr>
                      <w:rFonts w:ascii="仿宋_GB2312" w:hAnsi="仿宋_GB2312" w:cs="仿宋_GB2312" w:eastAsia="仿宋_GB2312"/>
                      <w:sz w:val="24"/>
                      <w:b/>
                    </w:rPr>
                    <w:t>尾）</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紫红笛鲷</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right"/>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right"/>
                  </w:pPr>
                  <w:r>
                    <w:rPr>
                      <w:rFonts w:ascii="仿宋_GB2312" w:hAnsi="仿宋_GB2312" w:cs="仿宋_GB2312" w:eastAsia="仿宋_GB2312"/>
                      <w:sz w:val="24"/>
                    </w:rPr>
                    <w:t>≥5.5</w:t>
                  </w:r>
                  <w:r>
                    <w:rPr>
                      <w:rFonts w:ascii="仿宋_GB2312" w:hAnsi="仿宋_GB2312" w:cs="仿宋_GB2312" w:eastAsia="仿宋_GB2312"/>
                      <w:sz w:val="24"/>
                    </w:rPr>
                    <w:t>（全长）</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4"/>
                    </w:rPr>
                    <w:t>61</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红笛鲷</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righ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0</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right"/>
                  </w:pPr>
                  <w:r>
                    <w:rPr>
                      <w:rFonts w:ascii="仿宋_GB2312" w:hAnsi="仿宋_GB2312" w:cs="仿宋_GB2312" w:eastAsia="仿宋_GB2312"/>
                      <w:sz w:val="24"/>
                    </w:rPr>
                    <w:t>≥5.5（全长）</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4"/>
                    </w:rPr>
                    <w:t>60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青石斑鱼</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right"/>
                  </w:pPr>
                  <w:r>
                    <w:rPr>
                      <w:rFonts w:ascii="仿宋_GB2312" w:hAnsi="仿宋_GB2312" w:cs="仿宋_GB2312" w:eastAsia="仿宋_GB2312"/>
                      <w:sz w:val="24"/>
                    </w:rPr>
                    <w:t>2.5</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4"/>
                    </w:rPr>
                    <w:t>≥5</w:t>
                  </w:r>
                  <w:r>
                    <w:rPr>
                      <w:rFonts w:ascii="仿宋_GB2312" w:hAnsi="仿宋_GB2312" w:cs="仿宋_GB2312" w:eastAsia="仿宋_GB2312"/>
                      <w:sz w:val="24"/>
                    </w:rPr>
                    <w:t>（全长）</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4"/>
                    </w:rPr>
                    <w:t>24</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中华鲎</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right"/>
                  </w:pPr>
                  <w:r>
                    <w:rPr>
                      <w:rFonts w:ascii="仿宋_GB2312" w:hAnsi="仿宋_GB2312" w:cs="仿宋_GB2312" w:eastAsia="仿宋_GB2312"/>
                      <w:sz w:val="24"/>
                    </w:rPr>
                    <w:t>3.0</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4"/>
                    </w:rPr>
                    <w:t>≥0.6</w:t>
                  </w:r>
                  <w:r>
                    <w:rPr>
                      <w:rFonts w:ascii="仿宋_GB2312" w:hAnsi="仿宋_GB2312" w:cs="仿宋_GB2312" w:eastAsia="仿宋_GB2312"/>
                      <w:sz w:val="24"/>
                    </w:rPr>
                    <w:t>（全长）</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4"/>
                    </w:rPr>
                    <w:t>18</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斑节对虾</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right"/>
                  </w:pPr>
                  <w:r>
                    <w:rPr>
                      <w:rFonts w:ascii="仿宋_GB2312" w:hAnsi="仿宋_GB2312" w:cs="仿宋_GB2312" w:eastAsia="仿宋_GB2312"/>
                      <w:sz w:val="24"/>
                    </w:rPr>
                    <w:t>0.1</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4"/>
                    </w:rPr>
                    <w:t>≥2</w:t>
                  </w:r>
                  <w:r>
                    <w:rPr>
                      <w:rFonts w:ascii="仿宋_GB2312" w:hAnsi="仿宋_GB2312" w:cs="仿宋_GB2312" w:eastAsia="仿宋_GB2312"/>
                      <w:sz w:val="24"/>
                    </w:rPr>
                    <w:t>（全长）</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4"/>
                    </w:rPr>
                    <w:t>100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文蛤</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right"/>
                  </w:pPr>
                  <w:r>
                    <w:rPr>
                      <w:rFonts w:ascii="仿宋_GB2312" w:hAnsi="仿宋_GB2312" w:cs="仿宋_GB2312" w:eastAsia="仿宋_GB2312"/>
                      <w:sz w:val="24"/>
                    </w:rPr>
                    <w:t>0.5</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4"/>
                    </w:rPr>
                    <w:t>≥2</w:t>
                  </w:r>
                  <w:r>
                    <w:rPr>
                      <w:rFonts w:ascii="仿宋_GB2312" w:hAnsi="仿宋_GB2312" w:cs="仿宋_GB2312" w:eastAsia="仿宋_GB2312"/>
                      <w:sz w:val="24"/>
                    </w:rPr>
                    <w:t>（壳高）</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4"/>
                    </w:rPr>
                    <w:t>70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4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333.00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8"/>
                <w:b/>
              </w:rPr>
              <w:t>1.5苗种要求</w:t>
            </w:r>
          </w:p>
          <w:p>
            <w:pPr>
              <w:pStyle w:val="null3"/>
              <w:ind w:firstLine="560"/>
              <w:jc w:val="left"/>
            </w:pPr>
            <w:r>
              <w:rPr>
                <w:rFonts w:ascii="仿宋_GB2312" w:hAnsi="仿宋_GB2312" w:cs="仿宋_GB2312" w:eastAsia="仿宋_GB2312"/>
                <w:sz w:val="28"/>
              </w:rPr>
              <w:t>1.5.1苗种培育要求</w:t>
            </w:r>
          </w:p>
          <w:p>
            <w:pPr>
              <w:pStyle w:val="null3"/>
              <w:ind w:firstLine="560"/>
              <w:jc w:val="left"/>
            </w:pPr>
            <w:r>
              <w:rPr>
                <w:rFonts w:ascii="仿宋_GB2312" w:hAnsi="仿宋_GB2312" w:cs="仿宋_GB2312" w:eastAsia="仿宋_GB2312"/>
                <w:sz w:val="28"/>
              </w:rPr>
              <w:t>苗种培育引用水源符合《渔业水质标准》（</w:t>
            </w:r>
            <w:r>
              <w:rPr>
                <w:rFonts w:ascii="仿宋_GB2312" w:hAnsi="仿宋_GB2312" w:cs="仿宋_GB2312" w:eastAsia="仿宋_GB2312"/>
                <w:sz w:val="28"/>
              </w:rPr>
              <w:t>GB11607）；苗种培育用水的水质符合《无公害食品-海水养殖用水水质》</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NY5052）。</w:t>
            </w:r>
          </w:p>
          <w:p>
            <w:pPr>
              <w:pStyle w:val="null3"/>
              <w:ind w:firstLine="560"/>
              <w:jc w:val="left"/>
            </w:pPr>
            <w:r>
              <w:rPr>
                <w:rFonts w:ascii="仿宋_GB2312" w:hAnsi="仿宋_GB2312" w:cs="仿宋_GB2312" w:eastAsia="仿宋_GB2312"/>
                <w:sz w:val="28"/>
              </w:rPr>
              <w:t>1.5.2苗种投饵、用药要求</w:t>
            </w:r>
          </w:p>
          <w:p>
            <w:pPr>
              <w:pStyle w:val="null3"/>
              <w:ind w:firstLine="560"/>
              <w:jc w:val="left"/>
            </w:pPr>
            <w:r>
              <w:rPr>
                <w:rFonts w:ascii="仿宋_GB2312" w:hAnsi="仿宋_GB2312" w:cs="仿宋_GB2312" w:eastAsia="仿宋_GB2312"/>
                <w:sz w:val="28"/>
              </w:rPr>
              <w:t>苗种投喂配合饲料必须使用新鲜、合格的产品，产品质量符合</w:t>
            </w:r>
          </w:p>
          <w:p>
            <w:pPr>
              <w:pStyle w:val="null3"/>
              <w:jc w:val="left"/>
            </w:pPr>
            <w:r>
              <w:rPr>
                <w:rFonts w:ascii="仿宋_GB2312" w:hAnsi="仿宋_GB2312" w:cs="仿宋_GB2312" w:eastAsia="仿宋_GB2312"/>
                <w:sz w:val="28"/>
              </w:rPr>
              <w:t>《无公害食品</w:t>
            </w:r>
            <w:r>
              <w:rPr>
                <w:rFonts w:ascii="仿宋_GB2312" w:hAnsi="仿宋_GB2312" w:cs="仿宋_GB2312" w:eastAsia="仿宋_GB2312"/>
                <w:sz w:val="28"/>
              </w:rPr>
              <w:t>-渔用配合饲料安全限量》（NY5072）；苗种的培育尽可能减少药物使用，若有使用鱼药必须符合《无</w:t>
            </w:r>
          </w:p>
          <w:p>
            <w:pPr>
              <w:pStyle w:val="null3"/>
              <w:jc w:val="left"/>
            </w:pPr>
            <w:r>
              <w:rPr>
                <w:rFonts w:ascii="仿宋_GB2312" w:hAnsi="仿宋_GB2312" w:cs="仿宋_GB2312" w:eastAsia="仿宋_GB2312"/>
                <w:sz w:val="28"/>
              </w:rPr>
              <w:t>公害食品</w:t>
            </w:r>
            <w:r>
              <w:rPr>
                <w:rFonts w:ascii="仿宋_GB2312" w:hAnsi="仿宋_GB2312" w:cs="仿宋_GB2312" w:eastAsia="仿宋_GB2312"/>
                <w:sz w:val="28"/>
              </w:rPr>
              <w:t>-渔用药物使用准则》（NY5071），禁止使用国家、行业颁</w:t>
            </w:r>
          </w:p>
          <w:p>
            <w:pPr>
              <w:pStyle w:val="null3"/>
              <w:jc w:val="left"/>
            </w:pPr>
            <w:r>
              <w:rPr>
                <w:rFonts w:ascii="仿宋_GB2312" w:hAnsi="仿宋_GB2312" w:cs="仿宋_GB2312" w:eastAsia="仿宋_GB2312"/>
                <w:sz w:val="28"/>
              </w:rPr>
              <w:t>布的禁用药物。</w:t>
            </w:r>
          </w:p>
          <w:p>
            <w:pPr>
              <w:pStyle w:val="null3"/>
              <w:ind w:firstLine="560"/>
              <w:jc w:val="left"/>
            </w:pPr>
            <w:r>
              <w:rPr>
                <w:rFonts w:ascii="仿宋_GB2312" w:hAnsi="仿宋_GB2312" w:cs="仿宋_GB2312" w:eastAsia="仿宋_GB2312"/>
                <w:sz w:val="28"/>
                <w:b/>
              </w:rPr>
              <w:t>1.6苗种验收要求</w:t>
            </w:r>
          </w:p>
          <w:p>
            <w:pPr>
              <w:pStyle w:val="null3"/>
              <w:ind w:firstLine="560"/>
              <w:jc w:val="left"/>
            </w:pPr>
            <w:r>
              <w:rPr>
                <w:rFonts w:ascii="仿宋_GB2312" w:hAnsi="仿宋_GB2312" w:cs="仿宋_GB2312" w:eastAsia="仿宋_GB2312"/>
                <w:sz w:val="28"/>
              </w:rPr>
              <w:t>放流苗种应符合以下要求：</w:t>
            </w:r>
          </w:p>
          <w:p>
            <w:pPr>
              <w:pStyle w:val="null3"/>
              <w:ind w:firstLine="560"/>
              <w:jc w:val="left"/>
            </w:pPr>
            <w:r>
              <w:rPr>
                <w:rFonts w:ascii="仿宋_GB2312" w:hAnsi="仿宋_GB2312" w:cs="仿宋_GB2312" w:eastAsia="仿宋_GB2312"/>
                <w:sz w:val="28"/>
              </w:rPr>
              <w:t>1.6.1</w:t>
            </w:r>
            <w:r>
              <w:rPr>
                <w:rFonts w:ascii="仿宋_GB2312" w:hAnsi="仿宋_GB2312" w:cs="仿宋_GB2312" w:eastAsia="仿宋_GB2312"/>
                <w:sz w:val="28"/>
              </w:rPr>
              <w:t>感官质量：规格整齐，活力强，外观完整，体表整洁</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1.6.2</w:t>
            </w:r>
            <w:r>
              <w:rPr>
                <w:rFonts w:ascii="仿宋_GB2312" w:hAnsi="仿宋_GB2312" w:cs="仿宋_GB2312" w:eastAsia="仿宋_GB2312"/>
                <w:sz w:val="28"/>
              </w:rPr>
              <w:t>可数指标：规格合格率</w:t>
            </w:r>
            <w:r>
              <w:rPr>
                <w:rFonts w:ascii="仿宋_GB2312" w:hAnsi="仿宋_GB2312" w:cs="仿宋_GB2312" w:eastAsia="仿宋_GB2312"/>
                <w:sz w:val="28"/>
              </w:rPr>
              <w:t>≥90%，成活率≥90%，伤残率和体色异常率之和&lt;5%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1.6.3</w:t>
            </w:r>
            <w:r>
              <w:rPr>
                <w:rFonts w:ascii="仿宋_GB2312" w:hAnsi="仿宋_GB2312" w:cs="仿宋_GB2312" w:eastAsia="仿宋_GB2312"/>
                <w:sz w:val="28"/>
              </w:rPr>
              <w:t>疫病：农业部公告第</w:t>
            </w:r>
            <w:r>
              <w:rPr>
                <w:rFonts w:ascii="仿宋_GB2312" w:hAnsi="仿宋_GB2312" w:cs="仿宋_GB2312" w:eastAsia="仿宋_GB2312"/>
                <w:sz w:val="28"/>
              </w:rPr>
              <w:t xml:space="preserve"> 1125 号规定的水生动物疫病病种不得检出</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1.6.4</w:t>
            </w:r>
            <w:r>
              <w:rPr>
                <w:rFonts w:ascii="仿宋_GB2312" w:hAnsi="仿宋_GB2312" w:cs="仿宋_GB2312" w:eastAsia="仿宋_GB2312"/>
                <w:sz w:val="28"/>
              </w:rPr>
              <w:t>药物残留：国家、行业颁布的禁用药物不得检出，其他药物残留符合《无公害食品</w:t>
            </w:r>
            <w:r>
              <w:rPr>
                <w:rFonts w:ascii="仿宋_GB2312" w:hAnsi="仿宋_GB2312" w:cs="仿宋_GB2312" w:eastAsia="仿宋_GB2312"/>
                <w:sz w:val="28"/>
              </w:rPr>
              <w:t>-水产品中药物残留限量》（NY5070）</w:t>
            </w:r>
            <w:r>
              <w:rPr>
                <w:rFonts w:ascii="仿宋_GB2312" w:hAnsi="仿宋_GB2312" w:cs="仿宋_GB2312" w:eastAsia="仿宋_GB2312"/>
                <w:sz w:val="28"/>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left"/>
            </w:pPr>
            <w:r>
              <w:rPr>
                <w:rFonts w:ascii="仿宋_GB2312" w:hAnsi="仿宋_GB2312" w:cs="仿宋_GB2312" w:eastAsia="仿宋_GB2312"/>
                <w:sz w:val="28"/>
                <w:b/>
              </w:rPr>
              <w:t>2.</w:t>
            </w:r>
            <w:r>
              <w:rPr>
                <w:rFonts w:ascii="仿宋_GB2312" w:hAnsi="仿宋_GB2312" w:cs="仿宋_GB2312" w:eastAsia="仿宋_GB2312"/>
                <w:sz w:val="28"/>
                <w:b/>
              </w:rPr>
              <w:t>商务要求</w:t>
            </w:r>
          </w:p>
          <w:p>
            <w:pPr>
              <w:pStyle w:val="null3"/>
              <w:ind w:firstLine="560"/>
              <w:jc w:val="both"/>
            </w:pPr>
            <w:r>
              <w:rPr>
                <w:rFonts w:ascii="仿宋_GB2312" w:hAnsi="仿宋_GB2312" w:cs="仿宋_GB2312" w:eastAsia="仿宋_GB2312"/>
                <w:sz w:val="28"/>
              </w:rPr>
              <w:t>（一）合同履行期限（交货期）：</w:t>
            </w:r>
            <w:r>
              <w:rPr>
                <w:rFonts w:ascii="仿宋_GB2312" w:hAnsi="仿宋_GB2312" w:cs="仿宋_GB2312" w:eastAsia="仿宋_GB2312"/>
                <w:sz w:val="28"/>
              </w:rPr>
              <w:t>2025年12月31日前，自合同生效之日起计算。</w:t>
            </w:r>
          </w:p>
          <w:p>
            <w:pPr>
              <w:pStyle w:val="null3"/>
              <w:ind w:firstLine="560"/>
              <w:jc w:val="both"/>
            </w:pPr>
            <w:r>
              <w:rPr>
                <w:rFonts w:ascii="仿宋_GB2312" w:hAnsi="仿宋_GB2312" w:cs="仿宋_GB2312" w:eastAsia="仿宋_GB2312"/>
                <w:sz w:val="28"/>
              </w:rPr>
              <w:t>（二）交货地点：采购人指定地点。</w:t>
            </w:r>
          </w:p>
          <w:p>
            <w:pPr>
              <w:pStyle w:val="null3"/>
              <w:ind w:firstLine="560"/>
              <w:jc w:val="both"/>
            </w:pPr>
            <w:r>
              <w:rPr>
                <w:rFonts w:ascii="仿宋_GB2312" w:hAnsi="仿宋_GB2312" w:cs="仿宋_GB2312" w:eastAsia="仿宋_GB2312"/>
                <w:sz w:val="28"/>
              </w:rPr>
              <w:t>（三）付款方式：</w:t>
            </w:r>
          </w:p>
          <w:p>
            <w:pPr>
              <w:pStyle w:val="null3"/>
              <w:ind w:firstLine="560"/>
              <w:jc w:val="both"/>
            </w:pPr>
            <w:r>
              <w:rPr>
                <w:rFonts w:ascii="仿宋_GB2312" w:hAnsi="仿宋_GB2312" w:cs="仿宋_GB2312" w:eastAsia="仿宋_GB2312"/>
                <w:sz w:val="28"/>
              </w:rPr>
              <w:t>1.合同签订生效后，由供应商出具等额发票和付款申请，采购人收到发票和付款申请后3个工作日内向供应商支付合同总额50%的款项。</w:t>
            </w:r>
          </w:p>
          <w:p>
            <w:pPr>
              <w:pStyle w:val="null3"/>
              <w:ind w:firstLine="560"/>
              <w:jc w:val="both"/>
            </w:pPr>
            <w:r>
              <w:rPr>
                <w:rFonts w:ascii="仿宋_GB2312" w:hAnsi="仿宋_GB2312" w:cs="仿宋_GB2312" w:eastAsia="仿宋_GB2312"/>
                <w:sz w:val="28"/>
              </w:rPr>
              <w:t>2.项目完成，经双方验收合格，由供应商出具等额发票和付款申请，采购人收到发票和付款申请后3个工作日内向供应商支付合同总额50%的款项。</w:t>
            </w:r>
          </w:p>
          <w:p>
            <w:pPr>
              <w:pStyle w:val="null3"/>
              <w:ind w:firstLine="560"/>
              <w:jc w:val="both"/>
            </w:pPr>
            <w:r>
              <w:rPr>
                <w:rFonts w:ascii="仿宋_GB2312" w:hAnsi="仿宋_GB2312" w:cs="仿宋_GB2312" w:eastAsia="仿宋_GB2312"/>
                <w:sz w:val="28"/>
              </w:rPr>
              <w:t>3.甲方支付本合同价时，因相关部门必要的审批程序和拨款程序造成支付拖延，不计取任何利息、滞纳金，也不视同违约。</w:t>
            </w:r>
          </w:p>
          <w:p>
            <w:pPr>
              <w:pStyle w:val="null3"/>
              <w:ind w:firstLine="560"/>
              <w:jc w:val="both"/>
            </w:pPr>
            <w:r>
              <w:rPr>
                <w:rFonts w:ascii="仿宋_GB2312" w:hAnsi="仿宋_GB2312" w:cs="仿宋_GB2312" w:eastAsia="仿宋_GB2312"/>
                <w:sz w:val="28"/>
              </w:rPr>
              <w:t>4.支付方式为银行转账。</w:t>
            </w:r>
          </w:p>
          <w:p>
            <w:pPr>
              <w:pStyle w:val="null3"/>
              <w:ind w:firstLine="560"/>
              <w:jc w:val="both"/>
            </w:pPr>
            <w:r>
              <w:rPr>
                <w:rFonts w:ascii="仿宋_GB2312" w:hAnsi="仿宋_GB2312" w:cs="仿宋_GB2312" w:eastAsia="仿宋_GB2312"/>
                <w:sz w:val="28"/>
              </w:rPr>
              <w:t>5.最终按照双方签订的合同执行。</w:t>
            </w:r>
          </w:p>
          <w:p>
            <w:pPr>
              <w:pStyle w:val="null3"/>
              <w:ind w:firstLine="560"/>
              <w:jc w:val="both"/>
            </w:pPr>
            <w:r>
              <w:rPr>
                <w:rFonts w:ascii="仿宋_GB2312" w:hAnsi="仿宋_GB2312" w:cs="仿宋_GB2312" w:eastAsia="仿宋_GB2312"/>
                <w:sz w:val="28"/>
              </w:rPr>
              <w:t>（四）报价要求：</w:t>
            </w:r>
          </w:p>
          <w:p>
            <w:pPr>
              <w:pStyle w:val="null3"/>
              <w:ind w:firstLine="560"/>
              <w:jc w:val="both"/>
            </w:pPr>
            <w:r>
              <w:rPr>
                <w:rFonts w:ascii="仿宋_GB2312" w:hAnsi="仿宋_GB2312" w:cs="仿宋_GB2312" w:eastAsia="仿宋_GB2312"/>
                <w:sz w:val="28"/>
              </w:rPr>
              <w:t>1.包括但不限于苗种的购置和含运输卸货费、税费、验收、售后服务、合同实施过程中应预见和不可预见费用等。</w:t>
            </w:r>
          </w:p>
          <w:p>
            <w:pPr>
              <w:pStyle w:val="null3"/>
              <w:ind w:firstLine="560"/>
              <w:jc w:val="both"/>
            </w:pPr>
            <w:r>
              <w:rPr>
                <w:rFonts w:ascii="仿宋_GB2312" w:hAnsi="仿宋_GB2312" w:cs="仿宋_GB2312" w:eastAsia="仿宋_GB2312"/>
                <w:sz w:val="28"/>
              </w:rPr>
              <w:t>2.供应商报价不得超出单价控制价和各分项苗种采购预算的控制价。</w:t>
            </w:r>
          </w:p>
          <w:p>
            <w:pPr>
              <w:pStyle w:val="null3"/>
              <w:ind w:firstLine="560"/>
              <w:jc w:val="both"/>
            </w:pPr>
            <w:r>
              <w:rPr>
                <w:rFonts w:ascii="仿宋_GB2312" w:hAnsi="仿宋_GB2312" w:cs="仿宋_GB2312" w:eastAsia="仿宋_GB2312"/>
                <w:sz w:val="28"/>
              </w:rPr>
              <w:t>（五）验收方式：</w:t>
            </w:r>
          </w:p>
          <w:p>
            <w:pPr>
              <w:pStyle w:val="null3"/>
              <w:ind w:firstLine="560"/>
              <w:jc w:val="both"/>
            </w:pPr>
            <w:r>
              <w:rPr>
                <w:rFonts w:ascii="仿宋_GB2312" w:hAnsi="仿宋_GB2312" w:cs="仿宋_GB2312" w:eastAsia="仿宋_GB2312"/>
                <w:sz w:val="28"/>
              </w:rPr>
              <w:t>1.苗种到达采购人指定现场，双方及公证开箱点数验收，并在验收确认单上签字。</w:t>
            </w:r>
          </w:p>
          <w:p>
            <w:pPr>
              <w:pStyle w:val="null3"/>
              <w:ind w:firstLine="560"/>
              <w:jc w:val="both"/>
            </w:pPr>
            <w:r>
              <w:rPr>
                <w:rFonts w:ascii="仿宋_GB2312" w:hAnsi="仿宋_GB2312" w:cs="仿宋_GB2312" w:eastAsia="仿宋_GB2312"/>
                <w:sz w:val="28"/>
              </w:rPr>
              <w:t>2.验收时发现死苗，由供应商补足相应的数量的苗种。</w:t>
            </w:r>
          </w:p>
          <w:p>
            <w:pPr>
              <w:pStyle w:val="null3"/>
              <w:ind w:firstLine="560"/>
              <w:jc w:val="both"/>
            </w:pPr>
            <w:r>
              <w:rPr>
                <w:rFonts w:ascii="仿宋_GB2312" w:hAnsi="仿宋_GB2312" w:cs="仿宋_GB2312" w:eastAsia="仿宋_GB2312"/>
                <w:sz w:val="28"/>
              </w:rPr>
              <w:t>3.不合格的苗种，由供应商补充符合要求的苗种，直到合格为止。</w:t>
            </w:r>
          </w:p>
          <w:p>
            <w:pPr>
              <w:pStyle w:val="null3"/>
              <w:ind w:firstLine="560"/>
              <w:jc w:val="both"/>
            </w:pPr>
            <w:r>
              <w:rPr>
                <w:rFonts w:ascii="仿宋_GB2312" w:hAnsi="仿宋_GB2312" w:cs="仿宋_GB2312" w:eastAsia="仿宋_GB2312"/>
                <w:sz w:val="28"/>
              </w:rPr>
              <w:t>（六）知识产权：采购人在中华人民共和国境内使用供应商货物时免受第三方提出的侵犯其专利权或其它知识产权的起诉。如果第三方提出侵权指控，成交人应承担由此而引起的一切法律责任和费用。</w:t>
            </w:r>
          </w:p>
          <w:p>
            <w:pPr>
              <w:pStyle w:val="null3"/>
              <w:ind w:firstLine="560"/>
              <w:jc w:val="both"/>
            </w:pPr>
            <w:r>
              <w:rPr>
                <w:rFonts w:ascii="仿宋_GB2312" w:hAnsi="仿宋_GB2312" w:cs="仿宋_GB2312" w:eastAsia="仿宋_GB2312"/>
                <w:sz w:val="28"/>
              </w:rPr>
              <w:t>（七）其它</w:t>
            </w:r>
          </w:p>
          <w:p>
            <w:pPr>
              <w:pStyle w:val="null3"/>
              <w:ind w:firstLine="560"/>
              <w:jc w:val="both"/>
            </w:pPr>
            <w:r>
              <w:rPr>
                <w:rFonts w:ascii="仿宋_GB2312" w:hAnsi="仿宋_GB2312" w:cs="仿宋_GB2312" w:eastAsia="仿宋_GB2312"/>
                <w:sz w:val="28"/>
              </w:rPr>
              <w:t>1.供应商应指派具有工作经验和技术能力的人员进行放流。</w:t>
            </w:r>
          </w:p>
          <w:p>
            <w:pPr>
              <w:pStyle w:val="null3"/>
              <w:ind w:firstLine="560"/>
              <w:jc w:val="left"/>
            </w:pPr>
            <w:r>
              <w:rPr>
                <w:rFonts w:ascii="仿宋_GB2312" w:hAnsi="仿宋_GB2312" w:cs="仿宋_GB2312" w:eastAsia="仿宋_GB2312"/>
                <w:sz w:val="28"/>
              </w:rPr>
              <w:t>2.其他未尽事宜以合同签订为准。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符合法律、行政法规规定的其他条件自定义格式 无环保类行政处罚记录声明函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《水产苗种生产许可证》</w:t>
            </w:r>
          </w:p>
        </w:tc>
        <w:tc>
          <w:tcPr>
            <w:tcW w:type="dxa" w:w="3322"/>
          </w:tcPr>
          <w:p>
            <w:pPr>
              <w:pStyle w:val="null3"/>
              <w:jc w:val="left"/>
            </w:pPr>
            <w:r>
              <w:rPr>
                <w:rFonts w:ascii="仿宋_GB2312" w:hAnsi="仿宋_GB2312" w:cs="仿宋_GB2312" w:eastAsia="仿宋_GB2312"/>
              </w:rPr>
              <w:t>供应商须提供生产范围涵盖海水类苗种的《水产苗种生产许可证》</w:t>
            </w:r>
          </w:p>
        </w:tc>
        <w:tc>
          <w:tcPr>
            <w:tcW w:type="dxa" w:w="1661"/>
          </w:tcPr>
          <w:p>
            <w:pPr>
              <w:pStyle w:val="null3"/>
              <w:jc w:val="left"/>
            </w:pPr>
            <w:r>
              <w:rPr>
                <w:rFonts w:ascii="仿宋_GB2312" w:hAnsi="仿宋_GB2312" w:cs="仿宋_GB2312" w:eastAsia="仿宋_GB2312"/>
              </w:rPr>
              <w:t>本项目的特定资格要求自定义格式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开标（报价）一览表 商务应答表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技术部分71.00分</w:t>
            </w:r>
          </w:p>
          <w:p>
            <w:pPr>
              <w:pStyle w:val="null3"/>
              <w:jc w:val="left"/>
            </w:pPr>
            <w:r>
              <w:rPr>
                <w:rFonts w:ascii="仿宋_GB2312" w:hAnsi="仿宋_GB2312" w:cs="仿宋_GB2312" w:eastAsia="仿宋_GB2312"/>
              </w:rPr>
              <w:t>商务部分17.00分</w:t>
            </w:r>
          </w:p>
          <w:p>
            <w:pPr>
              <w:pStyle w:val="null3"/>
              <w:jc w:val="left"/>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w:t>
            </w:r>
          </w:p>
        </w:tc>
        <w:tc>
          <w:tcPr>
            <w:tcW w:type="dxa" w:w="2492"/>
          </w:tcPr>
          <w:p>
            <w:pPr>
              <w:pStyle w:val="null3"/>
              <w:jc w:val="left"/>
            </w:pPr>
            <w:r>
              <w:rPr>
                <w:rFonts w:ascii="仿宋_GB2312" w:hAnsi="仿宋_GB2312" w:cs="仿宋_GB2312" w:eastAsia="仿宋_GB2312"/>
              </w:rPr>
              <w:t>根据供应商对技术需求的响应程度进行综合评审。每负偏离一项，扣1.0分，本项扣分扣完为止。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技术服务方案</w:t>
            </w:r>
          </w:p>
        </w:tc>
        <w:tc>
          <w:tcPr>
            <w:tcW w:type="dxa" w:w="2492"/>
          </w:tcPr>
          <w:p>
            <w:pPr>
              <w:pStyle w:val="null3"/>
              <w:jc w:val="left"/>
            </w:pPr>
            <w:r>
              <w:rPr>
                <w:rFonts w:ascii="仿宋_GB2312" w:hAnsi="仿宋_GB2312" w:cs="仿宋_GB2312" w:eastAsia="仿宋_GB2312"/>
              </w:rPr>
              <w:t>根据供应商提供的技术服务方案，包括但不限于：①水环境及水生生物现状的理解；②实施依据；③放流方案；④放流标记方案；⑤亲本检测方案；⑥进度管理措施；⑦放流材料和设备；⑧安全管理措施；⑨环保措施等进行综合评审。 1.以上方案共有9项，每有一项安排完整合理的，得3.0分，每缺一项，该项得0分。 2.每有一项方案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供货实施方案</w:t>
            </w:r>
          </w:p>
        </w:tc>
        <w:tc>
          <w:tcPr>
            <w:tcW w:type="dxa" w:w="2492"/>
          </w:tcPr>
          <w:p>
            <w:pPr>
              <w:pStyle w:val="null3"/>
              <w:jc w:val="left"/>
            </w:pPr>
            <w:r>
              <w:rPr>
                <w:rFonts w:ascii="仿宋_GB2312" w:hAnsi="仿宋_GB2312" w:cs="仿宋_GB2312" w:eastAsia="仿宋_GB2312"/>
              </w:rPr>
              <w:t>根据供应商提供的管理制度，包括但不限于：①货物组织方案；②货物包装方案；③货物运输方案与卸载方案；④供货应急处置方案等进行综合评审。 1.以上方案共有4项，每有一项安排完整合理的，得4.0分，每缺一项，该项得0分。 2.每有一项方案存在一定缺陷的，扣2.0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根据供应商提供的质量保证方案，包括但不限于：①质量保证体系；②质量保证范围；③质量保证承诺；④质量保证措施等进行综合评审。 1.以上方案共有4项，每有一项安排完整合理的，得4.0分，每缺一项，该项得0分。 2.每有一项方案存在一定缺陷的，扣2.0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供应商提供2022年01月01日以来类似项目业绩，每提供1个得2.5分。本项共计5.0分。 证明材料：提供合同，复印件盖供应商公章，不提供不得分。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技术力量</w:t>
            </w:r>
          </w:p>
        </w:tc>
        <w:tc>
          <w:tcPr>
            <w:tcW w:type="dxa" w:w="2492"/>
          </w:tcPr>
          <w:p>
            <w:pPr>
              <w:pStyle w:val="null3"/>
              <w:jc w:val="left"/>
            </w:pPr>
            <w:r>
              <w:rPr>
                <w:rFonts w:ascii="仿宋_GB2312" w:hAnsi="仿宋_GB2312" w:cs="仿宋_GB2312" w:eastAsia="仿宋_GB2312"/>
              </w:rPr>
              <w:t>根据供应商提供的相关专业技术力量进行综合评审。 1.项目负责人（1人）具备水产养殖专业或海水渔业专业正高级技术职称的，得2.0分，副高级技术职称的，得1.0分，中级技术职称的，得0.5分； 2.技术负责人（1人）：具备水产养殖或海水渔业专业高级（含）及以上技术职称的，得2.0分，中级技术职称的，得1.0分； 3.技术团队：每具备一名水产养殖或海水渔业专业中级职称（含）或以上的，得1.5分，本项最多得3.0分。 证明材料：提供相关人员职称证、身份证和其在供应商处服务的聘书或劳动合同，复印件盖供应商公章。人员不重复计分。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苗场（基地）</w:t>
            </w:r>
          </w:p>
        </w:tc>
        <w:tc>
          <w:tcPr>
            <w:tcW w:type="dxa" w:w="2492"/>
          </w:tcPr>
          <w:p>
            <w:pPr>
              <w:pStyle w:val="null3"/>
              <w:jc w:val="left"/>
            </w:pPr>
            <w:r>
              <w:rPr>
                <w:rFonts w:ascii="仿宋_GB2312" w:hAnsi="仿宋_GB2312" w:cs="仿宋_GB2312" w:eastAsia="仿宋_GB2312"/>
              </w:rPr>
              <w:t>供应商拥有苗种苗场（基地） 1.面积在20亩（含）以上的，得5.0分； 2.供应商拥有苗场（基地）面积在20亩（不含）以下的，得3.0分； 证明材料：提供苗场（基地）租赁合同或自有产权证明，复印件盖供应商公章。不提供不得分。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[招标代理]20250800001[CS]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儋州市2025年海水渔业增殖放流项目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儋州市2025年海水渔业增殖放流项目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C09040100-鱼苗、鱼种培育和养殖服务</w:t>
            </w:r>
          </w:p>
        </w:tc>
        <w:tc>
          <w:tcPr>
            <w:tcW w:type="dxa" w:w="1038"/>
          </w:tcPr>
          <w:p>
            <w:pPr>
              <w:pStyle w:val="null3"/>
              <w:jc w:val="left"/>
            </w:pPr>
            <w:r>
              <w:rPr>
                <w:rFonts w:ascii="仿宋_GB2312" w:hAnsi="仿宋_GB2312" w:cs="仿宋_GB2312" w:eastAsia="仿宋_GB2312"/>
              </w:rPr>
              <w:t xml:space="preserve"> 333.00万尾（粒）</w:t>
            </w:r>
          </w:p>
        </w:tc>
        <w:tc>
          <w:tcPr>
            <w:tcW w:type="dxa" w:w="1038"/>
          </w:tcPr>
          <w:p>
            <w:pPr>
              <w:pStyle w:val="null3"/>
              <w:jc w:val="left"/>
            </w:pPr>
            <w:r>
              <w:rPr>
                <w:rFonts w:ascii="仿宋_GB2312" w:hAnsi="仿宋_GB2312" w:cs="仿宋_GB2312" w:eastAsia="仿宋_GB2312"/>
              </w:rPr>
              <w:t xml:space="preserve"> 2800000.53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详见附件：本项目的特定资格要求自定义格式</w:t>
      </w:r>
    </w:p>
    <w:p>
      <w:pPr>
        <w:pStyle w:val="null3"/>
        <w:ind w:firstLine="960"/>
        <w:jc w:val="left"/>
      </w:pPr>
      <w:r>
        <w:rPr>
          <w:rFonts w:ascii="仿宋_GB2312" w:hAnsi="仿宋_GB2312" w:cs="仿宋_GB2312" w:eastAsia="仿宋_GB2312"/>
        </w:rPr>
        <w:t>详见附件：符合法律、行政法规规定的其他条件自定义格式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