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儋州市教育城域网（含校园网）升级光纤专线租用服务项目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HNYH2025-0403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海南源和招标代理有限公司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儋州市教育局</w:t>
      </w:r>
      <w:r>
        <w:rPr>
          <w:rFonts w:ascii="仿宋_GB2312" w:hAnsi="仿宋_GB2312" w:cs="仿宋_GB2312" w:eastAsia="仿宋_GB2312"/>
        </w:rPr>
        <w:t xml:space="preserve"> 委托， </w:t>
      </w:r>
      <w:r>
        <w:rPr>
          <w:rFonts w:ascii="仿宋_GB2312" w:hAnsi="仿宋_GB2312" w:cs="仿宋_GB2312" w:eastAsia="仿宋_GB2312"/>
        </w:rPr>
        <w:t>海南源和招标代理有限公司</w:t>
      </w:r>
      <w:r>
        <w:rPr>
          <w:rFonts w:ascii="仿宋_GB2312" w:hAnsi="仿宋_GB2312" w:cs="仿宋_GB2312" w:eastAsia="仿宋_GB2312"/>
        </w:rPr>
        <w:t xml:space="preserve"> 对 </w:t>
      </w:r>
      <w:r>
        <w:rPr>
          <w:rFonts w:ascii="仿宋_GB2312" w:hAnsi="仿宋_GB2312" w:cs="仿宋_GB2312" w:eastAsia="仿宋_GB2312"/>
        </w:rPr>
        <w:t>儋州市教育城域网（含校园网）升级光纤专线租用服务项目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HNYH2025-0403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儋州市教育城域网（含校园网）升级光纤专线租用服务项目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4,659,400.00元</w:t>
      </w:r>
      <w:r>
        <w:rPr>
          <w:rFonts w:ascii="仿宋_GB2312" w:hAnsi="仿宋_GB2312" w:cs="仿宋_GB2312" w:eastAsia="仿宋_GB2312"/>
        </w:rPr>
        <w:t>肆佰陆拾伍万玖仟肆佰元整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一年，合同签订之日起60日内完成调试服务。（在采购人落实2026/2027年度预算的前提下，且本项目服务内容及服务要求不变，经考核合格后，可依据本次招标结果所签订的合同续签一年，最多续签两年）。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1、投标人应具有《基础电信业务经营许可证》或《增值电信业务经营许可证》：投标人应具有《基础电信业务经营许可证》或《增值电信业务经营许可证》（提供证书有效期内复印件并加盖单位公章）。</w:t>
      </w:r>
    </w:p>
    <w:p>
      <w:pPr>
        <w:pStyle w:val="null3"/>
        <w:jc w:val="left"/>
      </w:pPr>
      <w:r>
        <w:rPr>
          <w:rFonts w:ascii="仿宋_GB2312" w:hAnsi="仿宋_GB2312" w:cs="仿宋_GB2312" w:eastAsia="仿宋_GB2312"/>
        </w:rPr>
        <w:t>2、参加政府采购活动前三年内，无环保类行政处罚记录：参加政府采购活动前三年内，无环保类行政处罚记录（提供无环保类行政处罚记录声明函，加盖公章）。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3、本项目不接受联合体投标：本项目不接受联合体投标（提供承诺函，加盖公章）。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2、投标人须在海南省政府采购网 (https://ccgp-hainan.gov.cn/)中的海南省政府采购智慧云平台进行注册并完善信息。 3、注意事项：本项目为远程不见面开标，投标人无须到达开标现场，但开标前必须进入电子开标大厅在线签到（未签到视为无效投标），远程按时参加在线开标解密即可。本项目采用全流程电子化操作，供应商请在海南省政府采购网办事指南处查阅供应商手册，如需云平台相关咨询，请拨打以下热线电话：4001691288。 4、采购项目需落实的政府采购政策：本项目支持《政府采购促进中小企业发展管理办法》、《关于调整优化节能产品、环境标志产品政府采购执行机制的通知》、《关于促进残疾人就业政府采购政策的通知》、《财政部司法部关于政府采购支持监狱企业发展有关问题的通知》等相关的政府采购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儋州市市政府大楼12层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578001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陈卿伟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23383237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海南源和招标代理有限公司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海南省海口市美兰区蓝天路12-1号中洋公馆1号楼B座1605房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0898-66723196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采购包1：4,659,400.00元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代理服务费收费标准：根据国家计委计价格[2002]1980号文件及发改价格〔2011〕534号文件规定计取再进行下浮85%.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1、所属行业依照《中小企业划型标准规定》（工信部联企业〔2011〕300 号）及《 国民经济行业分类》（GB/T4754-2017）的有关规定执行，本项目采购标的对应的 中小企业划分标准所属行业为：信息传输业。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联系电话：0898-66723196</w:t>
      </w:r>
    </w:p>
    <w:p>
      <w:pPr>
        <w:pStyle w:val="null3"/>
        <w:jc w:val="left"/>
      </w:pPr>
      <w:r>
        <w:rPr>
          <w:rFonts w:ascii="仿宋_GB2312" w:hAnsi="仿宋_GB2312" w:cs="仿宋_GB2312" w:eastAsia="仿宋_GB2312"/>
        </w:rPr>
        <w:t>地址：海南省海口市美兰区蓝天路12-1号中洋公馆1号楼B座1605房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1.项目编号：HNYH2025-0403</w:t>
      </w:r>
    </w:p>
    <w:p>
      <w:pPr>
        <w:pStyle w:val="null3"/>
        <w:spacing w:before="105" w:after="105"/>
        <w:jc w:val="left"/>
      </w:pPr>
      <w:r>
        <w:rPr>
          <w:rFonts w:ascii="仿宋_GB2312" w:hAnsi="仿宋_GB2312" w:cs="仿宋_GB2312" w:eastAsia="仿宋_GB2312"/>
          <w:sz w:val="24"/>
        </w:rPr>
        <w:t>2.项目名称：儋州市教育城域网（含校园网）升级光纤专线租用服务项目</w:t>
      </w:r>
    </w:p>
    <w:p>
      <w:pPr>
        <w:pStyle w:val="null3"/>
        <w:jc w:val="both"/>
      </w:pPr>
      <w:r>
        <w:rPr>
          <w:rFonts w:ascii="仿宋_GB2312" w:hAnsi="仿宋_GB2312" w:cs="仿宋_GB2312" w:eastAsia="仿宋_GB2312"/>
          <w:sz w:val="21"/>
        </w:rPr>
        <w:t>3.预算金额：4,659,400.00元 肆佰陆拾伍万玖仟肆佰元整</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4,659,400.00</w:t>
      </w:r>
    </w:p>
    <w:p>
      <w:pPr>
        <w:pStyle w:val="null3"/>
        <w:jc w:val="left"/>
      </w:pPr>
      <w:r>
        <w:rPr>
          <w:rFonts w:ascii="仿宋_GB2312" w:hAnsi="仿宋_GB2312" w:cs="仿宋_GB2312" w:eastAsia="仿宋_GB2312"/>
        </w:rPr>
        <w:t>采购包最高限价（元）: 4,659,400.00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C17010200-网络接入服务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4,659,400.00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C17010200-网络接入服务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4,659,400.00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标的名称：C17010200-网络接入服务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outlineLvl w:val="1"/>
            </w:pPr>
            <w:r>
              <w:rPr>
                <w:rFonts w:ascii="仿宋_GB2312" w:hAnsi="仿宋_GB2312" w:cs="仿宋_GB2312" w:eastAsia="仿宋_GB2312"/>
                <w:sz w:val="32"/>
                <w:b/>
                <w:color w:val="000000"/>
              </w:rPr>
              <w:t>一、技术要求</w:t>
            </w:r>
          </w:p>
          <w:p>
            <w:pPr>
              <w:pStyle w:val="null3"/>
              <w:jc w:val="both"/>
              <w:outlineLvl w:val="1"/>
            </w:pPr>
            <w:r>
              <w:rPr>
                <w:rFonts w:ascii="仿宋_GB2312" w:hAnsi="仿宋_GB2312" w:cs="仿宋_GB2312" w:eastAsia="仿宋_GB2312"/>
                <w:sz w:val="32"/>
                <w:b/>
                <w:color w:val="000000"/>
              </w:rPr>
              <w:t>1.</w:t>
            </w:r>
            <w:r>
              <w:rPr>
                <w:rFonts w:ascii="仿宋_GB2312" w:hAnsi="仿宋_GB2312" w:cs="仿宋_GB2312" w:eastAsia="仿宋_GB2312"/>
                <w:sz w:val="32"/>
                <w:b/>
                <w:color w:val="000000"/>
              </w:rPr>
              <w:t>项目需求</w:t>
            </w:r>
          </w:p>
          <w:p>
            <w:pPr>
              <w:pStyle w:val="null3"/>
              <w:ind w:firstLine="420"/>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业务需求功能描述</w:t>
            </w:r>
          </w:p>
          <w:p>
            <w:pPr>
              <w:pStyle w:val="null3"/>
              <w:ind w:firstLine="420"/>
              <w:jc w:val="left"/>
            </w:pPr>
            <w:r>
              <w:rPr>
                <w:rFonts w:ascii="仿宋_GB2312" w:hAnsi="仿宋_GB2312" w:cs="仿宋_GB2312" w:eastAsia="仿宋_GB2312"/>
                <w:sz w:val="28"/>
                <w:color w:val="000000"/>
              </w:rPr>
              <w:t>搭建的儋州市教育城域网需具有带宽大、速度快、延迟小等特点，可为高带宽教育教学应用提供高质量的网络支持，如国家中小学智慧教育平台和海南省智慧教育平台资源访问、在线直播教学、师资视频培训、教育视频会议等应用，为网上办公、教师管理、智慧校园管理系统等系统提供安全可靠的网络运行环境。</w:t>
            </w:r>
          </w:p>
          <w:p>
            <w:pPr>
              <w:pStyle w:val="null3"/>
              <w:ind w:firstLine="420"/>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2.总服务需求</w:t>
            </w:r>
          </w:p>
          <w:tbl>
            <w:tblPr>
              <w:tblBorders>
                <w:top w:val="none" w:color="000000" w:sz="4"/>
                <w:left w:val="none" w:color="000000" w:sz="4"/>
                <w:bottom w:val="none" w:color="000000" w:sz="4"/>
                <w:right w:val="none" w:color="000000" w:sz="4"/>
                <w:insideH w:val="none"/>
                <w:insideV w:val="none"/>
              </w:tblBorders>
            </w:tblPr>
            <w:tblGrid>
              <w:gridCol w:w="198"/>
              <w:gridCol w:w="571"/>
              <w:gridCol w:w="878"/>
              <w:gridCol w:w="333"/>
              <w:gridCol w:w="135"/>
              <w:gridCol w:w="427"/>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服务品目</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服务内容及要求</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19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网络传输链路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省教育城域网专线</w:t>
                  </w:r>
                  <w:r>
                    <w:rPr>
                      <w:rFonts w:ascii="仿宋_GB2312" w:hAnsi="仿宋_GB2312" w:cs="仿宋_GB2312" w:eastAsia="仿宋_GB2312"/>
                      <w:sz w:val="22"/>
                      <w:color w:val="000000"/>
                    </w:rPr>
                    <w:t>40G</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条</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40Gbps，数据专线</w:t>
                  </w:r>
                </w:p>
              </w:tc>
            </w:tr>
            <w:tr>
              <w:tc>
                <w:tcPr>
                  <w:tcW w:type="dxa" w:w="198"/>
                  <w:vMerge/>
                  <w:tcBorders>
                    <w:top w:val="none" w:color="000000" w:sz="4"/>
                    <w:left w:val="single" w:color="000000" w:sz="4"/>
                    <w:bottom w:val="none" w:color="000000" w:sz="4"/>
                    <w:right w:val="single" w:color="000000" w:sz="4"/>
                  </w:tcBorders>
                </w:tcPr>
                <w:p/>
              </w:tc>
              <w:tc>
                <w:tcPr>
                  <w:tcW w:type="dxa" w:w="571"/>
                  <w:vMerge/>
                  <w:tcBorders>
                    <w:top w:val="none" w:color="000000" w:sz="4"/>
                    <w:left w:val="none" w:color="000000" w:sz="4"/>
                    <w:bottom w:val="none" w:color="000000" w:sz="4"/>
                    <w:right w:val="single" w:color="000000" w:sz="4"/>
                  </w:tcBorders>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互联网出口专线</w:t>
                  </w:r>
                  <w:r>
                    <w:rPr>
                      <w:rFonts w:ascii="仿宋_GB2312" w:hAnsi="仿宋_GB2312" w:cs="仿宋_GB2312" w:eastAsia="仿宋_GB2312"/>
                      <w:sz w:val="22"/>
                      <w:color w:val="000000"/>
                    </w:rPr>
                    <w:t>20G</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条</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2</w:t>
                  </w:r>
                  <w:r>
                    <w:rPr>
                      <w:rFonts w:ascii="仿宋_GB2312" w:hAnsi="仿宋_GB2312" w:cs="仿宋_GB2312" w:eastAsia="仿宋_GB2312"/>
                      <w:sz w:val="22"/>
                      <w:color w:val="000000"/>
                    </w:rPr>
                    <w:t>0Gbps，互联网专线</w:t>
                  </w:r>
                </w:p>
              </w:tc>
            </w:tr>
            <w:tr>
              <w:tc>
                <w:tcPr>
                  <w:tcW w:type="dxa" w:w="198"/>
                  <w:vMerge/>
                  <w:tcBorders>
                    <w:top w:val="none" w:color="000000" w:sz="4"/>
                    <w:left w:val="single" w:color="000000" w:sz="4"/>
                    <w:bottom w:val="none" w:color="000000" w:sz="4"/>
                    <w:right w:val="single" w:color="000000" w:sz="4"/>
                  </w:tcBorders>
                </w:tcPr>
                <w:p/>
              </w:tc>
              <w:tc>
                <w:tcPr>
                  <w:tcW w:type="dxa" w:w="571"/>
                  <w:vMerge/>
                  <w:tcBorders>
                    <w:top w:val="none" w:color="000000" w:sz="4"/>
                    <w:left w:val="none" w:color="000000" w:sz="4"/>
                    <w:bottom w:val="none" w:color="000000" w:sz="4"/>
                    <w:right w:val="single" w:color="000000" w:sz="4"/>
                  </w:tcBorders>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上下行对称速率</w:t>
                  </w:r>
                  <w:r>
                    <w:rPr>
                      <w:rFonts w:ascii="仿宋_GB2312" w:hAnsi="仿宋_GB2312" w:cs="仿宋_GB2312" w:eastAsia="仿宋_GB2312"/>
                      <w:sz w:val="22"/>
                      <w:color w:val="000000"/>
                    </w:rPr>
                    <w:t>100M</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主要链接普通教室</w:t>
                  </w:r>
                  <w:r>
                    <w:rPr>
                      <w:rFonts w:ascii="仿宋_GB2312" w:hAnsi="仿宋_GB2312" w:cs="仿宋_GB2312" w:eastAsia="仿宋_GB2312"/>
                      <w:sz w:val="22"/>
                      <w:color w:val="000000"/>
                    </w:rPr>
                    <w:t>/多媒体教室、同步课堂和录播教室、功能教室、实验室、教师办公室（1-4人）、教师办公</w:t>
                  </w:r>
                </w:p>
                <w:p>
                  <w:pPr>
                    <w:pStyle w:val="null3"/>
                    <w:jc w:val="center"/>
                  </w:pPr>
                  <w:r>
                    <w:rPr>
                      <w:rFonts w:ascii="仿宋_GB2312" w:hAnsi="仿宋_GB2312" w:cs="仿宋_GB2312" w:eastAsia="仿宋_GB2312"/>
                      <w:sz w:val="22"/>
                      <w:color w:val="000000"/>
                    </w:rPr>
                    <w:t>室（</w:t>
                  </w:r>
                  <w:r>
                    <w:rPr>
                      <w:rFonts w:ascii="仿宋_GB2312" w:hAnsi="仿宋_GB2312" w:cs="仿宋_GB2312" w:eastAsia="仿宋_GB2312"/>
                      <w:sz w:val="22"/>
                      <w:color w:val="000000"/>
                    </w:rPr>
                    <w:t>5-10人）</w:t>
                  </w:r>
                  <w:r>
                    <w:rPr>
                      <w:rFonts w:ascii="仿宋_GB2312" w:hAnsi="仿宋_GB2312" w:cs="仿宋_GB2312" w:eastAsia="仿宋_GB2312"/>
                      <w:sz w:val="22"/>
                      <w:color w:val="000000"/>
                    </w:rPr>
                    <w:t>等</w:t>
                  </w:r>
                </w:p>
              </w:tc>
            </w:tr>
            <w:tr>
              <w:tc>
                <w:tcPr>
                  <w:tcW w:type="dxa" w:w="198"/>
                  <w:vMerge/>
                  <w:tcBorders>
                    <w:top w:val="none" w:color="000000" w:sz="4"/>
                    <w:left w:val="single" w:color="000000" w:sz="4"/>
                    <w:bottom w:val="none" w:color="000000" w:sz="4"/>
                    <w:right w:val="single" w:color="000000" w:sz="4"/>
                  </w:tcBorders>
                </w:tcPr>
                <w:p/>
              </w:tc>
              <w:tc>
                <w:tcPr>
                  <w:tcW w:type="dxa" w:w="571"/>
                  <w:vMerge/>
                  <w:tcBorders>
                    <w:top w:val="none" w:color="000000" w:sz="4"/>
                    <w:left w:val="none" w:color="000000" w:sz="4"/>
                    <w:bottom w:val="none" w:color="000000" w:sz="4"/>
                    <w:right w:val="single" w:color="000000" w:sz="4"/>
                  </w:tcBorders>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上下行对称速率</w:t>
                  </w:r>
                  <w:r>
                    <w:rPr>
                      <w:rFonts w:ascii="仿宋_GB2312" w:hAnsi="仿宋_GB2312" w:cs="仿宋_GB2312" w:eastAsia="仿宋_GB2312"/>
                      <w:sz w:val="22"/>
                      <w:color w:val="000000"/>
                    </w:rPr>
                    <w:t>300M</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主要链接</w:t>
                  </w:r>
                  <w:r>
                    <w:rPr>
                      <w:rFonts w:ascii="仿宋_GB2312" w:hAnsi="仿宋_GB2312" w:cs="仿宋_GB2312" w:eastAsia="仿宋_GB2312"/>
                      <w:sz w:val="22"/>
                      <w:color w:val="000000"/>
                    </w:rPr>
                    <w:t>报告厅</w:t>
                  </w:r>
                  <w:r>
                    <w:rPr>
                      <w:rFonts w:ascii="仿宋_GB2312" w:hAnsi="仿宋_GB2312" w:cs="仿宋_GB2312" w:eastAsia="仿宋_GB2312"/>
                      <w:sz w:val="22"/>
                      <w:color w:val="000000"/>
                    </w:rPr>
                    <w:t>/会议室、教师办公室（11-20人）</w:t>
                  </w:r>
                </w:p>
              </w:tc>
            </w:tr>
            <w:tr>
              <w:tc>
                <w:tcPr>
                  <w:tcW w:type="dxa" w:w="198"/>
                  <w:vMerge/>
                  <w:tcBorders>
                    <w:top w:val="none" w:color="000000" w:sz="4"/>
                    <w:left w:val="single" w:color="000000" w:sz="4"/>
                    <w:bottom w:val="none" w:color="000000" w:sz="4"/>
                    <w:right w:val="single" w:color="000000" w:sz="4"/>
                  </w:tcBorders>
                </w:tcPr>
                <w:p/>
              </w:tc>
              <w:tc>
                <w:tcPr>
                  <w:tcW w:type="dxa" w:w="571"/>
                  <w:vMerge/>
                  <w:tcBorders>
                    <w:top w:val="none" w:color="000000" w:sz="4"/>
                    <w:left w:val="none" w:color="000000" w:sz="4"/>
                    <w:bottom w:val="none" w:color="000000" w:sz="4"/>
                    <w:right w:val="single" w:color="000000" w:sz="4"/>
                  </w:tcBorders>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上下行对称速率</w:t>
                  </w:r>
                  <w:r>
                    <w:rPr>
                      <w:rFonts w:ascii="仿宋_GB2312" w:hAnsi="仿宋_GB2312" w:cs="仿宋_GB2312" w:eastAsia="仿宋_GB2312"/>
                      <w:sz w:val="22"/>
                      <w:color w:val="000000"/>
                    </w:rPr>
                    <w:t>500M</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主要链接</w:t>
                  </w:r>
                  <w:r>
                    <w:rPr>
                      <w:rFonts w:ascii="仿宋_GB2312" w:hAnsi="仿宋_GB2312" w:cs="仿宋_GB2312" w:eastAsia="仿宋_GB2312"/>
                      <w:sz w:val="22"/>
                      <w:color w:val="000000"/>
                    </w:rPr>
                    <w:t>计算机教室</w:t>
                  </w:r>
                </w:p>
              </w:tc>
            </w:tr>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网络安全租赁服务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提供教育城域网相关技术服务供教育局使用，包含城域网安全防护服务、日志审计、核心交换机、出口防火墙、上网行为管理、网关设备、堡垒机等</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机房托管服务</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IDC租用服务主机托管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部署在运营商机房</w:t>
                  </w:r>
                </w:p>
              </w:tc>
            </w:tr>
          </w:tbl>
          <w:p>
            <w:pPr>
              <w:pStyle w:val="null3"/>
              <w:ind w:firstLine="420"/>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3.本次采购涉及的学校及链路服务需求明细表</w:t>
            </w:r>
          </w:p>
          <w:tbl>
            <w:tblPr>
              <w:tblBorders>
                <w:top w:val="none" w:color="000000" w:sz="4"/>
                <w:left w:val="none" w:color="000000" w:sz="4"/>
                <w:bottom w:val="none" w:color="000000" w:sz="4"/>
                <w:right w:val="none" w:color="000000" w:sz="4"/>
                <w:insideH w:val="none"/>
                <w:insideV w:val="none"/>
              </w:tblBorders>
            </w:tblPr>
            <w:tblGrid>
              <w:gridCol w:w="193"/>
              <w:gridCol w:w="845"/>
              <w:gridCol w:w="409"/>
              <w:gridCol w:w="498"/>
              <w:gridCol w:w="386"/>
              <w:gridCol w:w="206"/>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8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学校名称</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100M(条）</w:t>
                  </w:r>
                </w:p>
              </w:tc>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300M(条）</w:t>
                  </w:r>
                </w:p>
              </w:tc>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500M(条）</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0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儋州市第五中学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儋州市第四中学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洋浦经济开发区第二中学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儋州市第六中学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儋州市八一糖厂中学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儋州市第七中学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儋州市松涛中学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儋州市西培中学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儋州市光村中学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儋州市东成中学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儋州市西庆中学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儋州市雅星中学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儋州市南丰中学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儋州市木棠中学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儋州市海头中学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儋州市大成中学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儋州市西华中学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儋州市王五中学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儋州市兰洋中学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儋州市排浦中学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儋州市东坡中学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儋州市思源高级中学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儋州市思源实验学校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儋州市儋耳实验学校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上海师范大学附属儋州实验学校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洋浦经济开发区三都学校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儋州市西流学校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儋州市新盈学校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儋州市红岭学校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儋州市峨蔓学校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海南省洋浦中学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儋州市第一中学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儋州市第三中学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儋州市第二中学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儋州市民族中学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儋州市长坡中学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儋州市新州中学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儋州市两院中学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儋州市那大镇第三小学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儋州市那大实验小学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儋州市那大镇第九小学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儋州市那大镇第八小学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儋州市白马井实验小学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儋州市那大第一小学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儋州市那大镇第六小学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儋州市那大镇第十一小学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儋州市那大镇第十小学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儋州市那大实验小学茶山校区</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儋州市八一中心小学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儋州市那大第五小学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儋州市那大镇雅拉小学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儋州市新州镇中心学校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洋浦经济开发区实验小学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洋浦经济开发区第一小学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儋州市光村镇中心学校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儋州市长坡实验小学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儋州市那大镇第二小学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儋州市西培中心小学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洋浦经济开发区新英湾小学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儋州市东成镇中心学校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儋州市西联中心小学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洋浦经济开发区第二小学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儋州市西庆中心小学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儋州市兰洋镇中心学校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儋州市两院小学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儋州市那大镇横岭小学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儋州市海头镇中心学校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儋州市八一糖厂小学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儋州市木棠镇中心学校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儋州市大成镇中心学校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儋州市王五镇中心学校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洋浦经济开发区东浦小学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洋浦经济开发区干冲小学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儋州市南丰镇中心学校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儋州市新州镇新英第一小学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儋州市排浦镇中心学校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洋浦经济开发区第三小学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儋州市八一金川第一小学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儋州市白马井镇福村小学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儋州市西华中心小学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洋浦经济开发区新都小学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儋州市中和镇中心学校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儋州市白马井镇松鸣小学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儋州市白马井镇禾能小学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儋州市和庆镇中心学校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儋州市那大镇洛基小学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儋州市雅星镇中心学校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儋州市白马井镇藤根小学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儋州市新州实验小学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儋州市西培片培瑞小学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儋州市那大镇洛南小学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儋州市新州镇英均小学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儋州市八一长岭第一小学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儋州市八一春江第一小学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儋州市南丰镇陶江小学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儋州市八一英岛第二小学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儋州市和庆镇和祥小学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儋州市白马井镇马口井小学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儋州市海头镇港口小学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儋州市八一东山第一小学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儋州市海头糖业公司子弟学校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儋州市白马井镇钱地小学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儋州市新州镇南岸小学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儋州市东成镇抱舍学校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儋州市八一金川第二小学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儋州市龙山学校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儋州市木棠镇高堂小学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儋州市南丰镇松门小学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儋州市八一英岛第一小学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儋州市白马井镇山村小学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儋州市白马井镇寨基小学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儋州市八一金川第三小学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儋州市那大镇白南小学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儋州市和庆镇美灵小学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儋州市那大镇石屋小学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儋州市兰洋镇南罗小学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儋州市西庆前进小学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儋州市西华七小</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儋州市西庆鹅塘小学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儋州市雅星镇富克小学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儋州市白马井镇旧地小学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儋州市海头镇珠江小学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儋州市西培片培平小学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儋州市海头镇加乐小学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儋州市西庆大星小学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儋州市南辰农场职工子弟学校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儋州市西培片培文小学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儋州市西华五小</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儋州市蓝洋第三小学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儋州市西华六小</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儋州市西培片南乐小学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儋州市那大镇侨南小学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儋州市西联东风小学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儋州市八一春江第二小学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儋州市白马井镇东山小学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儋州市雅星镇庙陀小学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儋州市西联五星小学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儋州市西流红林小学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儋州市八一长岭第二小学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儋州市西联红旗小学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儋州市西培片推文小学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儋州市白马井镇南庄小学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儋州市西庆勇敢小学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儋州市白马井镇竹古小学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儋州市西联东方红小学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儋州市西庆和平小学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儋州市新州镇新英第二小学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儋州市雅星镇新村小学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儋州市白马井镇韩宅小学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儋州市西华二小</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儋州市雅星镇飞巴小学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儋州市排浦镇春花小学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儋州市南丰镇油麻小学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儋州市雅星镇文丰小学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儋州市和庆镇新村小学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儋州市木棠镇荣谋小学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儋州市南丰镇尖岭小学</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儋州市正德学校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8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儋州市特殊教育学校</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4.本次采购网络安全租赁服务需求</w:t>
            </w:r>
          </w:p>
          <w:p>
            <w:pPr>
              <w:pStyle w:val="null3"/>
              <w:ind w:firstLine="562"/>
              <w:jc w:val="left"/>
            </w:pPr>
            <w:r>
              <w:rPr>
                <w:rFonts w:ascii="仿宋_GB2312" w:hAnsi="仿宋_GB2312" w:cs="仿宋_GB2312" w:eastAsia="仿宋_GB2312"/>
                <w:sz w:val="28"/>
                <w:b/>
                <w:color w:val="000000"/>
              </w:rPr>
              <w:t>为满足本次儋州教育城域网的建设和使用需求，保证基本的服务质量，要求提供以下城域网专用核心设备（托管在运营商机房），以满足教育城域网建设规范要求</w:t>
            </w:r>
            <w:r>
              <w:rPr>
                <w:rFonts w:ascii="仿宋_GB2312" w:hAnsi="仿宋_GB2312" w:cs="仿宋_GB2312" w:eastAsia="仿宋_GB2312"/>
                <w:sz w:val="28"/>
                <w:b/>
                <w:color w:val="000000"/>
              </w:rPr>
              <w:t>：</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核心设备选型：要求选用行业产品，</w:t>
            </w:r>
            <w:r>
              <w:rPr>
                <w:rFonts w:ascii="仿宋_GB2312" w:hAnsi="仿宋_GB2312" w:cs="仿宋_GB2312" w:eastAsia="仿宋_GB2312"/>
                <w:sz w:val="28"/>
                <w:color w:val="000000"/>
              </w:rPr>
              <w:t>禁止</w:t>
            </w:r>
            <w:r>
              <w:rPr>
                <w:rFonts w:ascii="仿宋_GB2312" w:hAnsi="仿宋_GB2312" w:cs="仿宋_GB2312" w:eastAsia="仿宋_GB2312"/>
                <w:sz w:val="28"/>
                <w:color w:val="000000"/>
              </w:rPr>
              <w:t>采用</w:t>
            </w:r>
            <w:r>
              <w:rPr>
                <w:rFonts w:ascii="仿宋_GB2312" w:hAnsi="仿宋_GB2312" w:cs="仿宋_GB2312" w:eastAsia="仿宋_GB2312"/>
                <w:sz w:val="28"/>
                <w:color w:val="000000"/>
              </w:rPr>
              <w:t>行业</w:t>
            </w:r>
            <w:r>
              <w:rPr>
                <w:rFonts w:ascii="仿宋_GB2312" w:hAnsi="仿宋_GB2312" w:cs="仿宋_GB2312" w:eastAsia="仿宋_GB2312"/>
                <w:sz w:val="28"/>
                <w:color w:val="000000"/>
              </w:rPr>
              <w:t>分销、家用级设备；</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核心设备的国产化要求：核心交换机、路由器、防火墙、日志审计、城域网安全防护、堡垒机、准入认证等设备的</w:t>
            </w:r>
            <w:r>
              <w:rPr>
                <w:rFonts w:ascii="仿宋_GB2312" w:hAnsi="仿宋_GB2312" w:cs="仿宋_GB2312" w:eastAsia="仿宋_GB2312"/>
                <w:sz w:val="28"/>
                <w:color w:val="000000"/>
              </w:rPr>
              <w:t>关键部件（</w:t>
            </w:r>
            <w:r>
              <w:rPr>
                <w:rFonts w:ascii="仿宋_GB2312" w:hAnsi="仿宋_GB2312" w:cs="仿宋_GB2312" w:eastAsia="仿宋_GB2312"/>
                <w:sz w:val="28"/>
                <w:color w:val="000000"/>
              </w:rPr>
              <w:t>CPU、转发芯片）采用国产化芯片或支持部署在国产化环境中</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核心硬件设备的冗余要求：核心设备（包括路由器、交换机、防火墙）需配置双机，通过设备的堆叠增强稳定性；核心设备的关键部件（包括路由器、交换机等的引擎、电源、风扇等）需要配置</w:t>
            </w:r>
            <w:r>
              <w:rPr>
                <w:rFonts w:ascii="仿宋_GB2312" w:hAnsi="仿宋_GB2312" w:cs="仿宋_GB2312" w:eastAsia="仿宋_GB2312"/>
                <w:sz w:val="28"/>
                <w:color w:val="000000"/>
              </w:rPr>
              <w:t>N+1冗余备份；核心设备（包括路由器、交换机等）的业务板卡、端口、光模块等需要根据实际需要具备一定的扩展性，同时为无缝扩容预留空间及能力，快速满足业务扩展需要；</w:t>
            </w:r>
          </w:p>
          <w:p>
            <w:pPr>
              <w:pStyle w:val="null3"/>
              <w:ind w:firstLine="560"/>
              <w:jc w:val="both"/>
            </w:pPr>
            <w:r>
              <w:rPr>
                <w:rFonts w:ascii="仿宋_GB2312" w:hAnsi="仿宋_GB2312" w:cs="仿宋_GB2312" w:eastAsia="仿宋_GB2312"/>
                <w:sz w:val="28"/>
                <w:color w:val="000000"/>
              </w:rPr>
              <w:t>4.核心设备的联动功能：①准入认证系统可实现无缝对接省级认证系统，实现省级用户信息实时同步到儋州认证系统，实现用户用网状况的统一呈现；②支持准入准出一体化认证方案，配合核心交换机、路由器、防火墙，实现实名认证、日志记录和溯源③包含与省认证平台对接配置及开发，配置10000个用户认证授权和1000个哑终端的认证授权，配置探针，实现哑终端的发现和管理功能；</w:t>
            </w:r>
          </w:p>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5.网络服务要求</w:t>
            </w:r>
          </w:p>
          <w:p>
            <w:pPr>
              <w:pStyle w:val="null3"/>
              <w:ind w:firstLine="480"/>
              <w:jc w:val="left"/>
            </w:pPr>
            <w:r>
              <w:rPr>
                <w:rFonts w:ascii="仿宋_GB2312" w:hAnsi="仿宋_GB2312" w:cs="仿宋_GB2312" w:eastAsia="仿宋_GB2312"/>
                <w:sz w:val="28"/>
                <w:color w:val="000000"/>
              </w:rPr>
              <w:t>服务商需提供教育城域网枢纽节点由服务商在</w:t>
            </w:r>
            <w:r>
              <w:rPr>
                <w:rFonts w:ascii="仿宋_GB2312" w:hAnsi="仿宋_GB2312" w:cs="仿宋_GB2312" w:eastAsia="仿宋_GB2312"/>
                <w:sz w:val="28"/>
                <w:b/>
                <w:color w:val="000000"/>
              </w:rPr>
              <w:t>儋州市</w:t>
            </w:r>
            <w:r>
              <w:rPr>
                <w:rFonts w:ascii="仿宋_GB2312" w:hAnsi="仿宋_GB2312" w:cs="仿宋_GB2312" w:eastAsia="仿宋_GB2312"/>
                <w:sz w:val="28"/>
                <w:color w:val="000000"/>
              </w:rPr>
              <w:t>提供场地及网络、安全、服务器、存储等设施和设备；传输网络由服务商提供通信信道</w:t>
            </w:r>
            <w:r>
              <w:rPr>
                <w:rFonts w:ascii="仿宋_GB2312" w:hAnsi="仿宋_GB2312" w:cs="仿宋_GB2312" w:eastAsia="仿宋_GB2312"/>
                <w:sz w:val="28"/>
                <w:color w:val="000000"/>
              </w:rPr>
              <w:t>(OTN)，向上通过高带宽10G/40G/100G以太网接口链路，实现与教育城域网省级核心节点的无缝对接，横向采用多出口策略连接互联网，有效实现负载分担；校园网络采用光纤进班方式接入各类信息终端，确保每个终端接入的并行带宽不低于100Mbps。</w:t>
            </w:r>
          </w:p>
          <w:p>
            <w:pPr>
              <w:pStyle w:val="null3"/>
              <w:ind w:firstLine="480"/>
              <w:jc w:val="left"/>
            </w:pPr>
            <w:r>
              <w:rPr>
                <w:rFonts w:ascii="仿宋_GB2312" w:hAnsi="仿宋_GB2312" w:cs="仿宋_GB2312" w:eastAsia="仿宋_GB2312"/>
                <w:sz w:val="28"/>
                <w:color w:val="000000"/>
              </w:rPr>
              <w:t>教育城域网需全面支持</w:t>
            </w:r>
            <w:r>
              <w:rPr>
                <w:rFonts w:ascii="仿宋_GB2312" w:hAnsi="仿宋_GB2312" w:cs="仿宋_GB2312" w:eastAsia="仿宋_GB2312"/>
                <w:sz w:val="28"/>
                <w:color w:val="000000"/>
              </w:rPr>
              <w:t>IPv6部署和应用，支持IPv6和IPv4双栈协议。教育网IPv6使用教科网(CRENET)IPv6地址，由省教育厅统一规划，市教育局向本辖区范围内公办中小学所有教学、办公、管理终端自动下发分配。</w:t>
            </w:r>
          </w:p>
          <w:p>
            <w:pPr>
              <w:pStyle w:val="null3"/>
              <w:ind w:firstLine="480"/>
              <w:jc w:val="left"/>
            </w:pPr>
            <w:r>
              <w:rPr>
                <w:rFonts w:ascii="仿宋_GB2312" w:hAnsi="仿宋_GB2312" w:cs="仿宋_GB2312" w:eastAsia="仿宋_GB2312"/>
                <w:sz w:val="28"/>
                <w:color w:val="000000"/>
              </w:rPr>
              <w:t>服务商提供服务的校园网络要确保各类信息终端能够安全快速访问国家智慧教育公共平台业务、公众网络教育教学资源、教育各类公众服务业务、教育系统内部各类管理业务、校园安全视频汇聚业务、考务应急指挥业务、教育视频会议业务、同步课堂业务、办公互联网访问业务等，同时要满足校园内本地服务、文件共享及打印共享等功能需求。</w:t>
            </w:r>
          </w:p>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6.网络架构</w:t>
            </w:r>
          </w:p>
          <w:p>
            <w:pPr>
              <w:pStyle w:val="null3"/>
              <w:ind w:firstLine="560"/>
              <w:jc w:val="left"/>
            </w:pPr>
            <w:r>
              <w:rPr>
                <w:rFonts w:ascii="仿宋_GB2312" w:hAnsi="仿宋_GB2312" w:cs="仿宋_GB2312" w:eastAsia="仿宋_GB2312"/>
                <w:sz w:val="28"/>
                <w:color w:val="000000"/>
              </w:rPr>
              <w:t>儋州市教育城域网汇聚节点由市教育城域网汇聚网络与辖区学校校园网及其他教育机构网络等连接构成。市教育城域网汇聚节点向上连接海南省教育城域网核心节点，横向连接公众互联网，向下连接辖区学校校园网。市教育城域网汇聚节点网络结构如图所示，具体内容如下：</w:t>
            </w:r>
          </w:p>
          <w:p>
            <w:pPr>
              <w:pStyle w:val="null3"/>
              <w:jc w:val="center"/>
            </w:pPr>
            <w:r>
              <w:drawing>
                <wp:inline distT="0" distR="0" distB="0" distL="0">
                  <wp:extent cx="1621155" cy="149971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1499712"/>
                          </a:xfrm>
                          <a:prstGeom prst="rect">
                            <a:avLst/>
                          </a:prstGeom>
                        </pic:spPr>
                      </pic:pic>
                    </a:graphicData>
                  </a:graphic>
                </wp:inline>
              </w:drawing>
            </w:r>
          </w:p>
          <w:p>
            <w:pPr>
              <w:pStyle w:val="null3"/>
              <w:jc w:val="center"/>
            </w:pPr>
            <w:r>
              <w:rPr>
                <w:rFonts w:ascii="仿宋_GB2312" w:hAnsi="仿宋_GB2312" w:cs="仿宋_GB2312" w:eastAsia="仿宋_GB2312"/>
                <w:sz w:val="28"/>
                <w:b/>
                <w:color w:val="000000"/>
              </w:rPr>
              <w:t>图</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儋州市教育城域网网络架构图</w:t>
            </w:r>
          </w:p>
          <w:p>
            <w:pPr>
              <w:pStyle w:val="null3"/>
              <w:ind w:firstLine="48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儋州市教育城域网的汇聚节点由路由器、核心交换机、入侵检测设备、出口防火墙、上网行为管理设备、安全准入认证平台、态势感知平台、日志审计管理平台等组成；</w:t>
            </w:r>
          </w:p>
          <w:p>
            <w:pPr>
              <w:pStyle w:val="null3"/>
              <w:ind w:firstLine="48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市教育城域网汇聚节点汇聚设备用于市教育城域网的接入，要求采用冗余汇聚设备组网，有效分担市学校业务流量对汇聚设备的压力。</w:t>
            </w:r>
          </w:p>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7.网络安全要求</w:t>
            </w:r>
          </w:p>
          <w:p>
            <w:pPr>
              <w:pStyle w:val="null3"/>
              <w:ind w:firstLine="480"/>
              <w:jc w:val="left"/>
            </w:pPr>
            <w:r>
              <w:rPr>
                <w:rFonts w:ascii="仿宋_GB2312" w:hAnsi="仿宋_GB2312" w:cs="仿宋_GB2312" w:eastAsia="仿宋_GB2312"/>
                <w:sz w:val="28"/>
                <w:color w:val="000000"/>
              </w:rPr>
              <w:t>服务商提供服务的儋州市教育城域网要严格执行国家网络安全等级保护制度，光纤网络接入需符合</w:t>
            </w:r>
            <w:r>
              <w:rPr>
                <w:rFonts w:ascii="仿宋_GB2312" w:hAnsi="仿宋_GB2312" w:cs="仿宋_GB2312" w:eastAsia="仿宋_GB2312"/>
                <w:sz w:val="28"/>
                <w:color w:val="000000"/>
              </w:rPr>
              <w:t>GB/T 22240-2020的等保要求，达到网络安全等级定级的二级标准。</w:t>
            </w:r>
            <w:r>
              <w:rPr>
                <w:rFonts w:ascii="仿宋_GB2312" w:hAnsi="仿宋_GB2312" w:cs="仿宋_GB2312" w:eastAsia="仿宋_GB2312"/>
                <w:sz w:val="28"/>
                <w:color w:val="000000"/>
              </w:rPr>
              <w:t>教育城域网出口部署</w:t>
            </w:r>
            <w:r>
              <w:rPr>
                <w:rFonts w:ascii="仿宋_GB2312" w:hAnsi="仿宋_GB2312" w:cs="仿宋_GB2312" w:eastAsia="仿宋_GB2312"/>
                <w:sz w:val="28"/>
                <w:color w:val="000000"/>
              </w:rPr>
              <w:t>20</w:t>
            </w:r>
            <w:r>
              <w:rPr>
                <w:rFonts w:ascii="仿宋_GB2312" w:hAnsi="仿宋_GB2312" w:cs="仿宋_GB2312" w:eastAsia="仿宋_GB2312"/>
                <w:sz w:val="28"/>
                <w:color w:val="000000"/>
              </w:rPr>
              <w:t>G安全审</w:t>
            </w:r>
            <w:r>
              <w:rPr>
                <w:rFonts w:ascii="仿宋_GB2312" w:hAnsi="仿宋_GB2312" w:cs="仿宋_GB2312" w:eastAsia="仿宋_GB2312"/>
                <w:sz w:val="28"/>
                <w:color w:val="000000"/>
              </w:rPr>
              <w:t>计、安全防护设备，作为互联网出口和教育城域网边界安全的设备，要实现对教育城域网和互联网流量的安全审计、安全告警、安全事件溯源。</w:t>
            </w:r>
          </w:p>
          <w:p>
            <w:pPr>
              <w:pStyle w:val="null3"/>
              <w:ind w:firstLine="480"/>
              <w:jc w:val="left"/>
            </w:pPr>
            <w:r>
              <w:rPr>
                <w:rFonts w:ascii="仿宋_GB2312" w:hAnsi="仿宋_GB2312" w:cs="仿宋_GB2312" w:eastAsia="仿宋_GB2312"/>
                <w:sz w:val="28"/>
                <w:color w:val="000000"/>
              </w:rPr>
              <w:t>(1)流量监控与威胁管理</w:t>
            </w:r>
          </w:p>
          <w:p>
            <w:pPr>
              <w:pStyle w:val="null3"/>
              <w:ind w:firstLine="500"/>
              <w:jc w:val="left"/>
            </w:pPr>
            <w:r>
              <w:rPr>
                <w:rFonts w:ascii="仿宋_GB2312" w:hAnsi="仿宋_GB2312" w:cs="仿宋_GB2312" w:eastAsia="仿宋_GB2312"/>
                <w:sz w:val="28"/>
                <w:color w:val="000000"/>
              </w:rPr>
              <w:t>引入流量监控技术，精准识别并拦截恶意软件、钓鱼网站及矿池地址等安全威胁，同时对上网行为进行细致审计，确保对潜在安全风险的及时发现与有效管控。集成威胁感知系统，敏锐捕捉并深入分析新型网络攻击行为，实现快速响应与高效处置。</w:t>
            </w:r>
          </w:p>
          <w:p>
            <w:pPr>
              <w:pStyle w:val="null3"/>
              <w:ind w:left="420"/>
              <w:jc w:val="left"/>
            </w:pPr>
            <w:r>
              <w:rPr>
                <w:rFonts w:ascii="仿宋_GB2312" w:hAnsi="仿宋_GB2312" w:cs="仿宋_GB2312" w:eastAsia="仿宋_GB2312"/>
                <w:sz w:val="28"/>
                <w:color w:val="000000"/>
              </w:rPr>
              <w:t>(2)全量日志采集与分析</w:t>
            </w:r>
          </w:p>
          <w:p>
            <w:pPr>
              <w:pStyle w:val="null3"/>
              <w:ind w:firstLine="500"/>
              <w:jc w:val="left"/>
            </w:pPr>
            <w:r>
              <w:rPr>
                <w:rFonts w:ascii="仿宋_GB2312" w:hAnsi="仿宋_GB2312" w:cs="仿宋_GB2312" w:eastAsia="仿宋_GB2312"/>
                <w:sz w:val="28"/>
                <w:color w:val="000000"/>
              </w:rPr>
              <w:t>借助网络全协议识别与还原技术，结合网络行为知识库，实现对城域网内安全防护网关、审计网关等关键节点的全流量采集。确保网络流量与事件的全面记录，为网络安全行为与事件检测、深度分析、快速发现及有效追溯提供坚实的数据基础。</w:t>
            </w:r>
          </w:p>
          <w:p>
            <w:pPr>
              <w:pStyle w:val="null3"/>
              <w:ind w:firstLine="480"/>
              <w:jc w:val="left"/>
            </w:pPr>
            <w:r>
              <w:rPr>
                <w:rFonts w:ascii="仿宋_GB2312" w:hAnsi="仿宋_GB2312" w:cs="仿宋_GB2312" w:eastAsia="仿宋_GB2312"/>
                <w:sz w:val="28"/>
                <w:color w:val="000000"/>
              </w:rPr>
              <w:t>(3)网络信息推送与共享</w:t>
            </w:r>
          </w:p>
          <w:p>
            <w:pPr>
              <w:pStyle w:val="null3"/>
              <w:ind w:firstLine="480"/>
              <w:jc w:val="left"/>
            </w:pPr>
            <w:r>
              <w:rPr>
                <w:rFonts w:ascii="仿宋_GB2312" w:hAnsi="仿宋_GB2312" w:cs="仿宋_GB2312" w:eastAsia="仿宋_GB2312"/>
                <w:sz w:val="28"/>
                <w:color w:val="000000"/>
              </w:rPr>
              <w:t>建立信息推送机制，实时将关键网络设备的运行日志及相关安全情报传输至教育城域网省级核心节点的安全平台，实现安全信息的即时共享与协同处理，进一步提升整体安全防护水平。</w:t>
            </w:r>
          </w:p>
          <w:p>
            <w:pPr>
              <w:pStyle w:val="null3"/>
              <w:ind w:firstLine="480"/>
              <w:jc w:val="left"/>
            </w:pPr>
            <w:r>
              <w:rPr>
                <w:rFonts w:ascii="仿宋_GB2312" w:hAnsi="仿宋_GB2312" w:cs="仿宋_GB2312" w:eastAsia="仿宋_GB2312"/>
                <w:sz w:val="28"/>
                <w:color w:val="000000"/>
              </w:rPr>
              <w:t>(4)网络边界安全与管理</w:t>
            </w:r>
          </w:p>
          <w:p>
            <w:pPr>
              <w:pStyle w:val="null3"/>
              <w:ind w:firstLine="420"/>
              <w:jc w:val="left"/>
            </w:pPr>
            <w:r>
              <w:rPr>
                <w:rFonts w:ascii="仿宋_GB2312" w:hAnsi="仿宋_GB2312" w:cs="仿宋_GB2312" w:eastAsia="仿宋_GB2312"/>
                <w:sz w:val="28"/>
                <w:color w:val="000000"/>
              </w:rPr>
              <w:t>儋州市教育城域网出口处部署防火墙系统，实施访问控制与边界隔离策略。根据业务需求动态调整安全控制策略，定期进行策略优化与维护，确保网络边界的安全稳固。同时，向上通过高带宽的</w:t>
            </w:r>
            <w:r>
              <w:rPr>
                <w:rFonts w:ascii="仿宋_GB2312" w:hAnsi="仿宋_GB2312" w:cs="仿宋_GB2312" w:eastAsia="仿宋_GB2312"/>
                <w:sz w:val="28"/>
                <w:color w:val="000000"/>
              </w:rPr>
              <w:t>4</w:t>
            </w:r>
            <w:r>
              <w:rPr>
                <w:rFonts w:ascii="仿宋_GB2312" w:hAnsi="仿宋_GB2312" w:cs="仿宋_GB2312" w:eastAsia="仿宋_GB2312"/>
                <w:sz w:val="28"/>
                <w:color w:val="000000"/>
              </w:rPr>
              <w:t>0G以太网接口链路，实现与教育城域网省级核心节点的无缝对接；横向采用多出口策略连接互联网，有效实现负载分担，为区域内学校信息终端提供稳定、高速的互联网访问体验。</w:t>
            </w:r>
          </w:p>
          <w:p>
            <w:pPr>
              <w:pStyle w:val="null3"/>
              <w:ind w:firstLine="480"/>
              <w:jc w:val="left"/>
            </w:pPr>
            <w:r>
              <w:rPr>
                <w:rFonts w:ascii="仿宋_GB2312" w:hAnsi="仿宋_GB2312" w:cs="仿宋_GB2312" w:eastAsia="仿宋_GB2312"/>
                <w:sz w:val="28"/>
                <w:color w:val="000000"/>
              </w:rPr>
              <w:t>(5)保护网络出口的安全稳定，保障校园网的安全，城域网互联网出口部署防火墙提供访问控制、入侵防御、病毒防护等功能；提供策略分析功能，支持策略命中分析、策略冗余分析、策略冲突检查、策略包含分析，可在WEB界面显示检测结果；支持对内网DNS请求进行云端查询，对访问高危域名的请求，给客户端返回禁止访问的页面。</w:t>
            </w:r>
          </w:p>
          <w:p>
            <w:pPr>
              <w:pStyle w:val="null3"/>
              <w:ind w:firstLine="480"/>
              <w:jc w:val="left"/>
            </w:pPr>
            <w:r>
              <w:rPr>
                <w:rFonts w:ascii="仿宋_GB2312" w:hAnsi="仿宋_GB2312" w:cs="仿宋_GB2312" w:eastAsia="仿宋_GB2312"/>
                <w:sz w:val="28"/>
                <w:color w:val="000000"/>
              </w:rPr>
              <w:t>(6)提供上网行为管理设备，用于对城域网用户的上网行为进行审计和管控，提供旁路部署WEB认证、支持二维码认证（终端可以通过管理员扫描二维码授权方式上网）等能力，支持记录应用控制日志、恶意URL日志、访问网站日志、IM聊天软件日志、社区日志、搜索引擎日志、邮件日志、文件传输日志、娱乐/股票日志、协议审计日志。</w:t>
            </w:r>
          </w:p>
          <w:p>
            <w:pPr>
              <w:pStyle w:val="null3"/>
              <w:ind w:firstLine="480"/>
              <w:jc w:val="left"/>
            </w:pPr>
            <w:r>
              <w:rPr>
                <w:rFonts w:ascii="仿宋_GB2312" w:hAnsi="仿宋_GB2312" w:cs="仿宋_GB2312" w:eastAsia="仿宋_GB2312"/>
                <w:sz w:val="28"/>
                <w:color w:val="000000"/>
              </w:rPr>
              <w:t>(7)提供日志审计设备，用于采集安全设备、网络设备的日志进行集中存储、查询；提供交互式事件分析模式，支持过滤条件和高级搜索模式方式查询，其中过滤条件查询可以对任意日志字段设置禁用、取反等操作；高级查询模式查询支持单一条件和组合条件复杂查询。提供基于规则的关联分析引擎，能够提供逻辑关联、统计关联的关联分析能力；关联规则支持规则嵌套和引用，支持多规则联合。</w:t>
            </w:r>
          </w:p>
          <w:p>
            <w:pPr>
              <w:pStyle w:val="null3"/>
              <w:ind w:firstLine="480"/>
              <w:jc w:val="left"/>
            </w:pPr>
            <w:r>
              <w:rPr>
                <w:rFonts w:ascii="仿宋_GB2312" w:hAnsi="仿宋_GB2312" w:cs="仿宋_GB2312" w:eastAsia="仿宋_GB2312"/>
                <w:sz w:val="28"/>
                <w:color w:val="000000"/>
              </w:rPr>
              <w:t>(8)提供态势感知平台作为教育城域网的安全管理中心，实现安全设备日志的集中分析和展示，提供场景分析、关联分析、行为分析、AI分析等多种安全分析能力，配置安全事件自动化处置闭环能力。提供告警详情查看功能，帮助管理员对告警事件溯源分析和拓展分析，溯源分析需包含攻击频率变化趋势、上下文访问关系和原始消息追溯等维度，扩展分析需支持热力图分析和拓扑分析，其中拓扑分析支持攻击链条的无限探索。</w:t>
            </w:r>
          </w:p>
          <w:p>
            <w:pPr>
              <w:pStyle w:val="null3"/>
              <w:ind w:firstLine="480"/>
              <w:jc w:val="left"/>
            </w:pPr>
            <w:r>
              <w:rPr>
                <w:rFonts w:ascii="仿宋_GB2312" w:hAnsi="仿宋_GB2312" w:cs="仿宋_GB2312" w:eastAsia="仿宋_GB2312"/>
                <w:sz w:val="28"/>
                <w:color w:val="000000"/>
              </w:rPr>
              <w:t>(9)提供堡垒机作为城域网中安全设备、网络设备等资产的统一访问门户，实现关键网络资产的运维管控、运维审计。</w:t>
            </w:r>
          </w:p>
          <w:p>
            <w:pPr>
              <w:pStyle w:val="null3"/>
              <w:ind w:firstLine="560"/>
              <w:jc w:val="left"/>
            </w:pPr>
            <w:r>
              <w:rPr>
                <w:rFonts w:ascii="仿宋_GB2312" w:hAnsi="仿宋_GB2312" w:cs="仿宋_GB2312" w:eastAsia="仿宋_GB2312"/>
                <w:sz w:val="28"/>
                <w:color w:val="000000"/>
              </w:rPr>
              <w:t>(10)实现用户身份的统一管理与认证，提升网络访问的安全性与合规性，确保网络安全与数据保护，为教育环境的健康发展保驾护航，终端接入实现网络接入的实名认证、授权；要求支持有线接入管控及无线接入管控；支持多种PPPoE、Web＋Portal、IEEE802.1x接入认证，支持PAP认证、CHAP认证，支持MAC无感认证。</w:t>
            </w:r>
          </w:p>
          <w:p>
            <w:pPr>
              <w:pStyle w:val="null3"/>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8.服务质量要求</w:t>
            </w:r>
          </w:p>
          <w:p>
            <w:pPr>
              <w:pStyle w:val="null3"/>
              <w:ind w:firstLine="420"/>
              <w:jc w:val="left"/>
            </w:pPr>
            <w:r>
              <w:rPr>
                <w:rFonts w:ascii="仿宋_GB2312" w:hAnsi="仿宋_GB2312" w:cs="仿宋_GB2312" w:eastAsia="仿宋_GB2312"/>
                <w:sz w:val="28"/>
                <w:color w:val="000000"/>
              </w:rPr>
              <w:t>服务商成立教育城域网运维小组，负责区域网络的日常运维及应急处置。通过</w:t>
            </w:r>
            <w:r>
              <w:rPr>
                <w:rFonts w:ascii="仿宋_GB2312" w:hAnsi="仿宋_GB2312" w:cs="仿宋_GB2312" w:eastAsia="仿宋_GB2312"/>
                <w:sz w:val="28"/>
                <w:color w:val="000000"/>
              </w:rPr>
              <w:t>QoS对教育教学业务流量提供带宽保证机制，保证网络服务质量，避免网络拥塞并在时延、抖动和减少数据包丢失方面进行控制。教育城域网能实时分析网络流量情况，定期生成QoS监测报告，有效监测每条传输线路，当链路达到70%负载，且持续2小时，应在当前带宽基础上提升30%，保证网络服务质量。</w:t>
            </w:r>
          </w:p>
          <w:p>
            <w:pPr>
              <w:pStyle w:val="null3"/>
              <w:jc w:val="left"/>
            </w:pPr>
            <w:r>
              <w:rPr>
                <w:rFonts w:ascii="仿宋_GB2312" w:hAnsi="仿宋_GB2312" w:cs="仿宋_GB2312" w:eastAsia="仿宋_GB2312"/>
                <w:sz w:val="28"/>
                <w:b/>
                <w:color w:val="000000"/>
              </w:rPr>
              <w:t>1.9</w:t>
            </w:r>
            <w:r>
              <w:rPr>
                <w:rFonts w:ascii="仿宋_GB2312" w:hAnsi="仿宋_GB2312" w:cs="仿宋_GB2312" w:eastAsia="仿宋_GB2312"/>
                <w:sz w:val="28"/>
                <w:b/>
                <w:color w:val="000000"/>
              </w:rPr>
              <w:t>.运维服务要求</w:t>
            </w:r>
          </w:p>
          <w:p>
            <w:pPr>
              <w:pStyle w:val="null3"/>
              <w:ind w:firstLine="420"/>
              <w:jc w:val="left"/>
            </w:pPr>
            <w:r>
              <w:rPr>
                <w:rFonts w:ascii="仿宋_GB2312" w:hAnsi="仿宋_GB2312" w:cs="仿宋_GB2312" w:eastAsia="仿宋_GB2312"/>
                <w:sz w:val="28"/>
                <w:color w:val="000000"/>
              </w:rPr>
              <w:t>1) 运行管理单位</w:t>
            </w:r>
          </w:p>
          <w:p>
            <w:pPr>
              <w:pStyle w:val="null3"/>
              <w:ind w:firstLine="420"/>
              <w:jc w:val="left"/>
            </w:pPr>
            <w:r>
              <w:rPr>
                <w:rFonts w:ascii="仿宋_GB2312" w:hAnsi="仿宋_GB2312" w:cs="仿宋_GB2312" w:eastAsia="仿宋_GB2312"/>
                <w:sz w:val="28"/>
                <w:color w:val="000000"/>
              </w:rPr>
              <w:t>项目建成后由中标</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商负责运行管理，全面负责系统的运行、维护和组织管理；协调系统内部有关系统运行的工作。</w:t>
            </w:r>
          </w:p>
          <w:p>
            <w:pPr>
              <w:pStyle w:val="null3"/>
              <w:ind w:firstLine="420"/>
              <w:jc w:val="left"/>
            </w:pPr>
            <w:r>
              <w:rPr>
                <w:rFonts w:ascii="仿宋_GB2312" w:hAnsi="仿宋_GB2312" w:cs="仿宋_GB2312" w:eastAsia="仿宋_GB2312"/>
                <w:sz w:val="28"/>
                <w:color w:val="000000"/>
              </w:rPr>
              <w:t>2) 运维管理规范</w:t>
            </w:r>
          </w:p>
          <w:p>
            <w:pPr>
              <w:pStyle w:val="null3"/>
              <w:ind w:firstLine="420"/>
              <w:jc w:val="left"/>
            </w:pPr>
            <w:r>
              <w:rPr>
                <w:rFonts w:ascii="仿宋_GB2312" w:hAnsi="仿宋_GB2312" w:cs="仿宋_GB2312" w:eastAsia="仿宋_GB2312"/>
                <w:sz w:val="28"/>
                <w:color w:val="000000"/>
              </w:rPr>
              <w:t>服务商维护团队将通过各类网管及监控手段及时了解、分析网络、平台的运行情况，主动发现网络存在的问题及时统筹指挥协调相关驻地维护部门快速处理。</w:t>
            </w:r>
          </w:p>
          <w:p>
            <w:pPr>
              <w:pStyle w:val="null3"/>
              <w:ind w:firstLine="420"/>
              <w:jc w:val="left"/>
            </w:pPr>
            <w:r>
              <w:rPr>
                <w:rFonts w:ascii="仿宋_GB2312" w:hAnsi="仿宋_GB2312" w:cs="仿宋_GB2312" w:eastAsia="仿宋_GB2312"/>
                <w:sz w:val="28"/>
                <w:color w:val="000000"/>
              </w:rPr>
              <w:t>1.提供 7*24 小时支撑服务；</w:t>
            </w:r>
          </w:p>
          <w:p>
            <w:pPr>
              <w:pStyle w:val="null3"/>
              <w:ind w:firstLine="420"/>
              <w:jc w:val="left"/>
            </w:pPr>
            <w:r>
              <w:rPr>
                <w:rFonts w:ascii="仿宋_GB2312" w:hAnsi="仿宋_GB2312" w:cs="仿宋_GB2312" w:eastAsia="仿宋_GB2312"/>
                <w:sz w:val="28"/>
                <w:color w:val="000000"/>
              </w:rPr>
              <w:t>&gt; 故障申告响应时限：30 分钟内；</w:t>
            </w:r>
          </w:p>
          <w:p>
            <w:pPr>
              <w:pStyle w:val="null3"/>
              <w:ind w:firstLine="420"/>
              <w:jc w:val="left"/>
            </w:pPr>
            <w:r>
              <w:rPr>
                <w:rFonts w:ascii="仿宋_GB2312" w:hAnsi="仿宋_GB2312" w:cs="仿宋_GB2312" w:eastAsia="仿宋_GB2312"/>
                <w:sz w:val="28"/>
                <w:color w:val="000000"/>
              </w:rPr>
              <w:t>&gt; 网络中断，可根据客户需要提供详细的故障处理及分析报告。</w:t>
            </w:r>
          </w:p>
          <w:p>
            <w:pPr>
              <w:pStyle w:val="null3"/>
              <w:ind w:firstLine="420"/>
              <w:jc w:val="left"/>
            </w:pPr>
            <w:r>
              <w:rPr>
                <w:rFonts w:ascii="仿宋_GB2312" w:hAnsi="仿宋_GB2312" w:cs="仿宋_GB2312" w:eastAsia="仿宋_GB2312"/>
                <w:sz w:val="28"/>
                <w:color w:val="000000"/>
              </w:rPr>
              <w:t>3) 运维服务内容</w:t>
            </w:r>
          </w:p>
          <w:p>
            <w:pPr>
              <w:pStyle w:val="null3"/>
              <w:ind w:firstLine="42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 故障响应和处理服务</w:t>
            </w:r>
          </w:p>
          <w:p>
            <w:pPr>
              <w:pStyle w:val="null3"/>
              <w:ind w:firstLine="420"/>
              <w:jc w:val="left"/>
            </w:pPr>
            <w:r>
              <w:rPr>
                <w:rFonts w:ascii="仿宋_GB2312" w:hAnsi="仿宋_GB2312" w:cs="仿宋_GB2312" w:eastAsia="仿宋_GB2312"/>
                <w:sz w:val="28"/>
                <w:color w:val="000000"/>
              </w:rPr>
              <w:t>1、“零时延”故障响应</w:t>
            </w:r>
          </w:p>
          <w:p>
            <w:pPr>
              <w:pStyle w:val="null3"/>
              <w:ind w:firstLine="420"/>
              <w:jc w:val="left"/>
            </w:pPr>
            <w:r>
              <w:rPr>
                <w:rFonts w:ascii="仿宋_GB2312" w:hAnsi="仿宋_GB2312" w:cs="仿宋_GB2312" w:eastAsia="仿宋_GB2312"/>
                <w:sz w:val="28"/>
                <w:color w:val="000000"/>
              </w:rPr>
              <w:t>在网络故障出现时，实现</w:t>
            </w:r>
            <w:r>
              <w:rPr>
                <w:rFonts w:ascii="仿宋_GB2312" w:hAnsi="仿宋_GB2312" w:cs="仿宋_GB2312" w:eastAsia="仿宋_GB2312"/>
                <w:sz w:val="28"/>
                <w:color w:val="000000"/>
              </w:rPr>
              <w:t>“零时延”故障响应。通过多种方式，在最短的间内响应并解决网络在运行中出现的故障，最大程度的降低网络故障对儋州市教育城域网产生的影响。</w:t>
            </w:r>
          </w:p>
          <w:p>
            <w:pPr>
              <w:pStyle w:val="null3"/>
              <w:ind w:firstLine="420"/>
              <w:jc w:val="left"/>
            </w:pPr>
            <w:r>
              <w:rPr>
                <w:rFonts w:ascii="仿宋_GB2312" w:hAnsi="仿宋_GB2312" w:cs="仿宋_GB2312" w:eastAsia="仿宋_GB2312"/>
                <w:sz w:val="28"/>
                <w:color w:val="000000"/>
              </w:rPr>
              <w:t>2、故障处理</w:t>
            </w:r>
          </w:p>
          <w:p>
            <w:pPr>
              <w:pStyle w:val="null3"/>
              <w:ind w:firstLine="420"/>
              <w:jc w:val="left"/>
            </w:pPr>
            <w:r>
              <w:rPr>
                <w:rFonts w:ascii="仿宋_GB2312" w:hAnsi="仿宋_GB2312" w:cs="仿宋_GB2312" w:eastAsia="仿宋_GB2312"/>
                <w:sz w:val="28"/>
                <w:color w:val="000000"/>
              </w:rPr>
              <w:t>服务商须为业主提供</w:t>
            </w:r>
            <w:r>
              <w:rPr>
                <w:rFonts w:ascii="仿宋_GB2312" w:hAnsi="仿宋_GB2312" w:cs="仿宋_GB2312" w:eastAsia="仿宋_GB2312"/>
                <w:sz w:val="28"/>
                <w:color w:val="000000"/>
              </w:rPr>
              <w:t>7x24 小时全天候的故障受理和处理服务。服务商在接到故障申报电话申告后，在 30 分钟内以短信等形式向业主进行第一次反馈，内容包括障碍单号、处理进程、后续处理渠道等。</w:t>
            </w:r>
          </w:p>
          <w:p>
            <w:pPr>
              <w:pStyle w:val="null3"/>
              <w:ind w:firstLine="420"/>
              <w:jc w:val="left"/>
            </w:pPr>
            <w:r>
              <w:rPr>
                <w:rFonts w:ascii="仿宋_GB2312" w:hAnsi="仿宋_GB2312" w:cs="仿宋_GB2312" w:eastAsia="仿宋_GB2312"/>
                <w:sz w:val="28"/>
                <w:color w:val="000000"/>
              </w:rPr>
              <w:t>3、故障处理报告</w:t>
            </w:r>
          </w:p>
          <w:p>
            <w:pPr>
              <w:pStyle w:val="null3"/>
              <w:ind w:firstLine="420"/>
              <w:jc w:val="left"/>
            </w:pPr>
            <w:r>
              <w:rPr>
                <w:rFonts w:ascii="仿宋_GB2312" w:hAnsi="仿宋_GB2312" w:cs="仿宋_GB2312" w:eastAsia="仿宋_GB2312"/>
                <w:sz w:val="28"/>
                <w:color w:val="000000"/>
              </w:rPr>
              <w:t>网络故障处理完毕后，服务商将在</w:t>
            </w:r>
            <w:r>
              <w:rPr>
                <w:rFonts w:ascii="仿宋_GB2312" w:hAnsi="仿宋_GB2312" w:cs="仿宋_GB2312" w:eastAsia="仿宋_GB2312"/>
                <w:sz w:val="28"/>
                <w:color w:val="000000"/>
              </w:rPr>
              <w:t>3 个工作日内向业主提供故障处理报告。</w:t>
            </w:r>
          </w:p>
          <w:p>
            <w:pPr>
              <w:pStyle w:val="null3"/>
              <w:ind w:firstLine="42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 巡检及运行维护服务</w:t>
            </w:r>
          </w:p>
          <w:p>
            <w:pPr>
              <w:pStyle w:val="null3"/>
              <w:ind w:firstLine="420"/>
              <w:jc w:val="left"/>
            </w:pPr>
            <w:r>
              <w:rPr>
                <w:rFonts w:ascii="仿宋_GB2312" w:hAnsi="仿宋_GB2312" w:cs="仿宋_GB2312" w:eastAsia="仿宋_GB2312"/>
                <w:sz w:val="28"/>
                <w:color w:val="000000"/>
              </w:rPr>
              <w:t>在网络线路投入使用后，服务商须对该项目的光纤链路实行</w:t>
            </w:r>
            <w:r>
              <w:rPr>
                <w:rFonts w:ascii="仿宋_GB2312" w:hAnsi="仿宋_GB2312" w:cs="仿宋_GB2312" w:eastAsia="仿宋_GB2312"/>
                <w:sz w:val="28"/>
                <w:color w:val="000000"/>
              </w:rPr>
              <w:t>7x24 特别监护。服务商将负责本项目网络中涉及到的网络线路和网络设备的运行、维护，组织丰富的技术运维人员进行运行维护，提供优质的服务质量。</w:t>
            </w:r>
          </w:p>
          <w:p>
            <w:pPr>
              <w:pStyle w:val="null3"/>
              <w:ind w:firstLine="420"/>
              <w:jc w:val="left"/>
            </w:pPr>
            <w:r>
              <w:rPr>
                <w:rFonts w:ascii="仿宋_GB2312" w:hAnsi="仿宋_GB2312" w:cs="仿宋_GB2312" w:eastAsia="仿宋_GB2312"/>
                <w:sz w:val="28"/>
                <w:color w:val="000000"/>
              </w:rPr>
              <w:t>服务商须定期对本项目网络的状态巡检，保证网络线路的高效运行；针对网络线路质量严重下降时，须提供不定期的巡检报告，对网路线路的运行情况和工程师的维护经验进行总结。同时，还须根据分析结果出具网络线路运行和性能分析报告，并以书面形式向业主单位提交。网路线路性能报告从多个角度全面反映网络性能，包括网路线路流量分析、故障摘要报告、线路误码报告等。</w:t>
            </w:r>
          </w:p>
          <w:p>
            <w:pPr>
              <w:pStyle w:val="null3"/>
              <w:ind w:firstLine="42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 服务保障人员</w:t>
            </w:r>
          </w:p>
          <w:p>
            <w:pPr>
              <w:pStyle w:val="null3"/>
              <w:ind w:firstLine="420"/>
              <w:jc w:val="left"/>
            </w:pPr>
            <w:r>
              <w:rPr>
                <w:rFonts w:ascii="仿宋_GB2312" w:hAnsi="仿宋_GB2312" w:cs="仿宋_GB2312" w:eastAsia="仿宋_GB2312"/>
                <w:sz w:val="28"/>
                <w:color w:val="000000"/>
              </w:rPr>
              <w:t>服务商须对本项目组成领导协调小组和现场处置小组：</w:t>
            </w:r>
          </w:p>
          <w:p>
            <w:pPr>
              <w:pStyle w:val="null3"/>
              <w:ind w:firstLine="420"/>
              <w:jc w:val="left"/>
            </w:pPr>
            <w:r>
              <w:rPr>
                <w:rFonts w:ascii="仿宋_GB2312" w:hAnsi="仿宋_GB2312" w:cs="仿宋_GB2312" w:eastAsia="仿宋_GB2312"/>
                <w:sz w:val="28"/>
                <w:color w:val="000000"/>
              </w:rPr>
              <w:t>1、领导协调小组</w:t>
            </w:r>
          </w:p>
          <w:p>
            <w:pPr>
              <w:pStyle w:val="null3"/>
              <w:ind w:firstLine="420"/>
              <w:jc w:val="left"/>
            </w:pPr>
            <w:r>
              <w:rPr>
                <w:rFonts w:ascii="仿宋_GB2312" w:hAnsi="仿宋_GB2312" w:cs="仿宋_GB2312" w:eastAsia="仿宋_GB2312"/>
                <w:sz w:val="28"/>
                <w:color w:val="000000"/>
              </w:rPr>
              <w:t>负责网络通信保障的领导、组织与协调工作，确保网络安全畅通。</w:t>
            </w:r>
          </w:p>
          <w:p>
            <w:pPr>
              <w:pStyle w:val="null3"/>
              <w:ind w:firstLine="420"/>
              <w:jc w:val="left"/>
            </w:pPr>
            <w:r>
              <w:rPr>
                <w:rFonts w:ascii="仿宋_GB2312" w:hAnsi="仿宋_GB2312" w:cs="仿宋_GB2312" w:eastAsia="仿宋_GB2312"/>
                <w:sz w:val="28"/>
                <w:color w:val="000000"/>
              </w:rPr>
              <w:t>负责网络重大故障上报和故障抢修指挥调度工作。</w:t>
            </w:r>
          </w:p>
          <w:p>
            <w:pPr>
              <w:pStyle w:val="null3"/>
              <w:ind w:firstLine="420"/>
              <w:jc w:val="left"/>
            </w:pPr>
            <w:r>
              <w:rPr>
                <w:rFonts w:ascii="仿宋_GB2312" w:hAnsi="仿宋_GB2312" w:cs="仿宋_GB2312" w:eastAsia="仿宋_GB2312"/>
                <w:sz w:val="28"/>
                <w:color w:val="000000"/>
              </w:rPr>
              <w:t>负责制订并组织实施网络应急恢复预案。</w:t>
            </w:r>
          </w:p>
          <w:p>
            <w:pPr>
              <w:pStyle w:val="null3"/>
              <w:ind w:firstLine="420"/>
              <w:jc w:val="left"/>
            </w:pPr>
            <w:r>
              <w:rPr>
                <w:rFonts w:ascii="仿宋_GB2312" w:hAnsi="仿宋_GB2312" w:cs="仿宋_GB2312" w:eastAsia="仿宋_GB2312"/>
                <w:sz w:val="28"/>
                <w:color w:val="000000"/>
              </w:rPr>
              <w:t>负责协调相关单位</w:t>
            </w:r>
            <w:r>
              <w:rPr>
                <w:rFonts w:ascii="仿宋_GB2312" w:hAnsi="仿宋_GB2312" w:cs="仿宋_GB2312" w:eastAsia="仿宋_GB2312"/>
                <w:sz w:val="28"/>
                <w:color w:val="000000"/>
              </w:rPr>
              <w:t>/专业配合完成故障抢修恢复工作。</w:t>
            </w:r>
          </w:p>
          <w:p>
            <w:pPr>
              <w:pStyle w:val="null3"/>
              <w:ind w:firstLine="420"/>
              <w:jc w:val="left"/>
            </w:pPr>
            <w:r>
              <w:rPr>
                <w:rFonts w:ascii="仿宋_GB2312" w:hAnsi="仿宋_GB2312" w:cs="仿宋_GB2312" w:eastAsia="仿宋_GB2312"/>
                <w:sz w:val="28"/>
                <w:color w:val="000000"/>
              </w:rPr>
              <w:t>负责协调业主共同完成故障抢修恢复工作。</w:t>
            </w:r>
          </w:p>
          <w:p>
            <w:pPr>
              <w:pStyle w:val="null3"/>
              <w:ind w:firstLine="420"/>
              <w:jc w:val="left"/>
            </w:pPr>
            <w:r>
              <w:rPr>
                <w:rFonts w:ascii="仿宋_GB2312" w:hAnsi="仿宋_GB2312" w:cs="仿宋_GB2312" w:eastAsia="仿宋_GB2312"/>
                <w:sz w:val="28"/>
                <w:color w:val="000000"/>
              </w:rPr>
              <w:t>负责做好相关网络设施重大通信事件的统计和反馈工作。</w:t>
            </w:r>
          </w:p>
          <w:p>
            <w:pPr>
              <w:pStyle w:val="null3"/>
              <w:ind w:firstLine="560"/>
              <w:jc w:val="left"/>
            </w:pPr>
            <w:r>
              <w:rPr>
                <w:rFonts w:ascii="仿宋_GB2312" w:hAnsi="仿宋_GB2312" w:cs="仿宋_GB2312" w:eastAsia="仿宋_GB2312"/>
                <w:sz w:val="28"/>
                <w:color w:val="000000"/>
              </w:rPr>
              <w:t>服务保证人员需属地化，并附保障工程师人员证书名单。</w:t>
            </w:r>
          </w:p>
          <w:p>
            <w:pPr>
              <w:pStyle w:val="null3"/>
              <w:ind w:firstLine="420"/>
              <w:jc w:val="left"/>
            </w:pPr>
            <w:r>
              <w:rPr>
                <w:rFonts w:ascii="仿宋_GB2312" w:hAnsi="仿宋_GB2312" w:cs="仿宋_GB2312" w:eastAsia="仿宋_GB2312"/>
                <w:sz w:val="28"/>
                <w:color w:val="000000"/>
              </w:rPr>
              <w:t>2、现场处置小组</w:t>
            </w:r>
          </w:p>
          <w:p>
            <w:pPr>
              <w:pStyle w:val="null3"/>
              <w:ind w:firstLine="420"/>
              <w:jc w:val="left"/>
            </w:pPr>
            <w:r>
              <w:rPr>
                <w:rFonts w:ascii="仿宋_GB2312" w:hAnsi="仿宋_GB2312" w:cs="仿宋_GB2312" w:eastAsia="仿宋_GB2312"/>
                <w:sz w:val="28"/>
                <w:color w:val="000000"/>
              </w:rPr>
              <w:t>负责预案处置方案的修订完善和具体实施。</w:t>
            </w:r>
          </w:p>
          <w:p>
            <w:pPr>
              <w:pStyle w:val="null3"/>
              <w:ind w:firstLine="420"/>
              <w:jc w:val="left"/>
            </w:pPr>
            <w:r>
              <w:rPr>
                <w:rFonts w:ascii="仿宋_GB2312" w:hAnsi="仿宋_GB2312" w:cs="仿宋_GB2312" w:eastAsia="仿宋_GB2312"/>
                <w:sz w:val="28"/>
                <w:color w:val="000000"/>
              </w:rPr>
              <w:t>负责客户端现场通信保障以及重大故障上报和故障应急抢修、电路调度工作。</w:t>
            </w:r>
          </w:p>
          <w:p>
            <w:pPr>
              <w:pStyle w:val="null3"/>
              <w:ind w:firstLine="420"/>
              <w:jc w:val="left"/>
            </w:pPr>
            <w:r>
              <w:rPr>
                <w:rFonts w:ascii="仿宋_GB2312" w:hAnsi="仿宋_GB2312" w:cs="仿宋_GB2312" w:eastAsia="仿宋_GB2312"/>
                <w:sz w:val="28"/>
                <w:color w:val="000000"/>
              </w:rPr>
              <w:t>负责配合专业中心和客户完成故障抢修工作。</w:t>
            </w:r>
          </w:p>
          <w:p>
            <w:pPr>
              <w:pStyle w:val="null3"/>
              <w:ind w:firstLine="420"/>
              <w:jc w:val="left"/>
            </w:pPr>
            <w:r>
              <w:rPr>
                <w:rFonts w:ascii="仿宋_GB2312" w:hAnsi="仿宋_GB2312" w:cs="仿宋_GB2312" w:eastAsia="仿宋_GB2312"/>
                <w:sz w:val="28"/>
                <w:color w:val="000000"/>
              </w:rPr>
              <w:t>负责做好相关网络设施重大通信事件的统计和反馈工作。。</w:t>
            </w:r>
          </w:p>
          <w:p>
            <w:pPr>
              <w:pStyle w:val="null3"/>
              <w:ind w:firstLine="420"/>
              <w:jc w:val="left"/>
            </w:pPr>
            <w:r>
              <w:rPr>
                <w:rFonts w:ascii="仿宋_GB2312" w:hAnsi="仿宋_GB2312" w:cs="仿宋_GB2312" w:eastAsia="仿宋_GB2312"/>
                <w:sz w:val="28"/>
                <w:color w:val="000000"/>
              </w:rPr>
              <w:t>4) 应急措施</w:t>
            </w:r>
          </w:p>
          <w:p>
            <w:pPr>
              <w:pStyle w:val="null3"/>
              <w:ind w:firstLine="420"/>
              <w:jc w:val="left"/>
            </w:pPr>
            <w:r>
              <w:rPr>
                <w:rFonts w:ascii="仿宋_GB2312" w:hAnsi="仿宋_GB2312" w:cs="仿宋_GB2312" w:eastAsia="仿宋_GB2312"/>
                <w:sz w:val="28"/>
                <w:color w:val="000000"/>
              </w:rPr>
              <w:t>当出现重大事故时，服务商必须启动应急处理流程。重大事故情况包括以下几种情况：</w:t>
            </w:r>
          </w:p>
          <w:p>
            <w:pPr>
              <w:pStyle w:val="null3"/>
              <w:ind w:firstLine="420"/>
              <w:jc w:val="left"/>
            </w:pPr>
            <w:r>
              <w:rPr>
                <w:rFonts w:ascii="仿宋_GB2312" w:hAnsi="仿宋_GB2312" w:cs="仿宋_GB2312" w:eastAsia="仿宋_GB2312"/>
                <w:sz w:val="28"/>
                <w:color w:val="000000"/>
              </w:rPr>
              <w:t>1、大范围网络中断</w:t>
            </w:r>
          </w:p>
          <w:p>
            <w:pPr>
              <w:pStyle w:val="null3"/>
              <w:ind w:firstLine="420"/>
              <w:jc w:val="left"/>
            </w:pPr>
            <w:r>
              <w:rPr>
                <w:rFonts w:ascii="仿宋_GB2312" w:hAnsi="仿宋_GB2312" w:cs="仿宋_GB2312" w:eastAsia="仿宋_GB2312"/>
                <w:sz w:val="28"/>
                <w:color w:val="000000"/>
              </w:rPr>
              <w:t>2、区域性网络崩溃</w:t>
            </w:r>
          </w:p>
          <w:p>
            <w:pPr>
              <w:pStyle w:val="null3"/>
              <w:ind w:firstLine="420"/>
              <w:jc w:val="left"/>
            </w:pPr>
            <w:r>
              <w:rPr>
                <w:rFonts w:ascii="仿宋_GB2312" w:hAnsi="仿宋_GB2312" w:cs="仿宋_GB2312" w:eastAsia="仿宋_GB2312"/>
                <w:sz w:val="28"/>
                <w:color w:val="000000"/>
              </w:rPr>
              <w:t>3、关键业务网络中断</w:t>
            </w:r>
          </w:p>
          <w:p>
            <w:pPr>
              <w:pStyle w:val="null3"/>
              <w:ind w:firstLine="420"/>
              <w:jc w:val="left"/>
            </w:pPr>
            <w:r>
              <w:rPr>
                <w:rFonts w:ascii="仿宋_GB2312" w:hAnsi="仿宋_GB2312" w:cs="仿宋_GB2312" w:eastAsia="仿宋_GB2312"/>
                <w:sz w:val="28"/>
                <w:color w:val="000000"/>
              </w:rPr>
              <w:t>服务商采取的运行服务应急方案，进行紧急故障应急处理，快速恢复网络使用为目标，第一时间将网络使用状态恢复到正常，避免或尽量减少因故障而导致的损失。</w:t>
            </w:r>
          </w:p>
          <w:p>
            <w:pPr>
              <w:pStyle w:val="null3"/>
              <w:ind w:firstLine="42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提供专业人员的安全服务</w:t>
            </w:r>
            <w:r>
              <w:rPr>
                <w:rFonts w:ascii="仿宋_GB2312" w:hAnsi="仿宋_GB2312" w:cs="仿宋_GB2312" w:eastAsia="仿宋_GB2312"/>
                <w:sz w:val="28"/>
                <w:color w:val="000000"/>
              </w:rPr>
              <w:t>，包括定期安全巡检、漏洞扫描、安全意识培训、应急演练、应急响应的服务项目。</w:t>
            </w:r>
          </w:p>
          <w:p>
            <w:pPr>
              <w:pStyle w:val="null3"/>
              <w:ind w:firstLine="420"/>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 特别保障服务</w:t>
            </w:r>
          </w:p>
          <w:p>
            <w:pPr>
              <w:pStyle w:val="null3"/>
              <w:ind w:firstLine="42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1)如遇省</w:t>
            </w:r>
            <w:r>
              <w:rPr>
                <w:rFonts w:ascii="仿宋_GB2312" w:hAnsi="仿宋_GB2312" w:cs="仿宋_GB2312" w:eastAsia="仿宋_GB2312"/>
                <w:sz w:val="28"/>
                <w:color w:val="000000"/>
              </w:rPr>
              <w:t>市</w:t>
            </w:r>
            <w:r>
              <w:rPr>
                <w:rFonts w:ascii="仿宋_GB2312" w:hAnsi="仿宋_GB2312" w:cs="仿宋_GB2312" w:eastAsia="仿宋_GB2312"/>
                <w:sz w:val="28"/>
                <w:color w:val="000000"/>
              </w:rPr>
              <w:t>级重要活动和任务时，服务提供方需提供驻场特别保障服务，全天</w:t>
            </w:r>
            <w:r>
              <w:rPr>
                <w:rFonts w:ascii="仿宋_GB2312" w:hAnsi="仿宋_GB2312" w:cs="仿宋_GB2312" w:eastAsia="仿宋_GB2312"/>
                <w:sz w:val="28"/>
                <w:color w:val="000000"/>
              </w:rPr>
              <w:t>24小时服务电话响应，协助完成重要活动（活动前协助安装、检查设备的运行情况，活动期间，保障设备的正常使用），具体驻场时间据具体需求而定；</w:t>
            </w:r>
          </w:p>
          <w:p>
            <w:pPr>
              <w:pStyle w:val="null3"/>
              <w:ind w:firstLine="42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2)对我市各中、小学校由于撤并等发生的网络移址等，服务商应帮助移机。</w:t>
            </w:r>
          </w:p>
          <w:p>
            <w:pPr>
              <w:pStyle w:val="null3"/>
              <w:ind w:firstLine="420"/>
              <w:jc w:val="left"/>
            </w:pPr>
            <w:r>
              <w:rPr>
                <w:rFonts w:ascii="仿宋_GB2312" w:hAnsi="仿宋_GB2312" w:cs="仿宋_GB2312" w:eastAsia="仿宋_GB2312"/>
                <w:sz w:val="28"/>
                <w:color w:val="000000"/>
              </w:rPr>
              <w:t>7）培训方案</w:t>
            </w:r>
          </w:p>
          <w:p>
            <w:pPr>
              <w:pStyle w:val="null3"/>
              <w:ind w:firstLine="420"/>
              <w:jc w:val="left"/>
            </w:pPr>
            <w:r>
              <w:rPr>
                <w:rFonts w:ascii="仿宋_GB2312" w:hAnsi="仿宋_GB2312" w:cs="仿宋_GB2312" w:eastAsia="仿宋_GB2312"/>
                <w:sz w:val="28"/>
                <w:color w:val="000000"/>
              </w:rPr>
              <w:t>人员培训是提高</w:t>
            </w:r>
            <w:r>
              <w:rPr>
                <w:rFonts w:ascii="仿宋_GB2312" w:hAnsi="仿宋_GB2312" w:cs="仿宋_GB2312" w:eastAsia="仿宋_GB2312"/>
                <w:sz w:val="28"/>
                <w:color w:val="000000"/>
              </w:rPr>
              <w:t>IT运维服务人员能力的必备手段，其培训需求的来源主要有以下几方面：</w:t>
            </w:r>
          </w:p>
          <w:p>
            <w:pPr>
              <w:pStyle w:val="null3"/>
              <w:ind w:firstLine="420"/>
              <w:jc w:val="left"/>
            </w:pPr>
            <w:r>
              <w:rPr>
                <w:rFonts w:ascii="仿宋_GB2312" w:hAnsi="仿宋_GB2312" w:cs="仿宋_GB2312" w:eastAsia="仿宋_GB2312"/>
                <w:sz w:val="28"/>
                <w:color w:val="000000"/>
              </w:rPr>
              <w:t>&gt;IT运维服务发展需求</w:t>
            </w:r>
          </w:p>
          <w:p>
            <w:pPr>
              <w:pStyle w:val="null3"/>
              <w:ind w:firstLine="420"/>
              <w:jc w:val="left"/>
            </w:pPr>
            <w:r>
              <w:rPr>
                <w:rFonts w:ascii="仿宋_GB2312" w:hAnsi="仿宋_GB2312" w:cs="仿宋_GB2312" w:eastAsia="仿宋_GB2312"/>
                <w:sz w:val="28"/>
                <w:color w:val="000000"/>
              </w:rPr>
              <w:t>&gt;技术发展需求</w:t>
            </w:r>
          </w:p>
          <w:p>
            <w:pPr>
              <w:pStyle w:val="null3"/>
              <w:ind w:firstLine="420"/>
              <w:jc w:val="left"/>
            </w:pPr>
            <w:r>
              <w:rPr>
                <w:rFonts w:ascii="仿宋_GB2312" w:hAnsi="仿宋_GB2312" w:cs="仿宋_GB2312" w:eastAsia="仿宋_GB2312"/>
                <w:sz w:val="28"/>
                <w:color w:val="000000"/>
              </w:rPr>
              <w:t>&gt;人员发展需求</w:t>
            </w:r>
          </w:p>
          <w:p>
            <w:pPr>
              <w:pStyle w:val="null3"/>
              <w:jc w:val="left"/>
            </w:pPr>
            <w:r>
              <w:rPr>
                <w:rFonts w:ascii="仿宋_GB2312" w:hAnsi="仿宋_GB2312" w:cs="仿宋_GB2312" w:eastAsia="仿宋_GB2312"/>
                <w:sz w:val="28"/>
                <w:color w:val="000000"/>
              </w:rPr>
              <w:t>在项目调试完成即将交付前，组织用户侧的产品使用培训，以便后期更加方便的进行设备维护，培训计划总时</w:t>
            </w:r>
            <w:r>
              <w:rPr>
                <w:rFonts w:ascii="仿宋_GB2312" w:hAnsi="仿宋_GB2312" w:cs="仿宋_GB2312" w:eastAsia="仿宋_GB2312"/>
                <w:sz w:val="28"/>
                <w:color w:val="000000"/>
              </w:rPr>
              <w:t>6个课时，主要针对本次项目的设备、平台、软件等进行产品使用操作及配置培训，使其能掌握有关产品的使用和管理。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1"/>
            </w:pPr>
            <w:r>
              <w:rPr>
                <w:rFonts w:ascii="仿宋_GB2312" w:hAnsi="仿宋_GB2312" w:cs="仿宋_GB2312" w:eastAsia="仿宋_GB2312"/>
                <w:sz w:val="32"/>
                <w:b/>
                <w:color w:val="000000"/>
              </w:rPr>
              <w:t>二</w:t>
            </w:r>
            <w:r>
              <w:rPr>
                <w:rFonts w:ascii="仿宋_GB2312" w:hAnsi="仿宋_GB2312" w:cs="仿宋_GB2312" w:eastAsia="仿宋_GB2312"/>
                <w:sz w:val="32"/>
                <w:b/>
                <w:color w:val="000000"/>
              </w:rPr>
              <w:t>、</w:t>
            </w:r>
            <w:r>
              <w:rPr>
                <w:rFonts w:ascii="仿宋_GB2312" w:hAnsi="仿宋_GB2312" w:cs="仿宋_GB2312" w:eastAsia="仿宋_GB2312"/>
                <w:sz w:val="32"/>
                <w:b/>
                <w:color w:val="000000"/>
              </w:rPr>
              <w:t>商务</w:t>
            </w:r>
            <w:r>
              <w:rPr>
                <w:rFonts w:ascii="仿宋_GB2312" w:hAnsi="仿宋_GB2312" w:cs="仿宋_GB2312" w:eastAsia="仿宋_GB2312"/>
                <w:sz w:val="32"/>
                <w:b/>
                <w:color w:val="000000"/>
              </w:rPr>
              <w:t>要求</w:t>
            </w:r>
          </w:p>
          <w:p>
            <w:pPr>
              <w:pStyle w:val="null3"/>
              <w:ind w:firstLine="420"/>
              <w:jc w:val="left"/>
            </w:pPr>
            <w:r>
              <w:rPr>
                <w:rFonts w:ascii="仿宋_GB2312" w:hAnsi="仿宋_GB2312" w:cs="仿宋_GB2312" w:eastAsia="仿宋_GB2312"/>
                <w:sz w:val="28"/>
                <w:color w:val="000000"/>
              </w:rPr>
              <w:t>2.1.</w:t>
            </w:r>
            <w:r>
              <w:rPr>
                <w:rFonts w:ascii="仿宋_GB2312" w:hAnsi="仿宋_GB2312" w:cs="仿宋_GB2312" w:eastAsia="仿宋_GB2312"/>
                <w:sz w:val="28"/>
                <w:color w:val="000000"/>
              </w:rPr>
              <w:t>服务地点：采购人指定地点。</w:t>
            </w:r>
          </w:p>
          <w:p>
            <w:pPr>
              <w:pStyle w:val="null3"/>
              <w:ind w:firstLine="420"/>
              <w:jc w:val="left"/>
            </w:pPr>
            <w:r>
              <w:rPr>
                <w:rFonts w:ascii="仿宋_GB2312" w:hAnsi="仿宋_GB2312" w:cs="仿宋_GB2312" w:eastAsia="仿宋_GB2312"/>
                <w:sz w:val="28"/>
                <w:color w:val="000000"/>
              </w:rPr>
              <w:t>2.2.</w:t>
            </w:r>
            <w:r>
              <w:rPr>
                <w:rFonts w:ascii="仿宋_GB2312" w:hAnsi="仿宋_GB2312" w:cs="仿宋_GB2312" w:eastAsia="仿宋_GB2312"/>
                <w:sz w:val="28"/>
                <w:color w:val="000000"/>
              </w:rPr>
              <w:t>合同履行期限（服务期）：一年，合同签订之日起60日内完成调试服务。（在采购人落实2026/2027年度预算的前提下，且本项目服务内容及服务要求不变，经考核合格后，可依据本次招标结果所签订的合同续签一年，最多续签两年）。</w:t>
            </w:r>
          </w:p>
          <w:p>
            <w:pPr>
              <w:pStyle w:val="null3"/>
              <w:ind w:firstLine="420"/>
              <w:jc w:val="left"/>
            </w:pPr>
            <w:r>
              <w:rPr>
                <w:rFonts w:ascii="仿宋_GB2312" w:hAnsi="仿宋_GB2312" w:cs="仿宋_GB2312" w:eastAsia="仿宋_GB2312"/>
                <w:sz w:val="28"/>
                <w:color w:val="000000"/>
              </w:rPr>
              <w:t>2.3.</w:t>
            </w:r>
            <w:r>
              <w:rPr>
                <w:rFonts w:ascii="仿宋_GB2312" w:hAnsi="仿宋_GB2312" w:cs="仿宋_GB2312" w:eastAsia="仿宋_GB2312"/>
                <w:sz w:val="28"/>
                <w:color w:val="000000"/>
              </w:rPr>
              <w:t>付款条件</w:t>
            </w:r>
            <w:r>
              <w:rPr>
                <w:rFonts w:ascii="仿宋_GB2312" w:hAnsi="仿宋_GB2312" w:cs="仿宋_GB2312" w:eastAsia="仿宋_GB2312"/>
                <w:sz w:val="28"/>
                <w:color w:val="000000"/>
              </w:rPr>
              <w:t>（以实际合同签订为准）</w:t>
            </w:r>
            <w:r>
              <w:rPr>
                <w:rFonts w:ascii="仿宋_GB2312" w:hAnsi="仿宋_GB2312" w:cs="仿宋_GB2312" w:eastAsia="仿宋_GB2312"/>
                <w:sz w:val="28"/>
                <w:color w:val="000000"/>
              </w:rPr>
              <w:t>：</w:t>
            </w:r>
          </w:p>
          <w:p>
            <w:pPr>
              <w:pStyle w:val="null3"/>
              <w:ind w:firstLine="42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预付费，半年一付</w:t>
            </w:r>
            <w:r>
              <w:rPr>
                <w:rFonts w:ascii="仿宋_GB2312" w:hAnsi="仿宋_GB2312" w:cs="仿宋_GB2312" w:eastAsia="仿宋_GB2312"/>
                <w:sz w:val="28"/>
                <w:color w:val="000000"/>
              </w:rPr>
              <w:t>。</w:t>
            </w:r>
          </w:p>
          <w:p>
            <w:pPr>
              <w:pStyle w:val="null3"/>
              <w:ind w:firstLine="42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）因财政拨款、内部审批等原因，造成甲方未能按期支付费用的，乙方表示理解并保证不向甲方主张任何违约责任。</w:t>
            </w:r>
          </w:p>
          <w:p>
            <w:pPr>
              <w:pStyle w:val="null3"/>
              <w:ind w:firstLine="42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）合同执行过程中，因有学校撤并或停止办学或需求有变化，采购人以书面通知服务商停止相关服务，涉及合同金额变化将以补充协议方式调整支付</w:t>
            </w:r>
            <w:r>
              <w:rPr>
                <w:rFonts w:ascii="仿宋_GB2312" w:hAnsi="仿宋_GB2312" w:cs="仿宋_GB2312" w:eastAsia="仿宋_GB2312"/>
                <w:sz w:val="28"/>
                <w:color w:val="000000"/>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2.1本项目技术要求及商务要求均为不允许负偏离的实质性要求，若不满足则其投标无效。</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投标人应具有《基础电信业务经营许可证》或《增值电信业务经营许可证》</w:t>
            </w:r>
          </w:p>
        </w:tc>
        <w:tc>
          <w:tcPr>
            <w:tcW w:type="dxa" w:w="3322"/>
          </w:tcPr>
          <w:p>
            <w:pPr>
              <w:pStyle w:val="null3"/>
              <w:jc w:val="left"/>
            </w:pPr>
            <w:r>
              <w:rPr>
                <w:rFonts w:ascii="仿宋_GB2312" w:hAnsi="仿宋_GB2312" w:cs="仿宋_GB2312" w:eastAsia="仿宋_GB2312"/>
              </w:rPr>
              <w:t>投标人应具有《基础电信业务经营许可证》或《增值电信业务经营许可证》（提供证书有效期内复印件并加盖单位公章）。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本项目不接受联合体投标（提供承诺函，加盖公章）。</w:t>
            </w:r>
          </w:p>
        </w:tc>
        <w:tc>
          <w:tcPr>
            <w:tcW w:type="dxa" w:w="1661"/>
          </w:tcPr>
          <w:p>
            <w:pPr>
              <w:pStyle w:val="null3"/>
              <w:jc w:val="left"/>
            </w:pPr>
            <w:r>
              <w:rPr>
                <w:rFonts w:ascii="仿宋_GB2312" w:hAnsi="仿宋_GB2312" w:cs="仿宋_GB2312" w:eastAsia="仿宋_GB2312"/>
              </w:rPr>
              <w:t>不接受联合体投标的承诺函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符合法律、行政法规规定的其他条件的承诺函 不接受联合体投标的承诺函 无环保类行政处罚记录声明函 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符合法律、行政法规规定的其他条件的承诺函 不接受联合体投标的承诺函 无环保类行政处罚记录声明函 开标（报价）一览表 中小企业声明函 商务应答表 自觉抵制政府采购领域商业贿赂行为承诺书 投标有效期承诺函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针对本项目提供的项目实施方案，内容包括但不限于：①人员组织管理；②项目进度计划；③质量控制管理等。评标专家根据投标人提供的方案进行评分：方案中包含以上要求全部内容全且满足上述内容完整、条理清晰，针对实际情况，考虑问题周全的得9分，每缺少一项扣3分，一项有缺陷扣1.5分，扣完为止。本项满分9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针对本项目提供的售后服务方案，内容包括但不限于：①服务承诺；②服务体系；③机构配置；④工作流程等。评标专家根据投标人提供的方案进行评分：方案中包含以上要求全部内容全且满足上述内容完整、条理清晰，针对实际情况，考虑问题周全的得12分，每缺少一项扣3分，一项有缺陷扣1.5分，扣完为止。本项满分12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投标人针对本项目提供的应急保障方案，内容包括但不限于：①应急人员配备；②故障响应；③运行维护服务；④服务保障方案等。评标专家根据投标人提供的方案进行评分：方案中包含以上要求全部内容全且满足上述内容完整、条理清晰，针对实际情况，考虑问题周全的得12分，每缺少一项扣3分，一项有缺陷扣1.5分，扣完为止。本项满分12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安全防护方案</w:t>
            </w:r>
          </w:p>
        </w:tc>
        <w:tc>
          <w:tcPr>
            <w:tcW w:type="dxa" w:w="2492"/>
          </w:tcPr>
          <w:p>
            <w:pPr>
              <w:pStyle w:val="null3"/>
              <w:jc w:val="both"/>
            </w:pPr>
            <w:r>
              <w:rPr>
                <w:rFonts w:ascii="仿宋_GB2312" w:hAnsi="仿宋_GB2312" w:cs="仿宋_GB2312" w:eastAsia="仿宋_GB2312"/>
              </w:rPr>
              <w:t>投标人针对本项目提供的安全防护方案，内容包括但不限于：①防护服务；②服务优势；③技术架构等。评标专家根据投标人提供的方案进行评分：方案中包含以上要求全部内容全且满足上述内容完整、条理清晰，针对实际情况，考虑问题周全的得9分，每缺少一项扣3分，一项有缺陷扣1.5分，扣完为止。本项满分9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大纲；②培训计划；③培训对象；④培训保障等。评标专家根据投标人提供的方案进行评分：方案中包含以上要求全部内容全且满足上述内容完整、条理清晰，针对实际情况，考虑问题周全的得4分，每缺少一项扣1分，一项有缺陷扣0.5分，扣完为止。本项满分4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投标人综合能力</w:t>
            </w:r>
          </w:p>
        </w:tc>
        <w:tc>
          <w:tcPr>
            <w:tcW w:type="dxa" w:w="2492"/>
          </w:tcPr>
          <w:p>
            <w:pPr>
              <w:pStyle w:val="null3"/>
              <w:jc w:val="both"/>
            </w:pPr>
            <w:r>
              <w:rPr>
                <w:rFonts w:ascii="仿宋_GB2312" w:hAnsi="仿宋_GB2312" w:cs="仿宋_GB2312" w:eastAsia="仿宋_GB2312"/>
              </w:rPr>
              <w:t>投标人如具有以下证书，每提供一项证书得2.5分，最高得12.5分：1、ISO 9001质量管理体系认证证书； 2、ISO 27001信息安全管理体系认证证书； 3、ISO 20000信息技术服务管理体系认证证书； 4、企业诚信管理体系认证证书； 5、信息技术服务标准（ITSS）认证证书； 证明材料：提供有效期内证书复印件并加盖公章，不提供不得分。</w:t>
            </w:r>
          </w:p>
        </w:tc>
        <w:tc>
          <w:tcPr>
            <w:tcW w:type="dxa" w:w="831"/>
          </w:tcPr>
          <w:p>
            <w:pPr>
              <w:pStyle w:val="null3"/>
              <w:jc w:val="right"/>
            </w:pPr>
            <w:r>
              <w:rPr>
                <w:rFonts w:ascii="仿宋_GB2312" w:hAnsi="仿宋_GB2312" w:cs="仿宋_GB2312" w:eastAsia="仿宋_GB2312"/>
              </w:rPr>
              <w:t>12.5000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1、投标人拟投入本项目的项目经理1人，具有：①信息系统项目管理师证书；②网络工程师证书； ③信息安全工程师证书；④信息系统运维管理工程师证书； 以上证书每提供一个得2.5分，满分10分。 注：提供证书复印件并加盖投标人公章；提供投标人为该持证人员缴纳2025年至今任意3个月的社保证明并加盖公章。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2、投标人拟投入本项目的技术负责人1人，具有：（1）信息系统项目管理师证书；（2）通信工程师证书；（3）网络工程师证书； 以上证书每提供一个得1.5分，满分4.5分。注：提供证书复印件并加盖投标人公章；提供投标人为该持证人员缴纳2025年至今任意3个月的社保证明并加盖公章。</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团队人员</w:t>
            </w:r>
          </w:p>
        </w:tc>
        <w:tc>
          <w:tcPr>
            <w:tcW w:type="dxa" w:w="2492"/>
          </w:tcPr>
          <w:p>
            <w:pPr>
              <w:pStyle w:val="null3"/>
              <w:jc w:val="both"/>
            </w:pPr>
            <w:r>
              <w:rPr>
                <w:rFonts w:ascii="仿宋_GB2312" w:hAnsi="仿宋_GB2312" w:cs="仿宋_GB2312" w:eastAsia="仿宋_GB2312"/>
              </w:rPr>
              <w:t>3、投标人提供售后支撑服务，且投入本项目的售后服务人员（除项目经理及技术负责人外）中具有专业化的线路技术维护能力： 每有一人具有光缆线务员或线务员证书的得1分，（同一人提供多个证书也只记1分，不重复计分），满分11分； 注：提供以上人员相关证书和投标人为该持证人员缴纳2025年至今任意3个月的社保记录并加盖公章）</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投标人自2023年1月1日至今承接过类似项目案例，每提供1个得1分，本项满分6分。 证明材料：提供合同复印件加盖单位公章（以合同签订日期为准），不提供不得分。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HNYH2025-0403</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儋州市教育城域网（含校园网）升级光纤专线租用服务项目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儋州市教育城域网（含校园网）升级光纤专线租用服务项目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C17010200-网络接入服务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4659400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详见附件：符合法律、行政法规规定的其他条件的承诺函</w:t>
      </w:r>
    </w:p>
    <w:p>
      <w:pPr>
        <w:pStyle w:val="null3"/>
        <w:ind w:firstLine="960"/>
        <w:jc w:val="left"/>
      </w:pPr>
      <w:r>
        <w:rPr>
          <w:rFonts w:ascii="仿宋_GB2312" w:hAnsi="仿宋_GB2312" w:cs="仿宋_GB2312" w:eastAsia="仿宋_GB2312"/>
        </w:rPr>
        <w:t>详见附件：不接受联合体投标的承诺函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