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儋州市近海渔业区用海海域整体海域使用论证及海洋环境影响评价等项目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HNBD2025015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海南保达工程管理有限公司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儋州市农业农村局</w:t>
      </w:r>
      <w:r>
        <w:rPr>
          <w:rFonts w:ascii="仿宋_GB2312" w:hAnsi="仿宋_GB2312" w:cs="仿宋_GB2312" w:eastAsia="仿宋_GB2312"/>
        </w:rPr>
        <w:t xml:space="preserve"> 的委托， </w:t>
      </w:r>
      <w:r>
        <w:rPr>
          <w:rFonts w:ascii="仿宋_GB2312" w:hAnsi="仿宋_GB2312" w:cs="仿宋_GB2312" w:eastAsia="仿宋_GB2312"/>
        </w:rPr>
        <w:t>海南保达工程管理有限公司</w:t>
      </w:r>
      <w:r>
        <w:rPr>
          <w:rFonts w:ascii="仿宋_GB2312" w:hAnsi="仿宋_GB2312" w:cs="仿宋_GB2312" w:eastAsia="仿宋_GB2312"/>
        </w:rPr>
        <w:t xml:space="preserve"> 对 </w:t>
      </w:r>
      <w:r>
        <w:rPr>
          <w:rFonts w:ascii="仿宋_GB2312" w:hAnsi="仿宋_GB2312" w:cs="仿宋_GB2312" w:eastAsia="仿宋_GB2312"/>
        </w:rPr>
        <w:t>儋州市近海渔业区用海海域整体海域使用论证及海洋环境影响评价等项目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HNBD2025015</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儋州市近海渔业区用海海域整体海域使用论证及海洋环境影响评价等项目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2,100,000.00元</w:t>
      </w:r>
      <w:r>
        <w:rPr>
          <w:rFonts w:ascii="仿宋_GB2312" w:hAnsi="仿宋_GB2312" w:cs="仿宋_GB2312" w:eastAsia="仿宋_GB2312"/>
        </w:rPr>
        <w:t>贰佰壹拾万元整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300日历天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本项目采购信息指定发布媒体为中国政府采购网（网址www.ccgp.gov.cn）、海南省政府采购网(网址https://ccgphainan.gov.cn/maincms-web/)。关于本项目采购文件的补遗、澄清及变更信息以上述网站公告为准，代理机构不再另行通知，采购文件与更正公告的内容相互矛盾时，以最后发出的更正公告内容为准。 2、投标人须在海南政府采购网(https://ccgp-hainan.gov.cn/maincms-web/)中的海南省政府采购智慧云平台进行注册并完善信息，然后下载参与投标项目电子招标文件（数据包）及其他文件；3、电子标（招标文件数据包后缀名.wtbwj）:必须使用投标工具（帮助中心下载）制作电子版的投标文件， 并使用数字证书（https://www.yuque.com/haonan123/bzzx /ugmn1f）进行签字和加密，投标截至时间前，必须登录系统上传加密的电子投标文件（后缀名. wenc）,开标前必须进入电子开标大厅在线签到（未签到视为无效投标）； 4、非电子标：按照招标文件要求进行线下办理投标业务； 注意事项：电子标采用全程电子化操作，供应商应详细阅读海南政府采购网的通知《海南省财政厅关于进一步推进政府采购全流程电子化的通知》，供应商使用交易系统遇到问题可致电技术支持：4001691288。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儋州市农业农村局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儋州市松涛路38号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0898-23332656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海南保达工程管理有限公司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海南省海口市琼山区红城湖路高路华小区3栋1302房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0898-65359322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原国家计委颁发的《招标代理服务收费管理暂行办法》（计价格[2002]1980号）和国家发改委办公厅颁发的《国家发改委关于招标代理服务收费有关问题的通知》（发改办价格[2003]857号）的规定标准收取本项目采购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1、技术方案部分方案编制应按照正常文本书写，不应把字体间距放大或缩小等，页数不得超过400页，超出此页数会对方案评审有影响，其后果由供应商自行承担。 2、中标单位（成交供应商）在领取成交通知书时提供正本 1 份、副本 2 份的纸质版响应文件用于资料汇总。 3、本项目为线上不见面开评标，各供应商无需到开标现场，根据文件要求按时登录系统进行操作。</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联系人：吴工</w:t>
      </w:r>
    </w:p>
    <w:p>
      <w:pPr>
        <w:pStyle w:val="null3"/>
        <w:jc w:val="left"/>
      </w:pPr>
      <w:r>
        <w:rPr>
          <w:rFonts w:ascii="仿宋_GB2312" w:hAnsi="仿宋_GB2312" w:cs="仿宋_GB2312" w:eastAsia="仿宋_GB2312"/>
        </w:rPr>
        <w:t>联系电话：0898-23332656</w:t>
      </w:r>
    </w:p>
    <w:p>
      <w:pPr>
        <w:pStyle w:val="null3"/>
        <w:jc w:val="left"/>
      </w:pPr>
      <w:r>
        <w:rPr>
          <w:rFonts w:ascii="仿宋_GB2312" w:hAnsi="仿宋_GB2312" w:cs="仿宋_GB2312" w:eastAsia="仿宋_GB2312"/>
        </w:rPr>
        <w:t>地址：儋州市松涛路38号</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0"/>
          <w:color w:val="000000"/>
        </w:rPr>
        <w:t>项目概况：为加快我市渔业升级转型，贯彻落实省委省政府“三步走”战略，拟在峨蔓镇近海渔业区用海开展规划整体海域使用面积40000亩，本项目为政府预先开展的深水网箱养殖集中用海规划及论证等，便于简化用海审批手续，提高海域使用效率和效益，，为我区提供儋州市峨蔓近海渔业区用海开展规划用海海域整体海域使用论证及海洋环境影响评价等报告。包括开展以上工作所需的海洋调查、建模与分析等工作内容。</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2,100,000.00</w:t>
      </w:r>
    </w:p>
    <w:p>
      <w:pPr>
        <w:pStyle w:val="null3"/>
        <w:jc w:val="left"/>
      </w:pPr>
      <w:r>
        <w:rPr>
          <w:rFonts w:ascii="仿宋_GB2312" w:hAnsi="仿宋_GB2312" w:cs="仿宋_GB2312" w:eastAsia="仿宋_GB2312"/>
        </w:rPr>
        <w:t>采购包最高限价（元）: 2,100,000.00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C09040100-鱼苗、鱼种培育和养殖服务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儋州市近海渔业区用海海域整体海域使用论证及海洋环境影响评价等项目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标的名称：C09040100-鱼苗、鱼种培育和养殖服务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02"/>
              <w:jc w:val="left"/>
            </w:pPr>
            <w:r>
              <w:rPr>
                <w:rFonts w:ascii="仿宋_GB2312" w:hAnsi="仿宋_GB2312" w:cs="仿宋_GB2312" w:eastAsia="仿宋_GB2312"/>
                <w:sz w:val="30"/>
                <w:b/>
                <w:color w:val="000000"/>
              </w:rPr>
              <w:t>1</w:t>
            </w:r>
            <w:r>
              <w:rPr>
                <w:rFonts w:ascii="仿宋_GB2312" w:hAnsi="仿宋_GB2312" w:cs="仿宋_GB2312" w:eastAsia="仿宋_GB2312"/>
                <w:sz w:val="30"/>
                <w:b/>
                <w:color w:val="000000"/>
              </w:rPr>
              <w:t>）</w:t>
            </w:r>
            <w:r>
              <w:rPr>
                <w:rFonts w:ascii="仿宋_GB2312" w:hAnsi="仿宋_GB2312" w:cs="仿宋_GB2312" w:eastAsia="仿宋_GB2312"/>
                <w:sz w:val="30"/>
                <w:color w:val="000000"/>
              </w:rPr>
              <w:t>根据儋州市近海渔业区用海海域整体海域使用论证及海洋环境影响评价技术规程，编制《儋州市近海渔业区用海海域整体海域使用论证报告》、《儋州市近海渔业区用海海域整体海洋环境影响评价报告》和《儋州市近海渔业区用海海域整体通航论证评估专题报告》，通过专家评审并提交最终成果文件。</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602"/>
              <w:jc w:val="left"/>
            </w:pPr>
            <w:r>
              <w:rPr>
                <w:rFonts w:ascii="仿宋_GB2312" w:hAnsi="仿宋_GB2312" w:cs="仿宋_GB2312" w:eastAsia="仿宋_GB2312"/>
                <w:sz w:val="30"/>
                <w:b/>
                <w:color w:val="000000"/>
              </w:rPr>
              <w:t>2</w:t>
            </w:r>
            <w:r>
              <w:rPr>
                <w:rFonts w:ascii="仿宋_GB2312" w:hAnsi="仿宋_GB2312" w:cs="仿宋_GB2312" w:eastAsia="仿宋_GB2312"/>
                <w:sz w:val="30"/>
                <w:b/>
                <w:color w:val="000000"/>
              </w:rPr>
              <w:t>）内容及要求：</w:t>
            </w:r>
          </w:p>
          <w:p>
            <w:pPr>
              <w:pStyle w:val="null3"/>
              <w:ind w:firstLine="600"/>
              <w:jc w:val="left"/>
            </w:pPr>
            <w:r>
              <w:rPr>
                <w:rFonts w:ascii="仿宋_GB2312" w:hAnsi="仿宋_GB2312" w:cs="仿宋_GB2312" w:eastAsia="仿宋_GB2312"/>
                <w:sz w:val="30"/>
                <w:color w:val="000000"/>
              </w:rPr>
              <w:t>1</w:t>
            </w:r>
            <w:r>
              <w:rPr>
                <w:rFonts w:ascii="仿宋_GB2312" w:hAnsi="仿宋_GB2312" w:cs="仿宋_GB2312" w:eastAsia="仿宋_GB2312"/>
                <w:sz w:val="30"/>
                <w:color w:val="000000"/>
              </w:rPr>
              <w:t>、内容：通过对拟建项目所在海域及毗邻海域的自然条件、资源和环境的调查，在现场勘查、图件编绘、数值模拟等工作基础上，按照国家海域使用论证、海洋环境影响评价报告的要求进行分析、研究、论证，提出本项目海域使用可行性意见及相应的对策，编制海域使用论证和海洋环境影响报告，提出海洋环境影响评价意见及海域使用管理相应的对策、相关的措施及建议，为主管部门审批海域提供科学依据。</w:t>
            </w:r>
          </w:p>
          <w:p>
            <w:pPr>
              <w:pStyle w:val="null3"/>
              <w:ind w:firstLine="600"/>
              <w:jc w:val="left"/>
            </w:pPr>
            <w:r>
              <w:rPr>
                <w:rFonts w:ascii="仿宋_GB2312" w:hAnsi="仿宋_GB2312" w:cs="仿宋_GB2312" w:eastAsia="仿宋_GB2312"/>
                <w:sz w:val="30"/>
                <w:color w:val="000000"/>
              </w:rPr>
              <w:t>2</w:t>
            </w:r>
            <w:r>
              <w:rPr>
                <w:rFonts w:ascii="仿宋_GB2312" w:hAnsi="仿宋_GB2312" w:cs="仿宋_GB2312" w:eastAsia="仿宋_GB2312"/>
                <w:sz w:val="30"/>
                <w:color w:val="000000"/>
              </w:rPr>
              <w:t>、要求：《儋州市近海渔业区用海海域使用论证报告》按国家海洋局《海域使用论证技术导则》（2023年 7 月发布实施）的格式和要求的内容进行论证和编写；《儋州市近海渔业区用海海域整体海洋环境影响评价报告》按《环境影响评价技术导则 海洋生态环境》（HJ 1409—2025）要求的内容进行评价，《儋州市近海渔业区用海海域整体通航论证评估专题报告》按《中华人民共和国航道法》。</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ind w:firstLine="602"/>
              <w:jc w:val="left"/>
            </w:pPr>
            <w:r>
              <w:rPr>
                <w:rFonts w:ascii="仿宋_GB2312" w:hAnsi="仿宋_GB2312" w:cs="仿宋_GB2312" w:eastAsia="仿宋_GB2312"/>
                <w:sz w:val="30"/>
                <w:b/>
                <w:color w:val="000000"/>
              </w:rPr>
              <w:t>3</w:t>
            </w:r>
            <w:r>
              <w:rPr>
                <w:rFonts w:ascii="仿宋_GB2312" w:hAnsi="仿宋_GB2312" w:cs="仿宋_GB2312" w:eastAsia="仿宋_GB2312"/>
                <w:sz w:val="30"/>
                <w:b/>
                <w:color w:val="000000"/>
              </w:rPr>
              <w:t>）编制依据和执行规范</w:t>
            </w:r>
          </w:p>
          <w:p>
            <w:pPr>
              <w:pStyle w:val="null3"/>
              <w:ind w:firstLine="600"/>
              <w:jc w:val="left"/>
            </w:pPr>
            <w:r>
              <w:rPr>
                <w:rFonts w:ascii="仿宋_GB2312" w:hAnsi="仿宋_GB2312" w:cs="仿宋_GB2312" w:eastAsia="仿宋_GB2312"/>
                <w:sz w:val="30"/>
                <w:color w:val="000000"/>
              </w:rPr>
              <w:t>《中华人民共和国海域使用管理法》；</w:t>
            </w:r>
          </w:p>
          <w:p>
            <w:pPr>
              <w:pStyle w:val="null3"/>
              <w:ind w:firstLine="600"/>
              <w:jc w:val="left"/>
            </w:pPr>
            <w:r>
              <w:rPr>
                <w:rFonts w:ascii="仿宋_GB2312" w:hAnsi="仿宋_GB2312" w:cs="仿宋_GB2312" w:eastAsia="仿宋_GB2312"/>
                <w:sz w:val="30"/>
                <w:color w:val="000000"/>
              </w:rPr>
              <w:t>《中华人民共和国海洋环境保护法》；</w:t>
            </w:r>
          </w:p>
          <w:p>
            <w:pPr>
              <w:pStyle w:val="null3"/>
              <w:ind w:firstLine="600"/>
              <w:jc w:val="left"/>
            </w:pPr>
            <w:r>
              <w:rPr>
                <w:rFonts w:ascii="仿宋_GB2312" w:hAnsi="仿宋_GB2312" w:cs="仿宋_GB2312" w:eastAsia="仿宋_GB2312"/>
                <w:sz w:val="30"/>
                <w:color w:val="000000"/>
              </w:rPr>
              <w:t>《中华人民共和国环境环境影响评价法》；</w:t>
            </w:r>
          </w:p>
          <w:p>
            <w:pPr>
              <w:pStyle w:val="null3"/>
              <w:ind w:firstLine="600"/>
              <w:jc w:val="left"/>
            </w:pPr>
            <w:r>
              <w:rPr>
                <w:rFonts w:ascii="仿宋_GB2312" w:hAnsi="仿宋_GB2312" w:cs="仿宋_GB2312" w:eastAsia="仿宋_GB2312"/>
                <w:sz w:val="30"/>
                <w:color w:val="000000"/>
              </w:rPr>
              <w:t>《环境影响评价技术导则 海洋生态环境》（HJ 1409—2025）；</w:t>
            </w:r>
          </w:p>
          <w:p>
            <w:pPr>
              <w:pStyle w:val="null3"/>
              <w:ind w:firstLine="600"/>
              <w:jc w:val="left"/>
            </w:pPr>
            <w:r>
              <w:rPr>
                <w:rFonts w:ascii="仿宋_GB2312" w:hAnsi="仿宋_GB2312" w:cs="仿宋_GB2312" w:eastAsia="仿宋_GB2312"/>
                <w:sz w:val="30"/>
                <w:color w:val="000000"/>
              </w:rPr>
              <w:t>《海域使用论证技术导则》(GB/T 42361-2023)；</w:t>
            </w:r>
          </w:p>
          <w:p>
            <w:pPr>
              <w:pStyle w:val="null3"/>
              <w:ind w:firstLine="600"/>
              <w:jc w:val="left"/>
            </w:pPr>
            <w:r>
              <w:rPr>
                <w:rFonts w:ascii="仿宋_GB2312" w:hAnsi="仿宋_GB2312" w:cs="仿宋_GB2312" w:eastAsia="仿宋_GB2312"/>
                <w:sz w:val="30"/>
                <w:color w:val="000000"/>
              </w:rPr>
              <w:t>《海洋监测规范》（GB17378-2007）；</w:t>
            </w:r>
          </w:p>
          <w:p>
            <w:pPr>
              <w:pStyle w:val="null3"/>
              <w:ind w:firstLine="600"/>
              <w:jc w:val="left"/>
            </w:pPr>
            <w:r>
              <w:rPr>
                <w:rFonts w:ascii="仿宋_GB2312" w:hAnsi="仿宋_GB2312" w:cs="仿宋_GB2312" w:eastAsia="仿宋_GB2312"/>
                <w:sz w:val="30"/>
                <w:color w:val="000000"/>
              </w:rPr>
              <w:t>《海洋调查规范》（GB/T12763-2007）；</w:t>
            </w:r>
          </w:p>
          <w:p>
            <w:pPr>
              <w:pStyle w:val="null3"/>
              <w:jc w:val="left"/>
            </w:pPr>
            <w:r>
              <w:rPr>
                <w:rFonts w:ascii="仿宋_GB2312" w:hAnsi="仿宋_GB2312" w:cs="仿宋_GB2312" w:eastAsia="仿宋_GB2312"/>
                <w:sz w:val="30"/>
                <w:color w:val="000000"/>
              </w:rPr>
              <w:t>其他相关法律、法规和技术标准</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ind w:firstLine="602"/>
              <w:jc w:val="left"/>
            </w:pPr>
            <w:r>
              <w:rPr>
                <w:rFonts w:ascii="仿宋_GB2312" w:hAnsi="仿宋_GB2312" w:cs="仿宋_GB2312" w:eastAsia="仿宋_GB2312"/>
                <w:sz w:val="30"/>
                <w:b/>
                <w:color w:val="000000"/>
              </w:rPr>
              <w:t>4</w:t>
            </w:r>
            <w:r>
              <w:rPr>
                <w:rFonts w:ascii="仿宋_GB2312" w:hAnsi="仿宋_GB2312" w:cs="仿宋_GB2312" w:eastAsia="仿宋_GB2312"/>
                <w:sz w:val="30"/>
                <w:b/>
                <w:color w:val="000000"/>
              </w:rPr>
              <w:t>）工作成果</w:t>
            </w:r>
          </w:p>
          <w:p>
            <w:pPr>
              <w:pStyle w:val="null3"/>
              <w:ind w:firstLine="600"/>
              <w:jc w:val="left"/>
            </w:pPr>
            <w:r>
              <w:rPr>
                <w:rFonts w:ascii="仿宋_GB2312" w:hAnsi="仿宋_GB2312" w:cs="仿宋_GB2312" w:eastAsia="仿宋_GB2312"/>
                <w:sz w:val="30"/>
                <w:color w:val="000000"/>
              </w:rPr>
              <w:t>提交《儋州市近海渔业区用海海域整体海域使用论证报告》、《儋州市近海渔业区用海海域整体海洋环境影响评价报告》、《儋州市近海渔业区用海海域整体通航论证评估专题报告》送审稿和报批稿各 3 份及报批稿的电子版光盘 1 份。</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8"/>
                <w:b/>
              </w:rPr>
              <w:t>验收方法及标准：</w:t>
            </w:r>
            <w:r>
              <w:rPr>
                <w:rFonts w:ascii="仿宋_GB2312" w:hAnsi="仿宋_GB2312" w:cs="仿宋_GB2312" w:eastAsia="仿宋_GB2312"/>
                <w:sz w:val="30"/>
                <w:color w:val="000000"/>
              </w:rPr>
              <w:t>按本采购文件及中标供应商响应文件及国家和企业的相关政策、法规实施。</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00"/>
              <w:jc w:val="left"/>
            </w:pPr>
            <w:r>
              <w:rPr>
                <w:rFonts w:ascii="仿宋_GB2312" w:hAnsi="仿宋_GB2312" w:cs="仿宋_GB2312" w:eastAsia="仿宋_GB2312"/>
                <w:sz w:val="30"/>
                <w:color w:val="000000"/>
              </w:rPr>
              <w:t>项目名称：儋州市近海渔业区用海海域整体海域使用论证及海洋环境影响评价等项目</w:t>
            </w:r>
          </w:p>
          <w:p>
            <w:pPr>
              <w:pStyle w:val="null3"/>
              <w:ind w:firstLine="600"/>
              <w:jc w:val="left"/>
            </w:pPr>
            <w:r>
              <w:rPr>
                <w:rFonts w:ascii="仿宋_GB2312" w:hAnsi="仿宋_GB2312" w:cs="仿宋_GB2312" w:eastAsia="仿宋_GB2312"/>
                <w:sz w:val="30"/>
                <w:color w:val="000000"/>
              </w:rPr>
              <w:t>项目编号： HNBD2025015</w:t>
            </w:r>
          </w:p>
          <w:p>
            <w:pPr>
              <w:pStyle w:val="null3"/>
              <w:ind w:firstLine="600"/>
              <w:jc w:val="left"/>
            </w:pPr>
            <w:r>
              <w:rPr>
                <w:rFonts w:ascii="仿宋_GB2312" w:hAnsi="仿宋_GB2312" w:cs="仿宋_GB2312" w:eastAsia="仿宋_GB2312"/>
                <w:sz w:val="30"/>
                <w:color w:val="000000"/>
              </w:rPr>
              <w:t>预算金额：项目采购预算金额（最高限价）：¥210.00万元；超过采购预算金额（最高限价）的投标报价，按无效投标处理。</w:t>
            </w:r>
          </w:p>
          <w:p>
            <w:pPr>
              <w:pStyle w:val="null3"/>
              <w:ind w:firstLine="600"/>
              <w:jc w:val="left"/>
            </w:pPr>
            <w:r>
              <w:rPr>
                <w:rFonts w:ascii="仿宋_GB2312" w:hAnsi="仿宋_GB2312" w:cs="仿宋_GB2312" w:eastAsia="仿宋_GB2312"/>
                <w:sz w:val="30"/>
                <w:color w:val="000000"/>
              </w:rPr>
              <w:t>交付期限（合同履行期限）： 300日历天。</w:t>
            </w:r>
          </w:p>
          <w:p>
            <w:pPr>
              <w:pStyle w:val="null3"/>
              <w:ind w:firstLine="600"/>
              <w:jc w:val="left"/>
            </w:pPr>
            <w:r>
              <w:rPr>
                <w:rFonts w:ascii="仿宋_GB2312" w:hAnsi="仿宋_GB2312" w:cs="仿宋_GB2312" w:eastAsia="仿宋_GB2312"/>
                <w:sz w:val="30"/>
                <w:color w:val="000000"/>
              </w:rPr>
              <w:t>交付地点：儋州市。</w:t>
            </w:r>
          </w:p>
          <w:p>
            <w:pPr>
              <w:pStyle w:val="null3"/>
              <w:ind w:firstLine="600"/>
              <w:jc w:val="left"/>
            </w:pPr>
            <w:r>
              <w:rPr>
                <w:rFonts w:ascii="仿宋_GB2312" w:hAnsi="仿宋_GB2312" w:cs="仿宋_GB2312" w:eastAsia="仿宋_GB2312"/>
                <w:sz w:val="30"/>
                <w:color w:val="000000"/>
              </w:rPr>
              <w:t>付款条件：采购双方签订合同时另行约定。</w:t>
            </w:r>
          </w:p>
          <w:p>
            <w:pPr>
              <w:pStyle w:val="null3"/>
              <w:ind w:firstLine="600"/>
              <w:jc w:val="left"/>
            </w:pPr>
            <w:r>
              <w:rPr>
                <w:rFonts w:ascii="仿宋_GB2312" w:hAnsi="仿宋_GB2312" w:cs="仿宋_GB2312" w:eastAsia="仿宋_GB2312"/>
                <w:sz w:val="30"/>
                <w:color w:val="000000"/>
              </w:rPr>
              <w:t>验收要求（服务质量）：报告必须符合有关法律法规、相关文件、技术规范和标准要求，并通过有关部门主持的技术审查。</w:t>
            </w:r>
          </w:p>
          <w:p>
            <w:pPr>
              <w:pStyle w:val="null3"/>
              <w:ind w:firstLine="600"/>
              <w:jc w:val="left"/>
            </w:pPr>
            <w:r>
              <w:rPr>
                <w:rFonts w:ascii="仿宋_GB2312" w:hAnsi="仿宋_GB2312" w:cs="仿宋_GB2312" w:eastAsia="仿宋_GB2312"/>
                <w:sz w:val="30"/>
                <w:color w:val="000000"/>
              </w:rPr>
              <w:t>服务保质期：验收评价合格之日至项目结束。</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磋商保证金缴纳证明材料 自觉抵制政府采购领域商业贿赂行为承诺书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对采购项目的理解</w:t>
            </w:r>
          </w:p>
        </w:tc>
        <w:tc>
          <w:tcPr>
            <w:tcW w:type="dxa" w:w="2492"/>
          </w:tcPr>
          <w:p>
            <w:pPr>
              <w:pStyle w:val="null3"/>
              <w:jc w:val="left"/>
            </w:pPr>
            <w:r>
              <w:rPr>
                <w:rFonts w:ascii="仿宋_GB2312" w:hAnsi="仿宋_GB2312" w:cs="仿宋_GB2312" w:eastAsia="仿宋_GB2312"/>
              </w:rPr>
              <w:t>对采购项目的理解，包括对项目的地理位置、项目的功能与作用的理解是否深刻、准确，对项目特点描述是否准确。 (1)对项目背景了解推确、透彻，完全响应并优于采购需求，技术思路、工作内容清晰(10分)； (2)对项目背景了解基本推确，基本响应采购需求，技术思路、工作内容欠清晰(7分)； (3)对项目背景了解不够准确，不能响应采购需求，技术思路、工作内容不清晰(5分)； (4)对项目背景了解不够完整、对本项目针对性差、思路及可行性较差，(2分)； (5)未提供对应方案不得分。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492"/>
          </w:tcPr>
          <w:p>
            <w:pPr>
              <w:pStyle w:val="null3"/>
              <w:jc w:val="left"/>
            </w:pPr>
            <w:r>
              <w:rPr>
                <w:rFonts w:ascii="仿宋_GB2312" w:hAnsi="仿宋_GB2312" w:cs="仿宋_GB2312" w:eastAsia="仿宋_GB2312"/>
              </w:rPr>
              <w:t>根据供应商提供的项目服务方案是否科学、可行，对项目的理解和所在的地区条件的认识是否准确全面且工作思路和理念是否清晰，是否根据项目实际情况制订合理、可行且针对性强的具体实施方案等进行综合评审: (1)方案内容非常完整、无缺失项,供应商对项目理解充分，完全满足并优于采购需求，所提供的实施方案科学、可行，针对性强，(20分)； (2)方案内容基本完整，供应商对项目基本理解，基本满足采购需求，所提供的实施方案较科学、较可行，针对性般的，(15分)； (3)方案内容一般，供应商对项目理解一般，较为满足采购需求，所提供的实施方案一般 (10分)； (4)方案内容不够完整、针对性比较差、思路不清晰及可行性较差，(5分)； (5)未提供对应方案不得分。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进度控制计划</w:t>
            </w:r>
          </w:p>
        </w:tc>
        <w:tc>
          <w:tcPr>
            <w:tcW w:type="dxa" w:w="2492"/>
          </w:tcPr>
          <w:p>
            <w:pPr>
              <w:pStyle w:val="null3"/>
              <w:jc w:val="left"/>
            </w:pPr>
            <w:r>
              <w:rPr>
                <w:rFonts w:ascii="仿宋_GB2312" w:hAnsi="仿宋_GB2312" w:cs="仿宋_GB2312" w:eastAsia="仿宋_GB2312"/>
              </w:rPr>
              <w:t>根据供应商是否有针对本项目制定的工作进度计划，进度计划是否详细 可行、合理，是否以严谨且可执行的保障措施实现本项目对时间的要求进行综合评审： (1)进度计划详细可行、合理，严谨，优于采购需求(10分): (2)进度计划较详细可行、合理，较严谨，基本满足采购需求(7分)； (3)进度计划一般，较为满足采购需求(5分) (4)进度计划针对采购需求满足性差，仅满足部分需求(2分)； (5)未提供对应方案不得分。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质量保证措施</w:t>
            </w:r>
          </w:p>
        </w:tc>
        <w:tc>
          <w:tcPr>
            <w:tcW w:type="dxa" w:w="2492"/>
          </w:tcPr>
          <w:p>
            <w:pPr>
              <w:pStyle w:val="null3"/>
              <w:jc w:val="left"/>
            </w:pPr>
            <w:r>
              <w:rPr>
                <w:rFonts w:ascii="仿宋_GB2312" w:hAnsi="仿宋_GB2312" w:cs="仿宋_GB2312" w:eastAsia="仿宋_GB2312"/>
              </w:rPr>
              <w:t>根据供应商提供的成果质量保证措施是否全面、合理，保证措施是否得当，是否有针对本项目评价成果质量的保证措施进行综合评审： (1)供应商提供的成果质量保证措施全面、合理、且针对性强(10分)； (2)供应商提供的成果质量保证措施较、合理、且针性基本满足(7分)； (3)供应商提供的成果质量保证措施一般,针对性一般(5分)； (3)供应商提供的成果质量保证措施较差,针对性较差(2分) (4)未提供对应方案不得分。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2022年1月1日迄今，承担过类似业绩的，每项得10分，最高得20分。 证明材料：响应文件中须提供合同协议书复印件加盖单位公章(时间以签订合同时间为准)。不提供不得分。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项目负责人为具有注册环境影响评价工程师证书及以上的职称证书，得5分，没有不得分。 证明材料：响应文件中须提供 2025年1月至今任意连续3个月在本单位缴纳的社保证明、退休人员应提供返聘合同无需社保证明、职称证复印件加盖公章。不提供不得分。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项目实施团队</w:t>
            </w:r>
          </w:p>
        </w:tc>
        <w:tc>
          <w:tcPr>
            <w:tcW w:type="dxa" w:w="2492"/>
          </w:tcPr>
          <w:p>
            <w:pPr>
              <w:pStyle w:val="null3"/>
              <w:jc w:val="left"/>
            </w:pPr>
            <w:r>
              <w:rPr>
                <w:rFonts w:ascii="仿宋_GB2312" w:hAnsi="仿宋_GB2312" w:cs="仿宋_GB2312" w:eastAsia="仿宋_GB2312"/>
              </w:rPr>
              <w:t>项目实施团队其他人员(不含项目负责人)：具有中级工程每提供一人得2分，最高得6分，具有高级工程师证书，每提供一人得5分，最高得15分，本项15分为满分。 证明材料：响应文件中须提供 2025年1月至今任意连续3个月在本单位缴纳的社保证明、退休人员应提供返聘合同无需社保证明、职称证复印件加盖公章。不提供不得分。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HNBD2025015</w:t>
      </w:r>
    </w:p>
    <w:p>
      <w:pPr>
        <w:pStyle w:val="null3"/>
        <w:jc w:val="left"/>
      </w:pPr>
      <w:r>
        <w:rPr>
          <w:rFonts w:ascii="仿宋_GB2312" w:hAnsi="仿宋_GB2312" w:cs="仿宋_GB2312" w:eastAsia="仿宋_GB2312"/>
        </w:rPr>
        <w:t>项目名称：</w:t>
      </w:r>
      <w:r>
        <w:rPr>
          <w:rFonts w:ascii="仿宋_GB2312" w:hAnsi="仿宋_GB2312" w:cs="仿宋_GB2312" w:eastAsia="仿宋_GB2312"/>
        </w:rPr>
        <w:t>儋州市近海渔业区用海海域整体海域使用论证及海洋环境影响评价等项目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儋州市近海渔业区用海海域整体海域使用论证及海洋环境影响评价等项目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儋州市近海渔业区用海海域整体海域使用论证及海洋环境影响评价等项目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2100000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详见附件：技术方案</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