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D63FA">
      <w:pPr>
        <w:spacing w:line="360" w:lineRule="auto"/>
        <w:jc w:val="left"/>
        <w:rPr>
          <w:rFonts w:ascii="宋体" w:hAnsi="宋体" w:eastAsia="宋体" w:cs="Times New Roman"/>
          <w:b/>
          <w:sz w:val="30"/>
          <w:szCs w:val="30"/>
          <w:u w:val="single"/>
        </w:rPr>
      </w:pPr>
      <w:r>
        <w:rPr>
          <w:rFonts w:hint="eastAsia" w:ascii="宋体" w:hAnsi="宋体" w:eastAsia="宋体" w:cs="Times New Roman"/>
          <w:b/>
          <w:sz w:val="30"/>
          <w:szCs w:val="30"/>
        </w:rPr>
        <w:t>合同编号：</w:t>
      </w:r>
      <w:r>
        <w:rPr>
          <w:rFonts w:hint="eastAsia" w:ascii="宋体" w:hAnsi="宋体" w:eastAsia="宋体" w:cs="Times New Roman"/>
          <w:b/>
          <w:sz w:val="30"/>
          <w:szCs w:val="30"/>
          <w:u w:val="single"/>
        </w:rPr>
        <w:t xml:space="preserve">             </w:t>
      </w:r>
    </w:p>
    <w:p w14:paraId="5A9BDBC6">
      <w:pPr>
        <w:spacing w:line="360" w:lineRule="auto"/>
        <w:ind w:right="40" w:firstLine="4350" w:firstLineChars="1450"/>
        <w:jc w:val="left"/>
        <w:rPr>
          <w:rFonts w:ascii="宋体" w:hAnsi="宋体" w:eastAsia="宋体" w:cs="宋体"/>
          <w:sz w:val="30"/>
          <w:szCs w:val="30"/>
        </w:rPr>
      </w:pPr>
    </w:p>
    <w:p w14:paraId="1346B8FF">
      <w:pPr>
        <w:spacing w:line="360" w:lineRule="auto"/>
        <w:ind w:right="40" w:firstLine="4350" w:firstLineChars="1450"/>
        <w:jc w:val="left"/>
        <w:rPr>
          <w:rFonts w:ascii="宋体" w:hAnsi="宋体" w:eastAsia="宋体" w:cs="宋体"/>
          <w:sz w:val="30"/>
          <w:szCs w:val="30"/>
        </w:rPr>
      </w:pPr>
    </w:p>
    <w:p w14:paraId="7C8EC7D8">
      <w:pPr>
        <w:spacing w:line="360" w:lineRule="auto"/>
        <w:jc w:val="center"/>
        <w:rPr>
          <w:rFonts w:ascii="宋体" w:hAnsi="宋体" w:eastAsia="宋体" w:cs="Times New Roman"/>
          <w:b/>
          <w:sz w:val="72"/>
          <w:szCs w:val="72"/>
        </w:rPr>
      </w:pPr>
      <w:r>
        <w:rPr>
          <w:rFonts w:hint="eastAsia" w:ascii="宋体" w:hAnsi="宋体" w:eastAsia="宋体" w:cs="Times New Roman"/>
          <w:b/>
          <w:sz w:val="72"/>
          <w:szCs w:val="72"/>
        </w:rPr>
        <w:t>儋州市政府采购项目</w:t>
      </w:r>
    </w:p>
    <w:p w14:paraId="6493E293">
      <w:pPr>
        <w:spacing w:line="360" w:lineRule="auto"/>
        <w:rPr>
          <w:rFonts w:ascii="宋体" w:hAnsi="宋体" w:eastAsia="宋体" w:cs="Times New Roman"/>
          <w:b/>
          <w:sz w:val="30"/>
          <w:szCs w:val="30"/>
        </w:rPr>
      </w:pPr>
    </w:p>
    <w:p w14:paraId="649D87D4">
      <w:pPr>
        <w:spacing w:line="360" w:lineRule="auto"/>
        <w:ind w:firstLine="2209" w:firstLineChars="200"/>
        <w:rPr>
          <w:rFonts w:ascii="宋体" w:hAnsi="宋体" w:eastAsia="宋体" w:cs="Times New Roman"/>
          <w:b/>
          <w:sz w:val="110"/>
          <w:szCs w:val="110"/>
        </w:rPr>
      </w:pPr>
      <w:r>
        <w:rPr>
          <w:rFonts w:hint="eastAsia" w:ascii="宋体" w:hAnsi="宋体" w:eastAsia="宋体" w:cs="Times New Roman"/>
          <w:b/>
          <w:sz w:val="110"/>
          <w:szCs w:val="110"/>
        </w:rPr>
        <w:t xml:space="preserve">合    </w:t>
      </w:r>
      <w:r>
        <w:rPr>
          <w:rFonts w:hint="eastAsia" w:ascii="宋体" w:hAnsi="宋体" w:eastAsia="宋体" w:cs="Times New Roman"/>
          <w:b/>
          <w:sz w:val="32"/>
          <w:szCs w:val="32"/>
        </w:rPr>
        <w:t xml:space="preserve">  </w:t>
      </w:r>
      <w:r>
        <w:rPr>
          <w:rFonts w:hint="eastAsia" w:ascii="宋体" w:hAnsi="宋体" w:eastAsia="宋体" w:cs="Times New Roman"/>
          <w:b/>
          <w:sz w:val="110"/>
          <w:szCs w:val="110"/>
        </w:rPr>
        <w:t xml:space="preserve">同 </w:t>
      </w:r>
      <w:r>
        <w:rPr>
          <w:rFonts w:hint="eastAsia" w:ascii="宋体" w:hAnsi="宋体" w:eastAsia="宋体" w:cs="Times New Roman"/>
          <w:b/>
          <w:sz w:val="32"/>
          <w:szCs w:val="32"/>
        </w:rPr>
        <w:t xml:space="preserve">  </w:t>
      </w:r>
    </w:p>
    <w:p w14:paraId="3F66B4F2">
      <w:pPr>
        <w:spacing w:line="360" w:lineRule="auto"/>
        <w:jc w:val="center"/>
        <w:rPr>
          <w:rFonts w:ascii="宋体" w:hAnsi="宋体" w:eastAsia="宋体" w:cs="Times New Roman"/>
          <w:b/>
          <w:sz w:val="32"/>
          <w:szCs w:val="32"/>
        </w:rPr>
      </w:pPr>
    </w:p>
    <w:p w14:paraId="39235CD8">
      <w:pPr>
        <w:spacing w:line="360" w:lineRule="auto"/>
        <w:jc w:val="center"/>
        <w:rPr>
          <w:rFonts w:ascii="宋体" w:hAnsi="宋体" w:eastAsia="宋体" w:cs="Times New Roman"/>
          <w:b/>
          <w:sz w:val="32"/>
          <w:szCs w:val="32"/>
        </w:rPr>
      </w:pPr>
    </w:p>
    <w:p w14:paraId="4B822F78">
      <w:pPr>
        <w:spacing w:line="360" w:lineRule="auto"/>
        <w:ind w:firstLine="1590" w:firstLineChars="495"/>
        <w:rPr>
          <w:rFonts w:ascii="宋体" w:hAnsi="宋体" w:eastAsia="宋体" w:cs="Times New Roman"/>
          <w:b/>
          <w:sz w:val="32"/>
          <w:szCs w:val="32"/>
        </w:rPr>
      </w:pPr>
    </w:p>
    <w:p w14:paraId="5D06B6E0">
      <w:pPr>
        <w:spacing w:line="360" w:lineRule="auto"/>
        <w:ind w:firstLine="1590" w:firstLineChars="495"/>
        <w:rPr>
          <w:rFonts w:ascii="宋体" w:hAnsi="宋体" w:eastAsia="宋体" w:cs="Times New Roman"/>
          <w:b/>
          <w:sz w:val="32"/>
          <w:szCs w:val="32"/>
        </w:rPr>
      </w:pPr>
    </w:p>
    <w:p w14:paraId="42057A6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eastAsia="宋体" w:cs="Times New Roman"/>
          <w:b/>
          <w:sz w:val="32"/>
          <w:szCs w:val="32"/>
        </w:rPr>
      </w:pPr>
      <w:r>
        <w:rPr>
          <w:rFonts w:hint="eastAsia" w:ascii="宋体" w:hAnsi="宋体" w:eastAsia="宋体" w:cs="Times New Roman"/>
          <w:b/>
          <w:sz w:val="32"/>
          <w:szCs w:val="32"/>
        </w:rPr>
        <w:t>项目名称：</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 xml:space="preserve"> </w:t>
      </w:r>
    </w:p>
    <w:p w14:paraId="1B424D4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eastAsia="宋体" w:cs="Times New Roman"/>
          <w:b/>
          <w:sz w:val="32"/>
          <w:szCs w:val="32"/>
        </w:rPr>
      </w:pPr>
      <w:r>
        <w:rPr>
          <w:rFonts w:hint="eastAsia" w:ascii="宋体" w:hAnsi="宋体" w:eastAsia="宋体" w:cs="Times New Roman"/>
          <w:b/>
          <w:sz w:val="32"/>
          <w:szCs w:val="32"/>
        </w:rPr>
        <w:t>项目编号：</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 xml:space="preserve"> </w:t>
      </w:r>
    </w:p>
    <w:p w14:paraId="4911878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eastAsia="宋体" w:cs="Times New Roman"/>
          <w:b/>
          <w:sz w:val="32"/>
          <w:szCs w:val="32"/>
        </w:rPr>
      </w:pPr>
      <w:r>
        <w:rPr>
          <w:rFonts w:hint="eastAsia" w:ascii="宋体" w:hAnsi="宋体" w:eastAsia="宋体" w:cs="Times New Roman"/>
          <w:b/>
          <w:sz w:val="32"/>
          <w:szCs w:val="32"/>
        </w:rPr>
        <w:t>甲    方：</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 xml:space="preserve">  </w:t>
      </w:r>
    </w:p>
    <w:p w14:paraId="6E2272F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eastAsia="宋体" w:cs="Times New Roman"/>
          <w:b/>
          <w:sz w:val="32"/>
          <w:szCs w:val="32"/>
        </w:rPr>
      </w:pPr>
      <w:r>
        <w:rPr>
          <w:rFonts w:hint="eastAsia" w:ascii="宋体" w:hAnsi="宋体" w:eastAsia="宋体" w:cs="Times New Roman"/>
          <w:b/>
          <w:sz w:val="32"/>
          <w:szCs w:val="32"/>
        </w:rPr>
        <w:t>乙    方：</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 xml:space="preserve"> </w:t>
      </w:r>
    </w:p>
    <w:p w14:paraId="01144C7E">
      <w:pPr>
        <w:spacing w:line="360" w:lineRule="auto"/>
        <w:ind w:firstLine="1928" w:firstLineChars="600"/>
        <w:rPr>
          <w:rFonts w:hint="eastAsia" w:ascii="宋体" w:hAnsi="宋体" w:eastAsia="宋体" w:cs="Times New Roman"/>
          <w:b/>
          <w:sz w:val="32"/>
          <w:szCs w:val="32"/>
        </w:rPr>
      </w:pPr>
      <w:r>
        <w:rPr>
          <w:rFonts w:hint="eastAsia" w:ascii="宋体" w:hAnsi="宋体" w:eastAsia="宋体" w:cs="Times New Roman"/>
          <w:b/>
          <w:sz w:val="32"/>
          <w:szCs w:val="32"/>
        </w:rPr>
        <w:t>签订日期：</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年</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 xml:space="preserve"> 月</w:t>
      </w:r>
      <w:r>
        <w:rPr>
          <w:rFonts w:hint="eastAsia" w:ascii="宋体" w:hAnsi="宋体" w:eastAsia="宋体" w:cs="Times New Roman"/>
          <w:b/>
          <w:sz w:val="32"/>
          <w:szCs w:val="32"/>
          <w:u w:val="single"/>
        </w:rPr>
        <w:t xml:space="preserve">    </w:t>
      </w:r>
      <w:r>
        <w:rPr>
          <w:rFonts w:hint="eastAsia" w:ascii="宋体" w:hAnsi="宋体" w:eastAsia="宋体" w:cs="Times New Roman"/>
          <w:b/>
          <w:sz w:val="32"/>
          <w:szCs w:val="32"/>
        </w:rPr>
        <w:t>日</w:t>
      </w:r>
    </w:p>
    <w:p w14:paraId="3ECF4F13">
      <w:pPr>
        <w:spacing w:line="360" w:lineRule="auto"/>
        <w:jc w:val="center"/>
        <w:rPr>
          <w:rFonts w:hint="eastAsia" w:ascii="宋体" w:hAnsi="宋体"/>
          <w:b/>
          <w:sz w:val="32"/>
          <w:szCs w:val="32"/>
        </w:rPr>
        <w:sectPr>
          <w:pgSz w:w="11907" w:h="16840"/>
          <w:pgMar w:top="1440" w:right="1077" w:bottom="1440" w:left="1247" w:header="936" w:footer="992" w:gutter="0"/>
          <w:cols w:space="720" w:num="1"/>
          <w:titlePg/>
          <w:docGrid w:linePitch="312" w:charSpace="0"/>
        </w:sectPr>
      </w:pPr>
    </w:p>
    <w:p w14:paraId="3D251068">
      <w:pPr>
        <w:spacing w:line="360" w:lineRule="auto"/>
        <w:jc w:val="center"/>
        <w:rPr>
          <w:rFonts w:ascii="宋体" w:hAnsi="宋体" w:eastAsia="宋体" w:cs="Times New Roman"/>
          <w:b/>
          <w:sz w:val="32"/>
          <w:szCs w:val="32"/>
        </w:rPr>
      </w:pPr>
      <w:r>
        <w:rPr>
          <w:rFonts w:hint="eastAsia" w:ascii="宋体" w:hAnsi="宋体" w:eastAsia="宋体" w:cs="Times New Roman"/>
          <w:b/>
          <w:sz w:val="32"/>
          <w:szCs w:val="32"/>
        </w:rPr>
        <w:t>合同专用条款</w:t>
      </w:r>
    </w:p>
    <w:p w14:paraId="65E0E01D">
      <w:pPr>
        <w:spacing w:line="480" w:lineRule="exact"/>
        <w:jc w:val="center"/>
        <w:rPr>
          <w:rFonts w:ascii="宋体" w:hAnsi="宋体" w:eastAsia="宋体" w:cs="Times New Roman"/>
          <w:b/>
          <w:sz w:val="24"/>
        </w:rPr>
      </w:pPr>
    </w:p>
    <w:p w14:paraId="69FFA339">
      <w:pPr>
        <w:spacing w:line="480" w:lineRule="exact"/>
        <w:ind w:firstLine="480" w:firstLineChars="200"/>
        <w:rPr>
          <w:rFonts w:ascii="宋体" w:hAnsi="宋体" w:eastAsia="宋体" w:cs="宋体"/>
          <w:sz w:val="24"/>
        </w:rPr>
      </w:pPr>
      <w:r>
        <w:rPr>
          <w:rFonts w:hint="eastAsia" w:ascii="宋体" w:hAnsi="宋体" w:eastAsia="宋体" w:cs="宋体"/>
          <w:sz w:val="24"/>
          <w:u w:val="single"/>
        </w:rPr>
        <w:t xml:space="preserve">  （采购人名称）   </w:t>
      </w:r>
      <w:r>
        <w:rPr>
          <w:rFonts w:hint="eastAsia" w:ascii="宋体" w:hAnsi="宋体" w:eastAsia="宋体" w:cs="宋体"/>
          <w:sz w:val="24"/>
        </w:rPr>
        <w:t xml:space="preserve">(以下简称：甲方)以 </w:t>
      </w:r>
      <w:r>
        <w:rPr>
          <w:rFonts w:hint="eastAsia" w:ascii="宋体" w:hAnsi="宋体" w:eastAsia="宋体" w:cs="宋体"/>
          <w:sz w:val="24"/>
          <w:u w:val="single"/>
        </w:rPr>
        <w:t xml:space="preserve">  竞争性磋商方式 </w:t>
      </w:r>
      <w:r>
        <w:rPr>
          <w:rFonts w:hint="eastAsia" w:ascii="宋体" w:hAnsi="宋体" w:eastAsia="宋体" w:cs="宋体"/>
          <w:sz w:val="24"/>
        </w:rPr>
        <w:t xml:space="preserve">对 </w:t>
      </w:r>
      <w:r>
        <w:rPr>
          <w:rFonts w:hint="eastAsia" w:ascii="宋体" w:hAnsi="宋体" w:eastAsia="宋体" w:cs="宋体"/>
          <w:sz w:val="24"/>
          <w:u w:val="single"/>
        </w:rPr>
        <w:t xml:space="preserve">   （项目名称）</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）进行了采购，</w:t>
      </w:r>
      <w:r>
        <w:rPr>
          <w:rFonts w:hint="eastAsia" w:ascii="宋体" w:hAnsi="宋体" w:eastAsia="宋体" w:cs="宋体"/>
          <w:sz w:val="24"/>
          <w:u w:val="single"/>
        </w:rPr>
        <w:t xml:space="preserve">   （成交供应商名称）</w:t>
      </w:r>
      <w:r>
        <w:rPr>
          <w:rFonts w:hint="eastAsia" w:ascii="宋体" w:hAnsi="宋体" w:eastAsia="宋体" w:cs="宋体"/>
          <w:sz w:val="24"/>
        </w:rPr>
        <w:t>(以下简称：乙方)为该项目成交供应商。根据《中华人民共和国民法典》、</w:t>
      </w:r>
      <w:r>
        <w:rPr>
          <w:rFonts w:hint="eastAsia" w:ascii="宋体" w:hAnsi="宋体" w:eastAsia="宋体" w:cs="宋体"/>
          <w:sz w:val="24"/>
          <w:lang w:val="zh-CN"/>
        </w:rPr>
        <w:t>《中华人民共和国政府采购法》等相</w:t>
      </w:r>
      <w:r>
        <w:rPr>
          <w:rFonts w:hint="eastAsia" w:ascii="宋体" w:hAnsi="宋体" w:eastAsia="宋体" w:cs="宋体"/>
          <w:sz w:val="24"/>
        </w:rPr>
        <w:t>关法律法规，遵循平等、自愿、公平和诚实信用原则，同意按照下面的条款和条件订立本政府采购合同，共同信守。</w:t>
      </w:r>
    </w:p>
    <w:p w14:paraId="454A2A13">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一、政府采购合同文件</w:t>
      </w:r>
    </w:p>
    <w:p w14:paraId="3238689D">
      <w:pPr>
        <w:spacing w:line="480" w:lineRule="exact"/>
        <w:jc w:val="left"/>
        <w:rPr>
          <w:rFonts w:ascii="宋体" w:hAnsi="宋体" w:eastAsia="宋体" w:cs="宋体"/>
          <w:sz w:val="24"/>
        </w:rPr>
      </w:pPr>
      <w:r>
        <w:rPr>
          <w:rFonts w:hint="eastAsia" w:ascii="宋体" w:hAnsi="宋体" w:eastAsia="宋体" w:cs="宋体"/>
          <w:sz w:val="24"/>
        </w:rPr>
        <w:t xml:space="preserve">    本政府采购合同所附下列文件是构成本政府采购合同不可分割的部分：</w:t>
      </w:r>
    </w:p>
    <w:p w14:paraId="115EA402">
      <w:pPr>
        <w:spacing w:line="480" w:lineRule="exact"/>
        <w:ind w:firstLine="480" w:firstLineChars="200"/>
        <w:jc w:val="left"/>
        <w:rPr>
          <w:rFonts w:ascii="宋体" w:hAnsi="宋体" w:eastAsia="宋体" w:cs="宋体"/>
          <w:sz w:val="24"/>
        </w:rPr>
      </w:pPr>
      <w:r>
        <w:rPr>
          <w:rFonts w:hint="eastAsia" w:ascii="宋体" w:hAnsi="宋体" w:eastAsia="宋体" w:cs="宋体"/>
          <w:sz w:val="24"/>
        </w:rPr>
        <w:t>1.磋商文件（含澄清或者修改文件）；</w:t>
      </w:r>
    </w:p>
    <w:p w14:paraId="1F95CA21">
      <w:pPr>
        <w:spacing w:line="480" w:lineRule="exact"/>
        <w:ind w:firstLine="480" w:firstLineChars="200"/>
        <w:jc w:val="left"/>
        <w:rPr>
          <w:rFonts w:ascii="宋体" w:hAnsi="宋体" w:eastAsia="宋体" w:cs="宋体"/>
          <w:sz w:val="24"/>
        </w:rPr>
      </w:pPr>
      <w:r>
        <w:rPr>
          <w:rFonts w:hint="eastAsia" w:ascii="宋体" w:hAnsi="宋体" w:eastAsia="宋体" w:cs="宋体"/>
          <w:sz w:val="24"/>
        </w:rPr>
        <w:t>2.磋商文件的更正公告、变更公告；</w:t>
      </w:r>
    </w:p>
    <w:p w14:paraId="60EAF0B7">
      <w:pPr>
        <w:spacing w:line="480" w:lineRule="exact"/>
        <w:ind w:firstLine="480" w:firstLineChars="200"/>
        <w:jc w:val="left"/>
        <w:rPr>
          <w:rFonts w:ascii="宋体" w:hAnsi="宋体" w:eastAsia="宋体" w:cs="宋体"/>
          <w:sz w:val="24"/>
        </w:rPr>
      </w:pPr>
      <w:r>
        <w:rPr>
          <w:rFonts w:hint="eastAsia" w:ascii="宋体" w:hAnsi="宋体" w:eastAsia="宋体" w:cs="宋体"/>
          <w:sz w:val="24"/>
        </w:rPr>
        <w:t>3.乙方提交的响应文件（含澄清或者修改文件）；</w:t>
      </w:r>
    </w:p>
    <w:p w14:paraId="11C5C93D">
      <w:pPr>
        <w:spacing w:line="480" w:lineRule="exact"/>
        <w:ind w:firstLine="480" w:firstLineChars="200"/>
        <w:jc w:val="left"/>
        <w:rPr>
          <w:rFonts w:ascii="宋体" w:hAnsi="宋体" w:eastAsia="宋体" w:cs="宋体"/>
          <w:sz w:val="24"/>
        </w:rPr>
      </w:pPr>
      <w:r>
        <w:rPr>
          <w:rFonts w:hint="eastAsia" w:ascii="宋体" w:hAnsi="宋体" w:eastAsia="宋体" w:cs="宋体"/>
          <w:sz w:val="24"/>
        </w:rPr>
        <w:t>4.政府采购合同条款；</w:t>
      </w:r>
    </w:p>
    <w:p w14:paraId="79EA8838">
      <w:pPr>
        <w:spacing w:line="480" w:lineRule="exact"/>
        <w:ind w:firstLine="480" w:firstLineChars="200"/>
        <w:jc w:val="left"/>
        <w:rPr>
          <w:rFonts w:ascii="宋体" w:hAnsi="宋体" w:eastAsia="宋体" w:cs="宋体"/>
          <w:sz w:val="24"/>
        </w:rPr>
      </w:pPr>
      <w:r>
        <w:rPr>
          <w:rFonts w:hint="eastAsia" w:ascii="宋体" w:hAnsi="宋体" w:eastAsia="宋体" w:cs="宋体"/>
          <w:sz w:val="24"/>
        </w:rPr>
        <w:t>5.成交通知书；</w:t>
      </w:r>
    </w:p>
    <w:p w14:paraId="133117F3">
      <w:pPr>
        <w:spacing w:line="480" w:lineRule="exact"/>
        <w:ind w:firstLine="480" w:firstLineChars="200"/>
        <w:jc w:val="left"/>
        <w:rPr>
          <w:rFonts w:ascii="宋体" w:hAnsi="宋体" w:eastAsia="宋体" w:cs="宋体"/>
          <w:sz w:val="24"/>
        </w:rPr>
      </w:pPr>
      <w:r>
        <w:rPr>
          <w:rFonts w:hint="eastAsia" w:ascii="宋体" w:hAnsi="宋体" w:eastAsia="宋体" w:cs="宋体"/>
          <w:sz w:val="24"/>
        </w:rPr>
        <w:t>6.政府采购合同的其它附件。</w:t>
      </w:r>
    </w:p>
    <w:p w14:paraId="3BEB974F">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二、政府采购合同范围和条件</w:t>
      </w:r>
    </w:p>
    <w:p w14:paraId="20474120">
      <w:pPr>
        <w:spacing w:line="480" w:lineRule="exact"/>
        <w:jc w:val="left"/>
        <w:rPr>
          <w:rFonts w:ascii="宋体" w:hAnsi="宋体" w:eastAsia="宋体" w:cs="宋体"/>
          <w:sz w:val="24"/>
        </w:rPr>
      </w:pPr>
      <w:r>
        <w:rPr>
          <w:rFonts w:hint="eastAsia" w:ascii="宋体" w:hAnsi="宋体" w:eastAsia="宋体" w:cs="宋体"/>
          <w:sz w:val="24"/>
        </w:rPr>
        <w:t xml:space="preserve">    本政府采购合同的范围和条件与上述政府采购合同文件的规定相一致。</w:t>
      </w:r>
    </w:p>
    <w:p w14:paraId="21CC7C55">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三、政府采购合同标的</w:t>
      </w:r>
    </w:p>
    <w:p w14:paraId="59B39D12">
      <w:pPr>
        <w:spacing w:line="480" w:lineRule="exact"/>
        <w:ind w:firstLine="560"/>
        <w:jc w:val="left"/>
        <w:rPr>
          <w:rFonts w:hint="eastAsia" w:ascii="宋体" w:hAnsi="宋体" w:eastAsia="宋体" w:cs="宋体"/>
          <w:sz w:val="24"/>
        </w:rPr>
      </w:pPr>
      <w:r>
        <w:rPr>
          <w:rFonts w:hint="eastAsia" w:ascii="宋体" w:hAnsi="宋体" w:eastAsia="宋体" w:cs="宋体"/>
          <w:sz w:val="24"/>
        </w:rPr>
        <w:t>本政府采购合同的标的为政府采购合同服务清单(同响应文件中的报价表/明细报价表)中所列服务。</w:t>
      </w:r>
    </w:p>
    <w:tbl>
      <w:tblPr>
        <w:tblStyle w:val="3"/>
        <w:tblW w:w="8453" w:type="dxa"/>
        <w:jc w:val="center"/>
        <w:tblLayout w:type="fixed"/>
        <w:tblCellMar>
          <w:top w:w="0" w:type="dxa"/>
          <w:left w:w="108" w:type="dxa"/>
          <w:bottom w:w="0" w:type="dxa"/>
          <w:right w:w="108" w:type="dxa"/>
        </w:tblCellMar>
      </w:tblPr>
      <w:tblGrid>
        <w:gridCol w:w="773"/>
        <w:gridCol w:w="1950"/>
        <w:gridCol w:w="1339"/>
        <w:gridCol w:w="1571"/>
        <w:gridCol w:w="1620"/>
        <w:gridCol w:w="1200"/>
      </w:tblGrid>
      <w:tr w14:paraId="48060D9A">
        <w:tblPrEx>
          <w:tblCellMar>
            <w:top w:w="0" w:type="dxa"/>
            <w:left w:w="108" w:type="dxa"/>
            <w:bottom w:w="0" w:type="dxa"/>
            <w:right w:w="108" w:type="dxa"/>
          </w:tblCellMar>
        </w:tblPrEx>
        <w:trPr>
          <w:trHeight w:val="393" w:hRule="atLeast"/>
          <w:jc w:val="center"/>
        </w:trPr>
        <w:tc>
          <w:tcPr>
            <w:tcW w:w="773" w:type="dxa"/>
            <w:tcBorders>
              <w:top w:val="single" w:color="auto" w:sz="4" w:space="0"/>
              <w:left w:val="single" w:color="auto" w:sz="4" w:space="0"/>
              <w:bottom w:val="single" w:color="auto" w:sz="4" w:space="0"/>
              <w:right w:val="single" w:color="auto" w:sz="4" w:space="0"/>
            </w:tcBorders>
            <w:noWrap w:val="0"/>
            <w:vAlign w:val="center"/>
          </w:tcPr>
          <w:p w14:paraId="598F6030">
            <w:pPr>
              <w:spacing w:line="480" w:lineRule="exact"/>
              <w:jc w:val="center"/>
              <w:rPr>
                <w:rFonts w:hint="eastAsia" w:ascii="宋体" w:hAnsi="宋体" w:eastAsia="宋体" w:cs="宋体"/>
                <w:b/>
                <w:bCs/>
                <w:sz w:val="24"/>
              </w:rPr>
            </w:pPr>
            <w:r>
              <w:rPr>
                <w:rFonts w:hint="eastAsia" w:ascii="宋体" w:hAnsi="宋体" w:eastAsia="宋体" w:cs="宋体"/>
                <w:b/>
                <w:bCs/>
                <w:sz w:val="24"/>
              </w:rPr>
              <w:t>序号</w:t>
            </w:r>
          </w:p>
        </w:tc>
        <w:tc>
          <w:tcPr>
            <w:tcW w:w="1950" w:type="dxa"/>
            <w:tcBorders>
              <w:top w:val="single" w:color="auto" w:sz="4" w:space="0"/>
              <w:left w:val="single" w:color="auto" w:sz="4" w:space="0"/>
              <w:bottom w:val="single" w:color="auto" w:sz="4" w:space="0"/>
              <w:right w:val="single" w:color="auto" w:sz="4" w:space="0"/>
            </w:tcBorders>
            <w:noWrap w:val="0"/>
            <w:vAlign w:val="center"/>
          </w:tcPr>
          <w:p w14:paraId="6FFFCB8F">
            <w:pPr>
              <w:spacing w:line="480" w:lineRule="exact"/>
              <w:jc w:val="center"/>
              <w:rPr>
                <w:rFonts w:ascii="宋体" w:hAnsi="宋体" w:eastAsia="宋体" w:cs="宋体"/>
                <w:b/>
                <w:bCs/>
                <w:sz w:val="24"/>
              </w:rPr>
            </w:pPr>
            <w:r>
              <w:rPr>
                <w:rFonts w:hint="eastAsia" w:ascii="宋体" w:hAnsi="宋体" w:eastAsia="宋体" w:cs="宋体"/>
                <w:b/>
                <w:bCs/>
                <w:sz w:val="24"/>
              </w:rPr>
              <w:t>服务名称</w:t>
            </w:r>
          </w:p>
        </w:tc>
        <w:tc>
          <w:tcPr>
            <w:tcW w:w="1339" w:type="dxa"/>
            <w:tcBorders>
              <w:top w:val="single" w:color="auto" w:sz="4" w:space="0"/>
              <w:left w:val="single" w:color="auto" w:sz="4" w:space="0"/>
              <w:bottom w:val="single" w:color="auto" w:sz="4" w:space="0"/>
              <w:right w:val="single" w:color="auto" w:sz="4" w:space="0"/>
            </w:tcBorders>
            <w:noWrap w:val="0"/>
            <w:vAlign w:val="center"/>
          </w:tcPr>
          <w:p w14:paraId="75EBC0E4">
            <w:pPr>
              <w:spacing w:line="480" w:lineRule="exact"/>
              <w:jc w:val="center"/>
              <w:rPr>
                <w:rFonts w:ascii="宋体" w:hAnsi="宋体" w:eastAsia="宋体" w:cs="宋体"/>
                <w:b/>
                <w:bCs/>
                <w:sz w:val="24"/>
              </w:rPr>
            </w:pPr>
            <w:r>
              <w:rPr>
                <w:rFonts w:hint="eastAsia" w:ascii="宋体" w:hAnsi="宋体" w:eastAsia="宋体" w:cs="宋体"/>
                <w:b/>
                <w:bCs/>
                <w:sz w:val="24"/>
              </w:rPr>
              <w:t>数量/单位</w:t>
            </w:r>
          </w:p>
        </w:tc>
        <w:tc>
          <w:tcPr>
            <w:tcW w:w="1571" w:type="dxa"/>
            <w:tcBorders>
              <w:top w:val="single" w:color="auto" w:sz="4" w:space="0"/>
              <w:left w:val="single" w:color="auto" w:sz="4" w:space="0"/>
              <w:bottom w:val="single" w:color="auto" w:sz="4" w:space="0"/>
              <w:right w:val="single" w:color="auto" w:sz="4" w:space="0"/>
            </w:tcBorders>
            <w:noWrap w:val="0"/>
            <w:vAlign w:val="center"/>
          </w:tcPr>
          <w:p w14:paraId="3F67A532">
            <w:pPr>
              <w:spacing w:line="480" w:lineRule="exact"/>
              <w:jc w:val="center"/>
              <w:rPr>
                <w:rFonts w:hint="eastAsia" w:ascii="宋体" w:hAnsi="宋体" w:eastAsia="宋体" w:cs="宋体"/>
                <w:b/>
                <w:bCs/>
                <w:sz w:val="24"/>
              </w:rPr>
            </w:pPr>
            <w:r>
              <w:rPr>
                <w:rFonts w:hint="eastAsia" w:ascii="宋体" w:hAnsi="宋体" w:eastAsia="宋体" w:cs="宋体"/>
                <w:b/>
                <w:bCs/>
                <w:sz w:val="24"/>
              </w:rPr>
              <w:t>单价</w:t>
            </w:r>
          </w:p>
          <w:p w14:paraId="21B4778F">
            <w:pPr>
              <w:spacing w:line="480" w:lineRule="exact"/>
              <w:jc w:val="center"/>
              <w:rPr>
                <w:rFonts w:hint="eastAsia" w:ascii="宋体" w:hAnsi="宋体" w:eastAsia="宋体" w:cs="宋体"/>
                <w:b/>
                <w:bCs/>
                <w:sz w:val="24"/>
              </w:rPr>
            </w:pPr>
            <w:r>
              <w:rPr>
                <w:rFonts w:hint="eastAsia" w:ascii="宋体" w:hAnsi="宋体" w:eastAsia="宋体" w:cs="宋体"/>
                <w:b/>
                <w:bCs/>
                <w:sz w:val="24"/>
              </w:rPr>
              <w:t>（元）</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01E739E">
            <w:pPr>
              <w:spacing w:line="480" w:lineRule="exact"/>
              <w:jc w:val="center"/>
              <w:rPr>
                <w:rFonts w:hint="eastAsia" w:ascii="宋体" w:hAnsi="宋体" w:eastAsia="宋体" w:cs="宋体"/>
                <w:b/>
                <w:bCs/>
                <w:sz w:val="24"/>
              </w:rPr>
            </w:pPr>
            <w:r>
              <w:rPr>
                <w:rFonts w:hint="eastAsia" w:ascii="宋体" w:hAnsi="宋体" w:eastAsia="宋体" w:cs="宋体"/>
                <w:b/>
                <w:bCs/>
                <w:sz w:val="24"/>
              </w:rPr>
              <w:t>单项总价</w:t>
            </w:r>
          </w:p>
          <w:p w14:paraId="7ED7156A">
            <w:pPr>
              <w:spacing w:line="480" w:lineRule="exact"/>
              <w:jc w:val="center"/>
              <w:rPr>
                <w:rFonts w:hint="eastAsia" w:ascii="宋体" w:hAnsi="宋体" w:eastAsia="宋体" w:cs="宋体"/>
                <w:b/>
                <w:bCs/>
                <w:sz w:val="24"/>
              </w:rPr>
            </w:pPr>
            <w:r>
              <w:rPr>
                <w:rFonts w:hint="eastAsia" w:ascii="宋体" w:hAnsi="宋体" w:eastAsia="宋体" w:cs="宋体"/>
                <w:b/>
                <w:bCs/>
                <w:sz w:val="24"/>
              </w:rPr>
              <w:t>(元)</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ADE65A1">
            <w:pPr>
              <w:spacing w:line="480" w:lineRule="exact"/>
              <w:jc w:val="center"/>
              <w:rPr>
                <w:rFonts w:hint="eastAsia" w:ascii="宋体" w:hAnsi="宋体" w:eastAsia="宋体" w:cs="宋体"/>
                <w:b/>
                <w:bCs/>
                <w:sz w:val="24"/>
              </w:rPr>
            </w:pPr>
            <w:r>
              <w:rPr>
                <w:rFonts w:hint="eastAsia" w:ascii="宋体" w:hAnsi="宋体" w:eastAsia="宋体" w:cs="宋体"/>
                <w:b/>
                <w:bCs/>
                <w:sz w:val="24"/>
              </w:rPr>
              <w:t>备注</w:t>
            </w:r>
          </w:p>
        </w:tc>
      </w:tr>
      <w:tr w14:paraId="6E2648FF">
        <w:tblPrEx>
          <w:tblCellMar>
            <w:top w:w="0" w:type="dxa"/>
            <w:left w:w="108" w:type="dxa"/>
            <w:bottom w:w="0" w:type="dxa"/>
            <w:right w:w="108" w:type="dxa"/>
          </w:tblCellMar>
        </w:tblPrEx>
        <w:trPr>
          <w:trHeight w:val="90" w:hRule="atLeast"/>
          <w:jc w:val="center"/>
        </w:trPr>
        <w:tc>
          <w:tcPr>
            <w:tcW w:w="773" w:type="dxa"/>
            <w:tcBorders>
              <w:top w:val="single" w:color="auto" w:sz="4" w:space="0"/>
              <w:left w:val="single" w:color="auto" w:sz="4" w:space="0"/>
              <w:bottom w:val="single" w:color="auto" w:sz="4" w:space="0"/>
              <w:right w:val="single" w:color="auto" w:sz="4" w:space="0"/>
            </w:tcBorders>
            <w:noWrap w:val="0"/>
            <w:vAlign w:val="center"/>
          </w:tcPr>
          <w:p w14:paraId="0A200423">
            <w:pPr>
              <w:spacing w:line="480" w:lineRule="exact"/>
              <w:jc w:val="left"/>
              <w:rPr>
                <w:rFonts w:hint="eastAsia" w:ascii="宋体" w:hAnsi="宋体" w:eastAsia="宋体" w:cs="宋体"/>
                <w:sz w:val="24"/>
              </w:rPr>
            </w:pPr>
          </w:p>
        </w:tc>
        <w:tc>
          <w:tcPr>
            <w:tcW w:w="1950" w:type="dxa"/>
            <w:tcBorders>
              <w:top w:val="single" w:color="auto" w:sz="4" w:space="0"/>
              <w:left w:val="single" w:color="auto" w:sz="4" w:space="0"/>
              <w:bottom w:val="single" w:color="auto" w:sz="4" w:space="0"/>
              <w:right w:val="single" w:color="auto" w:sz="4" w:space="0"/>
            </w:tcBorders>
            <w:noWrap w:val="0"/>
            <w:vAlign w:val="center"/>
          </w:tcPr>
          <w:p w14:paraId="5ED5531D">
            <w:pPr>
              <w:spacing w:line="480" w:lineRule="exact"/>
              <w:jc w:val="left"/>
              <w:rPr>
                <w:rFonts w:hint="eastAsia" w:ascii="宋体" w:hAnsi="宋体" w:eastAsia="宋体" w:cs="宋体"/>
                <w:sz w:val="24"/>
              </w:rPr>
            </w:pPr>
          </w:p>
        </w:tc>
        <w:tc>
          <w:tcPr>
            <w:tcW w:w="1339" w:type="dxa"/>
            <w:tcBorders>
              <w:top w:val="single" w:color="auto" w:sz="4" w:space="0"/>
              <w:left w:val="single" w:color="auto" w:sz="4" w:space="0"/>
              <w:bottom w:val="single" w:color="auto" w:sz="4" w:space="0"/>
              <w:right w:val="single" w:color="auto" w:sz="4" w:space="0"/>
            </w:tcBorders>
            <w:noWrap w:val="0"/>
            <w:vAlign w:val="center"/>
          </w:tcPr>
          <w:p w14:paraId="2AA7B119">
            <w:pPr>
              <w:spacing w:line="480" w:lineRule="exact"/>
              <w:jc w:val="left"/>
              <w:rPr>
                <w:rFonts w:hint="eastAsia" w:ascii="宋体" w:hAnsi="宋体" w:eastAsia="宋体" w:cs="宋体"/>
                <w:sz w:val="24"/>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14:paraId="11F50FD8">
            <w:pPr>
              <w:spacing w:line="480" w:lineRule="exact"/>
              <w:jc w:val="left"/>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18BC5389">
            <w:pPr>
              <w:spacing w:line="480" w:lineRule="exact"/>
              <w:jc w:val="left"/>
              <w:rPr>
                <w:rFonts w:hint="eastAsia" w:ascii="宋体" w:hAnsi="宋体" w:eastAsia="宋体" w:cs="宋体"/>
                <w:sz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BD7AF58">
            <w:pPr>
              <w:spacing w:line="480" w:lineRule="exact"/>
              <w:jc w:val="left"/>
              <w:rPr>
                <w:rFonts w:hint="eastAsia" w:ascii="宋体" w:hAnsi="宋体" w:eastAsia="宋体" w:cs="宋体"/>
                <w:sz w:val="24"/>
              </w:rPr>
            </w:pPr>
          </w:p>
        </w:tc>
      </w:tr>
      <w:tr w14:paraId="1492B08C">
        <w:tblPrEx>
          <w:tblCellMar>
            <w:top w:w="0" w:type="dxa"/>
            <w:left w:w="108" w:type="dxa"/>
            <w:bottom w:w="0" w:type="dxa"/>
            <w:right w:w="108" w:type="dxa"/>
          </w:tblCellMar>
        </w:tblPrEx>
        <w:trPr>
          <w:trHeight w:val="393" w:hRule="atLeast"/>
          <w:jc w:val="center"/>
        </w:trPr>
        <w:tc>
          <w:tcPr>
            <w:tcW w:w="773" w:type="dxa"/>
            <w:tcBorders>
              <w:top w:val="single" w:color="auto" w:sz="4" w:space="0"/>
              <w:left w:val="single" w:color="auto" w:sz="4" w:space="0"/>
              <w:bottom w:val="single" w:color="auto" w:sz="4" w:space="0"/>
              <w:right w:val="single" w:color="auto" w:sz="4" w:space="0"/>
            </w:tcBorders>
            <w:noWrap w:val="0"/>
            <w:vAlign w:val="center"/>
          </w:tcPr>
          <w:p w14:paraId="482B9FE9">
            <w:pPr>
              <w:spacing w:line="480" w:lineRule="exact"/>
              <w:jc w:val="left"/>
              <w:rPr>
                <w:rFonts w:hint="eastAsia" w:ascii="宋体" w:hAnsi="宋体" w:eastAsia="宋体" w:cs="宋体"/>
                <w:sz w:val="24"/>
              </w:rPr>
            </w:pPr>
          </w:p>
        </w:tc>
        <w:tc>
          <w:tcPr>
            <w:tcW w:w="1950" w:type="dxa"/>
            <w:tcBorders>
              <w:top w:val="single" w:color="auto" w:sz="4" w:space="0"/>
              <w:left w:val="single" w:color="auto" w:sz="4" w:space="0"/>
              <w:bottom w:val="single" w:color="auto" w:sz="4" w:space="0"/>
              <w:right w:val="single" w:color="auto" w:sz="4" w:space="0"/>
            </w:tcBorders>
            <w:noWrap w:val="0"/>
            <w:vAlign w:val="center"/>
          </w:tcPr>
          <w:p w14:paraId="59BC9399">
            <w:pPr>
              <w:spacing w:line="480" w:lineRule="exact"/>
              <w:jc w:val="left"/>
              <w:rPr>
                <w:rFonts w:hint="eastAsia" w:ascii="宋体" w:hAnsi="宋体" w:eastAsia="宋体" w:cs="宋体"/>
                <w:sz w:val="24"/>
              </w:rPr>
            </w:pPr>
          </w:p>
        </w:tc>
        <w:tc>
          <w:tcPr>
            <w:tcW w:w="1339" w:type="dxa"/>
            <w:tcBorders>
              <w:top w:val="single" w:color="auto" w:sz="4" w:space="0"/>
              <w:left w:val="single" w:color="auto" w:sz="4" w:space="0"/>
              <w:bottom w:val="single" w:color="auto" w:sz="4" w:space="0"/>
              <w:right w:val="single" w:color="auto" w:sz="4" w:space="0"/>
            </w:tcBorders>
            <w:noWrap w:val="0"/>
            <w:vAlign w:val="center"/>
          </w:tcPr>
          <w:p w14:paraId="759E0E5B">
            <w:pPr>
              <w:spacing w:line="480" w:lineRule="exact"/>
              <w:jc w:val="left"/>
              <w:rPr>
                <w:rFonts w:hint="eastAsia" w:ascii="宋体" w:hAnsi="宋体" w:eastAsia="宋体" w:cs="宋体"/>
                <w:sz w:val="24"/>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14:paraId="233B3F13">
            <w:pPr>
              <w:spacing w:line="480" w:lineRule="exact"/>
              <w:jc w:val="left"/>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E1574A3">
            <w:pPr>
              <w:spacing w:line="480" w:lineRule="exact"/>
              <w:jc w:val="left"/>
              <w:rPr>
                <w:rFonts w:hint="eastAsia" w:ascii="宋体" w:hAnsi="宋体" w:eastAsia="宋体" w:cs="宋体"/>
                <w:sz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9945A15">
            <w:pPr>
              <w:spacing w:line="480" w:lineRule="exact"/>
              <w:jc w:val="left"/>
              <w:rPr>
                <w:rFonts w:hint="eastAsia" w:ascii="宋体" w:hAnsi="宋体" w:eastAsia="宋体" w:cs="宋体"/>
                <w:sz w:val="24"/>
              </w:rPr>
            </w:pPr>
          </w:p>
        </w:tc>
      </w:tr>
      <w:tr w14:paraId="4C831643">
        <w:tblPrEx>
          <w:tblCellMar>
            <w:top w:w="0" w:type="dxa"/>
            <w:left w:w="108" w:type="dxa"/>
            <w:bottom w:w="0" w:type="dxa"/>
            <w:right w:w="108" w:type="dxa"/>
          </w:tblCellMar>
        </w:tblPrEx>
        <w:trPr>
          <w:trHeight w:val="393" w:hRule="atLeast"/>
          <w:jc w:val="center"/>
        </w:trPr>
        <w:tc>
          <w:tcPr>
            <w:tcW w:w="773" w:type="dxa"/>
            <w:tcBorders>
              <w:top w:val="single" w:color="auto" w:sz="4" w:space="0"/>
              <w:left w:val="single" w:color="auto" w:sz="4" w:space="0"/>
              <w:bottom w:val="single" w:color="auto" w:sz="4" w:space="0"/>
              <w:right w:val="single" w:color="auto" w:sz="4" w:space="0"/>
            </w:tcBorders>
            <w:noWrap w:val="0"/>
            <w:vAlign w:val="center"/>
          </w:tcPr>
          <w:p w14:paraId="01E2B8A7">
            <w:pPr>
              <w:spacing w:line="480" w:lineRule="exact"/>
              <w:jc w:val="left"/>
              <w:rPr>
                <w:rFonts w:hint="eastAsia" w:ascii="宋体" w:hAnsi="宋体" w:eastAsia="宋体" w:cs="宋体"/>
                <w:sz w:val="24"/>
              </w:rPr>
            </w:pPr>
          </w:p>
        </w:tc>
        <w:tc>
          <w:tcPr>
            <w:tcW w:w="1950" w:type="dxa"/>
            <w:tcBorders>
              <w:top w:val="single" w:color="auto" w:sz="4" w:space="0"/>
              <w:left w:val="single" w:color="auto" w:sz="4" w:space="0"/>
              <w:bottom w:val="single" w:color="auto" w:sz="4" w:space="0"/>
              <w:right w:val="single" w:color="auto" w:sz="4" w:space="0"/>
            </w:tcBorders>
            <w:noWrap w:val="0"/>
            <w:vAlign w:val="center"/>
          </w:tcPr>
          <w:p w14:paraId="0DE1B70F">
            <w:pPr>
              <w:spacing w:line="480" w:lineRule="exact"/>
              <w:jc w:val="left"/>
              <w:rPr>
                <w:rFonts w:hint="eastAsia" w:ascii="宋体" w:hAnsi="宋体" w:eastAsia="宋体" w:cs="宋体"/>
                <w:sz w:val="24"/>
              </w:rPr>
            </w:pPr>
          </w:p>
        </w:tc>
        <w:tc>
          <w:tcPr>
            <w:tcW w:w="1339" w:type="dxa"/>
            <w:tcBorders>
              <w:top w:val="single" w:color="auto" w:sz="4" w:space="0"/>
              <w:left w:val="single" w:color="auto" w:sz="4" w:space="0"/>
              <w:bottom w:val="single" w:color="auto" w:sz="4" w:space="0"/>
              <w:right w:val="single" w:color="auto" w:sz="4" w:space="0"/>
            </w:tcBorders>
            <w:noWrap w:val="0"/>
            <w:vAlign w:val="center"/>
          </w:tcPr>
          <w:p w14:paraId="3DAEB3D8">
            <w:pPr>
              <w:spacing w:line="480" w:lineRule="exact"/>
              <w:jc w:val="left"/>
              <w:rPr>
                <w:rFonts w:hint="eastAsia" w:ascii="宋体" w:hAnsi="宋体" w:eastAsia="宋体" w:cs="宋体"/>
                <w:sz w:val="24"/>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14:paraId="6E109436">
            <w:pPr>
              <w:spacing w:line="480" w:lineRule="exact"/>
              <w:jc w:val="left"/>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6E65AB66">
            <w:pPr>
              <w:spacing w:line="480" w:lineRule="exact"/>
              <w:jc w:val="left"/>
              <w:rPr>
                <w:rFonts w:hint="eastAsia" w:ascii="宋体" w:hAnsi="宋体" w:eastAsia="宋体" w:cs="宋体"/>
                <w:sz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893AF9C">
            <w:pPr>
              <w:spacing w:line="480" w:lineRule="exact"/>
              <w:jc w:val="left"/>
              <w:rPr>
                <w:rFonts w:hint="eastAsia" w:ascii="宋体" w:hAnsi="宋体" w:eastAsia="宋体" w:cs="宋体"/>
                <w:sz w:val="24"/>
              </w:rPr>
            </w:pPr>
          </w:p>
        </w:tc>
      </w:tr>
      <w:tr w14:paraId="0CF079FF">
        <w:tblPrEx>
          <w:tblCellMar>
            <w:top w:w="0" w:type="dxa"/>
            <w:left w:w="108" w:type="dxa"/>
            <w:bottom w:w="0" w:type="dxa"/>
            <w:right w:w="108" w:type="dxa"/>
          </w:tblCellMar>
        </w:tblPrEx>
        <w:trPr>
          <w:trHeight w:val="393" w:hRule="atLeast"/>
          <w:jc w:val="center"/>
        </w:trPr>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51D816E6">
            <w:pPr>
              <w:spacing w:line="480" w:lineRule="exact"/>
              <w:jc w:val="center"/>
              <w:rPr>
                <w:rFonts w:hint="eastAsia" w:ascii="宋体" w:hAnsi="宋体" w:eastAsia="宋体" w:cs="宋体"/>
                <w:sz w:val="24"/>
              </w:rPr>
            </w:pPr>
            <w:r>
              <w:rPr>
                <w:rFonts w:hint="eastAsia" w:ascii="宋体" w:hAnsi="宋体" w:eastAsia="宋体" w:cs="宋体"/>
                <w:b/>
                <w:bCs/>
                <w:sz w:val="24"/>
              </w:rPr>
              <w:t>总价</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36ECF6B">
            <w:pPr>
              <w:spacing w:line="480" w:lineRule="exact"/>
              <w:jc w:val="left"/>
              <w:rPr>
                <w:rFonts w:hint="eastAsia" w:ascii="宋体" w:hAnsi="宋体" w:eastAsia="宋体" w:cs="宋体"/>
                <w:sz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C2141F5">
            <w:pPr>
              <w:spacing w:line="480" w:lineRule="exact"/>
              <w:jc w:val="left"/>
              <w:rPr>
                <w:rFonts w:hint="eastAsia" w:ascii="宋体" w:hAnsi="宋体" w:eastAsia="宋体" w:cs="宋体"/>
                <w:sz w:val="24"/>
              </w:rPr>
            </w:pPr>
          </w:p>
        </w:tc>
      </w:tr>
    </w:tbl>
    <w:p w14:paraId="6643F99A">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四、政府采购合同金额</w:t>
      </w:r>
    </w:p>
    <w:p w14:paraId="1169D420">
      <w:pPr>
        <w:spacing w:line="480" w:lineRule="exact"/>
        <w:jc w:val="left"/>
        <w:rPr>
          <w:rFonts w:ascii="宋体" w:hAnsi="宋体" w:eastAsia="宋体" w:cs="宋体"/>
          <w:sz w:val="24"/>
        </w:rPr>
      </w:pPr>
      <w:r>
        <w:rPr>
          <w:rFonts w:hint="eastAsia" w:ascii="宋体" w:hAnsi="宋体" w:eastAsia="宋体" w:cs="宋体"/>
          <w:sz w:val="24"/>
        </w:rPr>
        <w:t xml:space="preserve">    根据上述政府采购合同文件要求，政府采购合同的总金额为人民币</w:t>
      </w:r>
      <w:r>
        <w:rPr>
          <w:rFonts w:hint="eastAsia" w:ascii="宋体" w:hAnsi="宋体" w:eastAsia="宋体" w:cs="宋体"/>
          <w:sz w:val="24"/>
          <w:u w:val="single"/>
        </w:rPr>
        <w:t>(大写)</w:t>
      </w:r>
      <w:r>
        <w:rPr>
          <w:rFonts w:hint="eastAsia" w:ascii="宋体" w:hAnsi="宋体" w:eastAsia="宋体" w:cs="宋体"/>
          <w:sz w:val="24"/>
        </w:rPr>
        <w:t xml:space="preserve"> ，小写：</w:t>
      </w:r>
      <w:r>
        <w:rPr>
          <w:rFonts w:hint="eastAsia" w:ascii="宋体" w:hAnsi="宋体" w:eastAsia="宋体" w:cs="宋体"/>
          <w:sz w:val="24"/>
          <w:u w:val="single"/>
        </w:rPr>
        <w:t xml:space="preserve">     </w:t>
      </w:r>
      <w:r>
        <w:rPr>
          <w:rFonts w:hint="eastAsia" w:ascii="宋体" w:hAnsi="宋体" w:eastAsia="宋体" w:cs="宋体"/>
          <w:sz w:val="24"/>
        </w:rPr>
        <w:t xml:space="preserve"> 元。 </w:t>
      </w:r>
    </w:p>
    <w:p w14:paraId="43A7EF5B">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五、付款方式</w:t>
      </w:r>
    </w:p>
    <w:p w14:paraId="398847AE">
      <w:pPr>
        <w:spacing w:line="480" w:lineRule="exact"/>
        <w:ind w:firstLine="480" w:firstLineChars="200"/>
        <w:jc w:val="left"/>
        <w:outlineLvl w:val="0"/>
        <w:rPr>
          <w:rFonts w:hint="eastAsia" w:ascii="Calibri" w:hAnsi="Calibri" w:eastAsia="宋体" w:cs="Times New Roman"/>
          <w:sz w:val="24"/>
        </w:rPr>
      </w:pPr>
      <w:r>
        <w:rPr>
          <w:rFonts w:hint="eastAsia" w:ascii="Calibri" w:hAnsi="Calibri" w:eastAsia="宋体" w:cs="Times New Roman"/>
          <w:sz w:val="24"/>
        </w:rPr>
        <w:t>根据</w:t>
      </w:r>
      <w:r>
        <w:rPr>
          <w:rFonts w:hint="eastAsia" w:cs="Times New Roman"/>
          <w:sz w:val="24"/>
          <w:lang w:eastAsia="zh-CN"/>
        </w:rPr>
        <w:t>乙方</w:t>
      </w:r>
      <w:r>
        <w:rPr>
          <w:rFonts w:hint="eastAsia" w:ascii="Calibri" w:hAnsi="Calibri" w:eastAsia="宋体" w:cs="Times New Roman"/>
          <w:sz w:val="24"/>
        </w:rPr>
        <w:t>实际配送量为核算依据进行结算，凭</w:t>
      </w:r>
      <w:r>
        <w:rPr>
          <w:rFonts w:hint="eastAsia" w:cs="Times New Roman"/>
          <w:sz w:val="24"/>
          <w:lang w:eastAsia="zh-CN"/>
        </w:rPr>
        <w:t>乙方</w:t>
      </w:r>
      <w:r>
        <w:rPr>
          <w:rFonts w:hint="eastAsia" w:ascii="Calibri" w:hAnsi="Calibri" w:eastAsia="宋体" w:cs="Times New Roman"/>
          <w:sz w:val="24"/>
        </w:rPr>
        <w:t>根据供货金额开具的正式有效发票，</w:t>
      </w:r>
      <w:r>
        <w:rPr>
          <w:rFonts w:hint="eastAsia" w:cs="Times New Roman"/>
          <w:sz w:val="24"/>
          <w:lang w:eastAsia="zh-CN"/>
        </w:rPr>
        <w:t>甲方</w:t>
      </w:r>
      <w:r>
        <w:rPr>
          <w:rFonts w:hint="eastAsia" w:ascii="Calibri" w:hAnsi="Calibri" w:eastAsia="宋体" w:cs="Times New Roman"/>
          <w:sz w:val="24"/>
        </w:rPr>
        <w:t>在收到有效发票3个工作日内，向</w:t>
      </w:r>
      <w:r>
        <w:rPr>
          <w:rFonts w:hint="eastAsia" w:cs="Times New Roman"/>
          <w:sz w:val="24"/>
          <w:lang w:eastAsia="zh-CN"/>
        </w:rPr>
        <w:t>乙方</w:t>
      </w:r>
      <w:r>
        <w:rPr>
          <w:rFonts w:hint="eastAsia" w:ascii="Calibri" w:hAnsi="Calibri" w:eastAsia="宋体" w:cs="Times New Roman"/>
          <w:sz w:val="24"/>
        </w:rPr>
        <w:t>商一次性全额支付每学期货款。</w:t>
      </w:r>
    </w:p>
    <w:p w14:paraId="0DC25254">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六、服务时间、服务地点</w:t>
      </w:r>
    </w:p>
    <w:p w14:paraId="7D189F1B">
      <w:pPr>
        <w:pStyle w:val="2"/>
        <w:spacing w:line="480" w:lineRule="exact"/>
        <w:ind w:firstLine="480" w:firstLineChars="200"/>
        <w:rPr>
          <w:rFonts w:hint="eastAsia" w:ascii="Calibri" w:hAnsi="Calibri" w:eastAsia="宋体" w:cs="Times New Roman"/>
          <w:sz w:val="24"/>
        </w:rPr>
      </w:pPr>
      <w:r>
        <w:rPr>
          <w:rFonts w:hint="eastAsia" w:ascii="宋体" w:hAnsi="宋体" w:eastAsia="宋体" w:cs="宋体"/>
          <w:bCs/>
          <w:sz w:val="24"/>
        </w:rPr>
        <w:t>1、服务时间：</w:t>
      </w:r>
      <w:r>
        <w:rPr>
          <w:rFonts w:hint="eastAsia" w:ascii="Calibri" w:hAnsi="Calibri" w:eastAsia="宋体" w:cs="Times New Roman"/>
          <w:sz w:val="24"/>
        </w:rPr>
        <w:t>2025年春季学期作业本于合同签订之日起15天内按</w:t>
      </w:r>
      <w:r>
        <w:rPr>
          <w:rFonts w:hint="eastAsia" w:cs="Times New Roman"/>
          <w:sz w:val="24"/>
          <w:lang w:eastAsia="zh-CN"/>
        </w:rPr>
        <w:t>甲方</w:t>
      </w:r>
      <w:r>
        <w:rPr>
          <w:rFonts w:hint="eastAsia" w:ascii="Calibri" w:hAnsi="Calibri" w:eastAsia="宋体" w:cs="Times New Roman"/>
          <w:sz w:val="24"/>
        </w:rPr>
        <w:t>指定地点配送到校，秋季学期作业本在开学前7天内按</w:t>
      </w:r>
      <w:r>
        <w:rPr>
          <w:rFonts w:hint="eastAsia" w:cs="Times New Roman"/>
          <w:sz w:val="24"/>
          <w:lang w:eastAsia="zh-CN"/>
        </w:rPr>
        <w:t>甲方</w:t>
      </w:r>
      <w:r>
        <w:rPr>
          <w:rFonts w:hint="eastAsia" w:ascii="Calibri" w:hAnsi="Calibri" w:eastAsia="宋体" w:cs="Times New Roman"/>
          <w:sz w:val="24"/>
        </w:rPr>
        <w:t>指定地点配送到校。</w:t>
      </w:r>
    </w:p>
    <w:p w14:paraId="7BAD27BE">
      <w:pPr>
        <w:pStyle w:val="2"/>
        <w:spacing w:line="480" w:lineRule="exact"/>
        <w:ind w:firstLine="480" w:firstLineChars="200"/>
        <w:rPr>
          <w:rFonts w:hint="eastAsia" w:ascii="宋体" w:hAnsi="宋体" w:eastAsia="宋体" w:cs="宋体"/>
          <w:b/>
          <w:sz w:val="24"/>
        </w:rPr>
      </w:pPr>
      <w:r>
        <w:rPr>
          <w:rFonts w:hint="eastAsia" w:ascii="宋体" w:hAnsi="宋体" w:eastAsia="宋体" w:cs="宋体"/>
          <w:bCs/>
          <w:sz w:val="24"/>
        </w:rPr>
        <w:t>2、服务地点：</w:t>
      </w:r>
      <w:r>
        <w:rPr>
          <w:rFonts w:hint="eastAsia" w:ascii="Calibri" w:hAnsi="Calibri" w:eastAsia="宋体" w:cs="Times New Roman"/>
          <w:sz w:val="24"/>
        </w:rPr>
        <w:t>甲方指定地点。</w:t>
      </w:r>
    </w:p>
    <w:p w14:paraId="321360A7">
      <w:pPr>
        <w:spacing w:line="480" w:lineRule="exact"/>
        <w:ind w:firstLine="482" w:firstLineChars="200"/>
        <w:jc w:val="left"/>
        <w:outlineLvl w:val="0"/>
        <w:rPr>
          <w:rFonts w:hint="eastAsia" w:ascii="宋体" w:hAnsi="宋体" w:eastAsia="宋体" w:cs="宋体"/>
          <w:b/>
          <w:sz w:val="24"/>
        </w:rPr>
      </w:pPr>
      <w:r>
        <w:rPr>
          <w:rFonts w:hint="eastAsia" w:ascii="宋体" w:hAnsi="宋体" w:eastAsia="宋体" w:cs="宋体"/>
          <w:b/>
          <w:sz w:val="24"/>
        </w:rPr>
        <w:t>七、验收标准</w:t>
      </w:r>
    </w:p>
    <w:p w14:paraId="732BCB54">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1、服务标准:符合</w:t>
      </w:r>
      <w:r>
        <w:rPr>
          <w:rFonts w:hint="eastAsia" w:ascii="宋体" w:hAnsi="宋体" w:cs="宋体"/>
          <w:sz w:val="24"/>
          <w:lang w:eastAsia="zh-CN"/>
        </w:rPr>
        <w:t>甲方</w:t>
      </w:r>
      <w:r>
        <w:rPr>
          <w:rFonts w:hint="eastAsia" w:ascii="宋体" w:hAnsi="宋体" w:eastAsia="宋体" w:cs="宋体"/>
          <w:sz w:val="24"/>
        </w:rPr>
        <w:t>提供的参考规格和配置参数技术要求。</w:t>
      </w:r>
    </w:p>
    <w:p w14:paraId="1F125D64">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2、安全标准：符合国家、行业相关标准。</w:t>
      </w:r>
    </w:p>
    <w:p w14:paraId="7F4A442B">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3、验收方法及标准：由</w:t>
      </w:r>
      <w:r>
        <w:rPr>
          <w:rFonts w:hint="eastAsia" w:ascii="宋体" w:hAnsi="宋体" w:cs="宋体"/>
          <w:sz w:val="24"/>
          <w:lang w:eastAsia="zh-CN"/>
        </w:rPr>
        <w:t>甲方</w:t>
      </w:r>
      <w:r>
        <w:rPr>
          <w:rFonts w:hint="eastAsia" w:ascii="宋体" w:hAnsi="宋体" w:eastAsia="宋体" w:cs="宋体"/>
          <w:sz w:val="24"/>
        </w:rPr>
        <w:t>自行验收或邀请第三方机构参与验收，供应商配合，验收所产生的费用由供应商负责。根据本项目竞争性磋商文件、响应文件的参考规格和配置参数、提供的样品质量及国家行业标准进行验收。</w:t>
      </w:r>
    </w:p>
    <w:p w14:paraId="207A245B">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4、其他要求：本项目报价包括：作业本费用、运输及运输保险费等费用。项目实施过程中所需的采购文件中未列出的其他一切费用由</w:t>
      </w:r>
      <w:r>
        <w:rPr>
          <w:rFonts w:hint="eastAsia" w:ascii="宋体" w:hAnsi="宋体" w:cs="宋体"/>
          <w:sz w:val="24"/>
          <w:lang w:eastAsia="zh-CN"/>
        </w:rPr>
        <w:t>乙方</w:t>
      </w:r>
      <w:r>
        <w:rPr>
          <w:rFonts w:hint="eastAsia" w:ascii="宋体" w:hAnsi="宋体" w:eastAsia="宋体" w:cs="宋体"/>
          <w:sz w:val="24"/>
        </w:rPr>
        <w:t>在报价时一并考虑，项目实施过程中不再单独结算。</w:t>
      </w:r>
    </w:p>
    <w:p w14:paraId="341EB70F">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八、违约责任</w:t>
      </w:r>
    </w:p>
    <w:p w14:paraId="5139EDE1">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1、甲、乙双方应严格遵守合同及相关附件的规定，违反合同及相关附件的规</w:t>
      </w:r>
      <w:bookmarkStart w:id="0" w:name="_GoBack"/>
      <w:r>
        <w:rPr>
          <w:rFonts w:hint="eastAsia" w:ascii="宋体" w:hAnsi="宋体" w:eastAsia="宋体" w:cs="宋体"/>
          <w:sz w:val="24"/>
        </w:rPr>
        <w:t>定应承担相应违约责任，甲方有权定期或不定期依合同约定对乙方提供的作业本进行质量检测跟踪，发现提供的作业本不符合采购需求中的参考规格和配置参数要求，甲方有权要求乙方在5日内按参考规格和配置参数重新制作。</w:t>
      </w:r>
    </w:p>
    <w:p w14:paraId="66321C72">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2、因作业本的质量问题发生争议，由儋州市政府质量技术监督部门或甲方指定的机构进行质量鉴定，该鉴定结论是终局的，甲乙双方应当接受,鉴定费用由乙方负责。</w:t>
      </w:r>
    </w:p>
    <w:p w14:paraId="03A5EA5B">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3、因乙方原因（包括但不限于合同签订后不及时安排生产、质量不合格等）不能按时完成交货义务的，应承担违约责任。乙方交货每逾期一天，应向甲方支付合同总金额万分之五的违约金。逾期超过10天的，甲方有权解除合同并另行</w:t>
      </w:r>
      <w:bookmarkEnd w:id="0"/>
      <w:r>
        <w:rPr>
          <w:rFonts w:hint="eastAsia" w:ascii="宋体" w:hAnsi="宋体" w:eastAsia="宋体" w:cs="宋体"/>
          <w:sz w:val="24"/>
        </w:rPr>
        <w:t>向他人采购。甲方解除合同的，甲方有权要求乙方赔偿因此而造成的损失，损失按照合同总价的20%计算。</w:t>
      </w:r>
    </w:p>
    <w:p w14:paraId="69AA9877">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4、因乙方违约行为或过错导致甲方不能按时实现签订本项目合同目的的，甲方可单方解除合同。</w:t>
      </w:r>
    </w:p>
    <w:p w14:paraId="45040BC8">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5、在合同期内，乙方确保在收到甲方要求的售后信息，在乙方响应文件中承诺的时限内响应及到达现场解决问题。如不作出响应而造成甲方的损失由乙方等价赔偿。</w:t>
      </w:r>
    </w:p>
    <w:p w14:paraId="5E7BE069">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6、如果乙方按约需要承担违约责任或者赔偿责任的，甲方在支付合同款项时可以扣除相应违约金和赔偿金后再支付。</w:t>
      </w:r>
    </w:p>
    <w:p w14:paraId="4C6E76A5">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九、合同纠纷处理</w:t>
      </w:r>
    </w:p>
    <w:p w14:paraId="1EF7A4B0">
      <w:pPr>
        <w:tabs>
          <w:tab w:val="left" w:pos="1980"/>
        </w:tabs>
        <w:snapToGrid w:val="0"/>
        <w:spacing w:line="480" w:lineRule="exact"/>
        <w:ind w:firstLine="470" w:firstLineChars="196"/>
        <w:rPr>
          <w:rFonts w:hint="eastAsia" w:ascii="宋体" w:hAnsi="宋体" w:eastAsia="宋体" w:cs="宋体"/>
          <w:sz w:val="24"/>
        </w:rPr>
      </w:pPr>
      <w:r>
        <w:rPr>
          <w:rFonts w:hint="eastAsia" w:ascii="宋体" w:hAnsi="宋体" w:eastAsia="宋体" w:cs="宋体"/>
          <w:sz w:val="24"/>
        </w:rPr>
        <w:t>本合同执行过程中发生纠纷，作如下处理：</w:t>
      </w:r>
    </w:p>
    <w:p w14:paraId="198328BF">
      <w:pPr>
        <w:tabs>
          <w:tab w:val="left" w:pos="1980"/>
        </w:tabs>
        <w:snapToGrid w:val="0"/>
        <w:spacing w:line="480" w:lineRule="exact"/>
        <w:ind w:firstLine="470" w:firstLineChars="196"/>
        <w:rPr>
          <w:rFonts w:hint="eastAsia" w:ascii="宋体" w:hAnsi="宋体" w:eastAsia="宋体" w:cs="宋体"/>
          <w:sz w:val="24"/>
        </w:rPr>
      </w:pPr>
      <w:r>
        <w:rPr>
          <w:rFonts w:hint="eastAsia" w:ascii="宋体" w:hAnsi="宋体" w:eastAsia="宋体" w:cs="宋体"/>
          <w:sz w:val="24"/>
        </w:rPr>
        <w:t>1、由甲乙双方协商处理。</w:t>
      </w:r>
    </w:p>
    <w:p w14:paraId="18767600">
      <w:pPr>
        <w:tabs>
          <w:tab w:val="left" w:pos="1980"/>
        </w:tabs>
        <w:snapToGrid w:val="0"/>
        <w:spacing w:line="480" w:lineRule="exact"/>
        <w:ind w:firstLine="470" w:firstLineChars="196"/>
        <w:rPr>
          <w:rFonts w:hint="eastAsia" w:ascii="宋体" w:hAnsi="宋体" w:eastAsia="宋体" w:cs="宋体"/>
          <w:sz w:val="24"/>
        </w:rPr>
      </w:pPr>
      <w:r>
        <w:rPr>
          <w:rFonts w:hint="eastAsia" w:ascii="宋体" w:hAnsi="宋体" w:eastAsia="宋体" w:cs="宋体"/>
          <w:sz w:val="24"/>
        </w:rPr>
        <w:t>2、协商不成的，在甲方所在地法院诉讼解决。</w:t>
      </w:r>
    </w:p>
    <w:p w14:paraId="2F8B8912">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十、政府采购合同生效</w:t>
      </w:r>
    </w:p>
    <w:p w14:paraId="1FC2C448">
      <w:pPr>
        <w:spacing w:line="480" w:lineRule="exact"/>
        <w:ind w:firstLine="480" w:firstLineChars="200"/>
        <w:jc w:val="left"/>
        <w:outlineLvl w:val="0"/>
        <w:rPr>
          <w:rFonts w:hint="eastAsia" w:ascii="宋体" w:hAnsi="宋体" w:eastAsia="宋体" w:cs="宋体"/>
          <w:bCs/>
          <w:sz w:val="24"/>
        </w:rPr>
      </w:pPr>
      <w:r>
        <w:rPr>
          <w:rFonts w:hint="eastAsia" w:ascii="宋体" w:hAnsi="宋体" w:eastAsia="宋体" w:cs="宋体"/>
          <w:bCs/>
          <w:sz w:val="24"/>
        </w:rPr>
        <w:t>本政府采购合同经甲乙双方授权代表签字盖章后生效。</w:t>
      </w:r>
    </w:p>
    <w:p w14:paraId="4A2A7E60">
      <w:pPr>
        <w:spacing w:line="480" w:lineRule="exact"/>
        <w:ind w:firstLine="480" w:firstLineChars="200"/>
        <w:jc w:val="left"/>
        <w:outlineLvl w:val="0"/>
        <w:rPr>
          <w:rFonts w:hint="eastAsia" w:ascii="宋体" w:hAnsi="宋体" w:eastAsia="宋体" w:cs="宋体"/>
          <w:bCs/>
          <w:sz w:val="24"/>
        </w:rPr>
      </w:pPr>
      <w:r>
        <w:rPr>
          <w:rFonts w:hint="eastAsia" w:ascii="宋体" w:hAnsi="宋体" w:eastAsia="宋体" w:cs="宋体"/>
          <w:bCs/>
          <w:sz w:val="24"/>
        </w:rPr>
        <w:t>本合同共三份：甲方一份、乙方一份、儋州市政府采购中心一份。</w:t>
      </w:r>
    </w:p>
    <w:p w14:paraId="7E553AB7">
      <w:pPr>
        <w:spacing w:line="480" w:lineRule="exact"/>
        <w:ind w:firstLine="482" w:firstLineChars="200"/>
        <w:jc w:val="left"/>
        <w:outlineLvl w:val="0"/>
        <w:rPr>
          <w:rFonts w:ascii="宋体" w:hAnsi="宋体" w:eastAsia="宋体" w:cs="宋体"/>
          <w:b/>
          <w:sz w:val="24"/>
        </w:rPr>
      </w:pPr>
      <w:r>
        <w:rPr>
          <w:rFonts w:hint="eastAsia" w:ascii="宋体" w:hAnsi="宋体" w:eastAsia="宋体" w:cs="宋体"/>
          <w:b/>
          <w:sz w:val="24"/>
        </w:rPr>
        <w:t>十一、其他</w:t>
      </w:r>
    </w:p>
    <w:p w14:paraId="661565F2">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1、本合同为中小企业预留合同。</w:t>
      </w:r>
    </w:p>
    <w:p w14:paraId="0BBD0F93">
      <w:pPr>
        <w:spacing w:line="480" w:lineRule="exact"/>
        <w:ind w:firstLine="480" w:firstLineChars="200"/>
        <w:jc w:val="left"/>
        <w:outlineLvl w:val="0"/>
        <w:rPr>
          <w:rFonts w:ascii="宋体" w:hAnsi="宋体" w:eastAsia="宋体" w:cs="宋体"/>
          <w:sz w:val="24"/>
        </w:rPr>
      </w:pPr>
      <w:r>
        <w:rPr>
          <w:rFonts w:hint="eastAsia" w:ascii="宋体" w:hAnsi="宋体" w:eastAsia="宋体" w:cs="宋体"/>
          <w:sz w:val="24"/>
        </w:rPr>
        <w:t>2、本合同未尽事宜，双方可以增加条款或补充协议的形式加以补充，但增加或补充协议的条款不得对磋商文件和响应文件约定的内容作实质性修改。补充协议与本合同具有相同的法律效力。</w:t>
      </w:r>
    </w:p>
    <w:p w14:paraId="298C4422">
      <w:pPr>
        <w:autoSpaceDE w:val="0"/>
        <w:autoSpaceDN w:val="0"/>
        <w:adjustRightInd w:val="0"/>
        <w:spacing w:line="480" w:lineRule="exact"/>
        <w:ind w:firstLine="600" w:firstLineChars="250"/>
        <w:jc w:val="left"/>
        <w:rPr>
          <w:rFonts w:hint="eastAsia" w:ascii="宋体" w:hAnsi="宋体" w:eastAsia="宋体" w:cs="宋体"/>
          <w:sz w:val="24"/>
        </w:rPr>
      </w:pPr>
    </w:p>
    <w:p w14:paraId="55B1703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附件：履约验收方案</w:t>
      </w:r>
    </w:p>
    <w:p w14:paraId="26B3FDF0">
      <w:pPr>
        <w:autoSpaceDE w:val="0"/>
        <w:autoSpaceDN w:val="0"/>
        <w:adjustRightInd w:val="0"/>
        <w:spacing w:line="360" w:lineRule="auto"/>
        <w:ind w:firstLine="600" w:firstLineChars="250"/>
        <w:jc w:val="left"/>
        <w:rPr>
          <w:rFonts w:ascii="宋体" w:hAnsi="宋体" w:eastAsia="宋体" w:cs="宋体"/>
          <w:sz w:val="24"/>
        </w:rPr>
      </w:pPr>
      <w:r>
        <w:rPr>
          <w:rFonts w:hint="eastAsia" w:ascii="宋体" w:hAnsi="宋体" w:eastAsia="宋体" w:cs="宋体"/>
          <w:sz w:val="24"/>
        </w:rPr>
        <w:t xml:space="preserve">    </w:t>
      </w:r>
    </w:p>
    <w:p w14:paraId="209CE663">
      <w:pPr>
        <w:snapToGrid w:val="0"/>
        <w:spacing w:line="480" w:lineRule="exact"/>
        <w:ind w:firstLine="444" w:firstLineChars="185"/>
        <w:rPr>
          <w:rFonts w:hint="eastAsia" w:ascii="宋体" w:hAnsi="宋体" w:eastAsia="宋体" w:cs="宋体"/>
          <w:sz w:val="24"/>
        </w:rPr>
      </w:pPr>
    </w:p>
    <w:p w14:paraId="166B46D5">
      <w:pPr>
        <w:snapToGrid w:val="0"/>
        <w:spacing w:line="480" w:lineRule="exact"/>
        <w:ind w:firstLine="444" w:firstLineChars="185"/>
        <w:rPr>
          <w:rFonts w:hint="eastAsia" w:ascii="宋体" w:hAnsi="宋体" w:eastAsia="宋体" w:cs="宋体"/>
          <w:sz w:val="24"/>
        </w:rPr>
      </w:pPr>
    </w:p>
    <w:p w14:paraId="66BB07CC">
      <w:pPr>
        <w:snapToGrid w:val="0"/>
        <w:spacing w:line="480" w:lineRule="exact"/>
        <w:ind w:firstLine="444" w:firstLineChars="185"/>
        <w:rPr>
          <w:rFonts w:hint="eastAsia" w:ascii="宋体" w:hAnsi="宋体" w:eastAsia="宋体" w:cs="宋体"/>
          <w:sz w:val="24"/>
        </w:rPr>
      </w:pPr>
    </w:p>
    <w:p w14:paraId="4517E366">
      <w:pPr>
        <w:snapToGrid w:val="0"/>
        <w:spacing w:line="480" w:lineRule="exact"/>
        <w:ind w:firstLine="444" w:firstLineChars="185"/>
        <w:rPr>
          <w:rFonts w:hint="eastAsia" w:ascii="宋体" w:hAnsi="宋体" w:eastAsia="宋体" w:cs="宋体"/>
          <w:sz w:val="24"/>
        </w:rPr>
      </w:pPr>
    </w:p>
    <w:p w14:paraId="229C8D75">
      <w:pPr>
        <w:snapToGrid w:val="0"/>
        <w:spacing w:line="480" w:lineRule="exact"/>
        <w:rPr>
          <w:rFonts w:hint="eastAsia" w:ascii="宋体" w:hAnsi="宋体" w:eastAsia="宋体" w:cs="宋体"/>
          <w:sz w:val="24"/>
        </w:rPr>
      </w:pPr>
    </w:p>
    <w:p w14:paraId="5774B6D0">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甲方（公章）:                         </w:t>
      </w:r>
    </w:p>
    <w:p w14:paraId="74BDE5E9">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办公地址：                           </w:t>
      </w:r>
    </w:p>
    <w:p w14:paraId="449E6D97">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法定代表人或授权代表(签字):                      </w:t>
      </w:r>
    </w:p>
    <w:p w14:paraId="14442F67">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联系人：                           </w:t>
      </w:r>
    </w:p>
    <w:p w14:paraId="19DD56EC">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固定电话：                                                                                </w:t>
      </w:r>
    </w:p>
    <w:p w14:paraId="0BB836E2">
      <w:pPr>
        <w:snapToGrid w:val="0"/>
        <w:spacing w:line="480" w:lineRule="exact"/>
        <w:ind w:firstLine="444" w:firstLineChars="185"/>
        <w:rPr>
          <w:rFonts w:hint="eastAsia" w:ascii="宋体" w:hAnsi="宋体" w:eastAsia="宋体" w:cs="宋体"/>
          <w:sz w:val="24"/>
        </w:rPr>
      </w:pPr>
      <w:r>
        <w:rPr>
          <w:rFonts w:hint="eastAsia" w:ascii="宋体" w:hAnsi="宋体" w:eastAsia="宋体" w:cs="宋体"/>
          <w:sz w:val="24"/>
        </w:rPr>
        <w:t xml:space="preserve">签订日期：   </w:t>
      </w:r>
    </w:p>
    <w:p w14:paraId="3B32B4EA">
      <w:pPr>
        <w:snapToGrid w:val="0"/>
        <w:spacing w:line="480" w:lineRule="exact"/>
        <w:ind w:firstLine="444" w:firstLineChars="185"/>
        <w:rPr>
          <w:rFonts w:hint="eastAsia" w:ascii="宋体" w:hAnsi="宋体" w:eastAsia="宋体" w:cs="宋体"/>
          <w:sz w:val="24"/>
        </w:rPr>
      </w:pPr>
    </w:p>
    <w:p w14:paraId="1284D327">
      <w:pPr>
        <w:snapToGrid w:val="0"/>
        <w:spacing w:line="480" w:lineRule="exact"/>
        <w:ind w:firstLine="444" w:firstLineChars="185"/>
        <w:rPr>
          <w:rFonts w:hint="eastAsia" w:ascii="宋体" w:hAnsi="宋体" w:eastAsia="宋体" w:cs="宋体"/>
          <w:sz w:val="24"/>
        </w:rPr>
      </w:pPr>
    </w:p>
    <w:p w14:paraId="06174701">
      <w:pPr>
        <w:snapToGrid w:val="0"/>
        <w:spacing w:line="480" w:lineRule="exact"/>
        <w:ind w:firstLine="444" w:firstLineChars="185"/>
        <w:rPr>
          <w:rFonts w:hint="eastAsia" w:ascii="宋体" w:hAnsi="宋体" w:eastAsia="宋体" w:cs="宋体"/>
          <w:sz w:val="24"/>
        </w:rPr>
      </w:pPr>
    </w:p>
    <w:p w14:paraId="38B8F06A">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乙方（公章）:                         </w:t>
      </w:r>
    </w:p>
    <w:p w14:paraId="7811A4BC">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办公地址：                           </w:t>
      </w:r>
    </w:p>
    <w:p w14:paraId="451A7921">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法定代表人或授权代表(签字):      </w:t>
      </w:r>
    </w:p>
    <w:p w14:paraId="3A12C4B1">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法定代表人姓名：</w:t>
      </w:r>
    </w:p>
    <w:p w14:paraId="6DB99BC1">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法定代表人性别：                </w:t>
      </w:r>
    </w:p>
    <w:p w14:paraId="2EADA6FB">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联系人：                           </w:t>
      </w:r>
    </w:p>
    <w:p w14:paraId="07EFE2B7">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移动电话： </w:t>
      </w:r>
    </w:p>
    <w:p w14:paraId="54D1083E">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固定电话：                                                       </w:t>
      </w:r>
    </w:p>
    <w:p w14:paraId="5ED77CBF">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开户银行：                          </w:t>
      </w:r>
    </w:p>
    <w:p w14:paraId="4CEFBB62">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开户名称：                         </w:t>
      </w:r>
    </w:p>
    <w:p w14:paraId="47D2A50C">
      <w:pPr>
        <w:spacing w:line="480" w:lineRule="exact"/>
        <w:ind w:firstLine="480" w:firstLineChars="200"/>
        <w:jc w:val="left"/>
        <w:outlineLvl w:val="0"/>
        <w:rPr>
          <w:rFonts w:hint="eastAsia" w:ascii="宋体" w:hAnsi="宋体" w:eastAsia="宋体" w:cs="宋体"/>
          <w:sz w:val="24"/>
        </w:rPr>
      </w:pPr>
      <w:r>
        <w:rPr>
          <w:rFonts w:hint="eastAsia" w:ascii="宋体" w:hAnsi="宋体" w:eastAsia="宋体" w:cs="宋体"/>
          <w:sz w:val="24"/>
        </w:rPr>
        <w:t xml:space="preserve">开户账号： </w:t>
      </w:r>
    </w:p>
    <w:p w14:paraId="2A6F12B0">
      <w:pPr>
        <w:spacing w:line="480" w:lineRule="exact"/>
        <w:ind w:firstLine="480" w:firstLineChars="200"/>
        <w:jc w:val="left"/>
        <w:outlineLvl w:val="0"/>
      </w:pPr>
      <w:r>
        <w:rPr>
          <w:rFonts w:hint="eastAsia" w:ascii="宋体" w:hAnsi="宋体" w:eastAsia="宋体" w:cs="宋体"/>
          <w:sz w:val="24"/>
        </w:rPr>
        <w:t>签订日期</w:t>
      </w:r>
      <w:r>
        <w:rPr>
          <w:rFonts w:hint="eastAsia" w:ascii="宋体" w:hAnsi="宋体" w:cs="宋体"/>
          <w:sz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94190"/>
    <w:rsid w:val="32DB78C5"/>
    <w:rsid w:val="3CEA658D"/>
    <w:rsid w:val="47F866B8"/>
    <w:rsid w:val="6A723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semiHidden/>
    <w:qFormat/>
    <w:uiPriority w:val="0"/>
    <w:pPr>
      <w:widowControl w:val="0"/>
      <w:jc w:val="left"/>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2025-02-28T03:19:03Z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eyJoZGlkIjoiN2FlMTEwNmRmMTZjZGEzNDgzMzQ4YTg3NWExZGE3YWQifQ==</vt:lpwstr>
  </property>
  <property fmtid="{D5CDD505-2E9C-101B-9397-08002B2CF9AE}" pid="4" name="ICV">
    <vt:lpwstr>291D1A740B42403EB803CDFA85B0D9B1_12</vt:lpwstr>
  </property>
</Properties>
</file>