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医疗污水处理站（含400立方米应急处理池、预处理池）运营托管项目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的委托，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医疗污水处理站（含400立方米应急处理池、预处理池）运营托管项目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医疗污水处理站（含400立方米应急处理池、预处理池）运营托管项目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2,010,000.00元</w:t>
      </w:r>
      <w:r>
        <w:rPr>
          <w:rFonts w:ascii="仿宋_GB2312" w:hAnsi="仿宋_GB2312" w:cs="仿宋_GB2312" w:eastAsia="仿宋_GB2312"/>
        </w:rPr>
        <w:t>贰佰零壹万元整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服务期限为：三年，合同一年一签。</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18789785589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采购包1：2,010,000.00元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自投标文件开启之日起90日内保持有效。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代理服务费收费标准：参照《国家发展改革委关于进一步放开建设项目专业服务价格的通知》发改价格[2015]299号文件收费标准的8.2折收取招标代理服务费。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联系电话：0898-65959971</w:t>
      </w:r>
    </w:p>
    <w:p>
      <w:pPr>
        <w:pStyle w:val="null3"/>
        <w:jc w:val="left"/>
      </w:pPr>
      <w:r>
        <w:rPr>
          <w:rFonts w:ascii="仿宋_GB2312" w:hAnsi="仿宋_GB2312" w:cs="仿宋_GB2312" w:eastAsia="仿宋_GB2312"/>
        </w:rPr>
        <w:t>地址：海南省海口市美兰区蓝天街道大英山东一路8号国瑞城名仕苑3号楼1单元12A层12A02房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color w:val="000000"/>
        </w:rPr>
        <w:t>本项目为医疗污水处理站（含</w:t>
      </w:r>
      <w:r>
        <w:rPr>
          <w:rFonts w:ascii="仿宋_GB2312" w:hAnsi="仿宋_GB2312" w:cs="仿宋_GB2312" w:eastAsia="仿宋_GB2312"/>
          <w:sz w:val="28"/>
          <w:color w:val="000000"/>
        </w:rPr>
        <w:t>400m³/d应急处理池、预处理池）运营托管项目，</w:t>
      </w:r>
      <w:r>
        <w:rPr>
          <w:rFonts w:ascii="仿宋_GB2312" w:hAnsi="仿宋_GB2312" w:cs="仿宋_GB2312" w:eastAsia="仿宋_GB2312"/>
          <w:sz w:val="28"/>
          <w:color w:val="000000"/>
        </w:rPr>
        <w:t>采购最高限价为：</w:t>
      </w:r>
      <w:r>
        <w:rPr>
          <w:rFonts w:ascii="仿宋_GB2312" w:hAnsi="仿宋_GB2312" w:cs="仿宋_GB2312" w:eastAsia="仿宋_GB2312"/>
          <w:sz w:val="28"/>
          <w:color w:val="000000"/>
        </w:rPr>
        <w:t>200万元，服务期限为：三年，合同一年一签</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2,010,000.00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C16089900-其他运营服务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C16089900-其他运营服务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标的名称：C16089900-其他运营服务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医疗污水处理站（含</w:t>
            </w:r>
            <w:r>
              <w:rPr>
                <w:rFonts w:ascii="仿宋_GB2312" w:hAnsi="仿宋_GB2312" w:cs="仿宋_GB2312" w:eastAsia="仿宋_GB2312"/>
                <w:sz w:val="28"/>
                <w:color w:val="000000"/>
              </w:rPr>
              <w:t>400m³/d应急处理池、预处理池）运营托管项目招标采购最高限价为：</w:t>
            </w:r>
            <w:r>
              <w:rPr>
                <w:rFonts w:ascii="仿宋_GB2312" w:hAnsi="仿宋_GB2312" w:cs="仿宋_GB2312" w:eastAsia="仿宋_GB2312"/>
                <w:sz w:val="28"/>
                <w:color w:val="000000"/>
              </w:rPr>
              <w:t>200万元，服务期限为：三年，合同一年一签</w:t>
            </w:r>
            <w:r>
              <w:rPr>
                <w:rFonts w:ascii="仿宋_GB2312" w:hAnsi="仿宋_GB2312" w:cs="仿宋_GB2312" w:eastAsia="仿宋_GB2312"/>
                <w:sz w:val="28"/>
                <w:color w:val="000000"/>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2、污水排放执行《医疗机构水污染排放标准》（GB18466-2005）预处理标准及排污许可证（证书编号：12460000428623196M001V）的要求排放。</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3、运营托管公司负责污水处理站日常运行管理和操作，且必须符合《中华人民共和国环境保护法》（2015版）、《中华人民共和国水污染防治法》（2018版）、新排污许可证现有标准、规范要求。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4、运营托管公司应编制合理的管理组织机构，并制定相关的管理制度、操作规程、应急预案，设备保养计划等并贯彻落实。</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5、根据《医疗机构水污染排放标准》（GB18466-2005）相关规范，污水处理站污泥属危险废物，应按危险废物进行处理和处置。污泥清掏前应进行相关消毒及监测，确保污泥监测结果达到《医疗机构水污染排放标准》（GB18466-2005）中表4医疗机构污泥控制标准要求。污水站产生的污泥及废液由乙方清理、脱水、打包以及委托第三方有资质单位处理，一年至少清理一次或按照相关标准执行，并建立工作台账，污泥及废液处理所产生费用由乙方承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6、感染科污水经消毒处理后，排入医院污水站与其它综合污水混合处理，其中消毒标准按《医疗机构水污染排放标准》（GB18466-2005）排放标准中消毒要求执行。</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7、运营托管公司至少需在现场配备3名管理</w:t>
            </w:r>
            <w:r>
              <w:rPr>
                <w:rFonts w:ascii="仿宋_GB2312" w:hAnsi="仿宋_GB2312" w:cs="仿宋_GB2312" w:eastAsia="仿宋_GB2312"/>
                <w:sz w:val="28"/>
                <w:color w:val="000000"/>
              </w:rPr>
              <w:t>人员，配备的人员应具有相关工作技能和经验，并持证上岗。保证</w:t>
            </w:r>
            <w:r>
              <w:rPr>
                <w:rFonts w:ascii="仿宋_GB2312" w:hAnsi="仿宋_GB2312" w:cs="仿宋_GB2312" w:eastAsia="仿宋_GB2312"/>
                <w:sz w:val="28"/>
                <w:color w:val="000000"/>
              </w:rPr>
              <w:t>24小时有人值班，做到随叫随到，保证污水处理站24小时内设备能够正常运行。</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8、运营托管公司需做好医疗污水处理站在线监测设备日常管理工作，确保在线监测设备正常运行。在线监测设备与儋州市生态环境局可正常联网（联网费用包含在运营托管费用内，不另行收取），实时传送污水监测数据。在线监测设备试剂充足（该笔费用包含在运营托管费用内，不另行收取），每批次购买的试剂需提供相关合格证，确保试剂在有效使用期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9、运营托管公司负责医疗污水处理站日常消毒药品的购置（该笔费用包含在运营托管费用内，不另行收取），每批次购买的消毒药品需提供相关合格证，确保消毒药品在有效使用期内。</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10、运营托管公司负责污水处理站范围内的门前三包及控烟工作。</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11、运营托管公司在接收到采购人提交的书面、邮件等形式的函件必须于2个工作日内予以答复。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12、在委托运营托管期间，随时接受采购人及上级相关部门的检查，并提供相关污水站材料。</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13、运营托管公司负责医疗污水处理站日常运营管理及设施、设备的安全运行，运管人员须严禁无关人员进入工作区域，确保医疗污水处理站安全。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14、医疗污水处理站的运行日志、监测记录及保养记录等必须由运营托管公司详实记录并妥善保存，当合同期满后，须完整移交给我院。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15、运营托管公司</w:t>
            </w:r>
            <w:r>
              <w:rPr>
                <w:rFonts w:ascii="仿宋_GB2312" w:hAnsi="仿宋_GB2312" w:cs="仿宋_GB2312" w:eastAsia="仿宋_GB2312"/>
                <w:sz w:val="28"/>
                <w:color w:val="000000"/>
              </w:rPr>
              <w:t>在接收到采购人应急维修通知后（如：污水泵损坏、自动加药设备损坏，设备不能正常运转，医疗污水不能达标排放等），</w:t>
            </w:r>
            <w:r>
              <w:rPr>
                <w:rFonts w:ascii="仿宋_GB2312" w:hAnsi="仿宋_GB2312" w:cs="仿宋_GB2312" w:eastAsia="仿宋_GB2312"/>
                <w:sz w:val="28"/>
                <w:color w:val="000000"/>
              </w:rPr>
              <w:t>运营托管公司</w:t>
            </w:r>
            <w:r>
              <w:rPr>
                <w:rFonts w:ascii="仿宋_GB2312" w:hAnsi="仿宋_GB2312" w:cs="仿宋_GB2312" w:eastAsia="仿宋_GB2312"/>
                <w:sz w:val="28"/>
                <w:color w:val="000000"/>
              </w:rPr>
              <w:t>必须在三小时内到达现场，进行抢修，保证我院</w:t>
            </w:r>
            <w:r>
              <w:rPr>
                <w:rFonts w:ascii="仿宋_GB2312" w:hAnsi="仿宋_GB2312" w:cs="仿宋_GB2312" w:eastAsia="仿宋_GB2312"/>
                <w:sz w:val="28"/>
                <w:color w:val="000000"/>
              </w:rPr>
              <w:t>医疗污水处理站</w:t>
            </w:r>
            <w:r>
              <w:rPr>
                <w:rFonts w:ascii="仿宋_GB2312" w:hAnsi="仿宋_GB2312" w:cs="仿宋_GB2312" w:eastAsia="仿宋_GB2312"/>
                <w:sz w:val="28"/>
                <w:color w:val="000000"/>
              </w:rPr>
              <w:t>设备正常运行，医疗污水可达标排放。如因</w:t>
            </w:r>
            <w:r>
              <w:rPr>
                <w:rFonts w:ascii="仿宋_GB2312" w:hAnsi="仿宋_GB2312" w:cs="仿宋_GB2312" w:eastAsia="仿宋_GB2312"/>
                <w:sz w:val="28"/>
                <w:color w:val="000000"/>
              </w:rPr>
              <w:t>运营托管公司</w:t>
            </w:r>
            <w:r>
              <w:rPr>
                <w:rFonts w:ascii="仿宋_GB2312" w:hAnsi="仿宋_GB2312" w:cs="仿宋_GB2312" w:eastAsia="仿宋_GB2312"/>
                <w:sz w:val="28"/>
                <w:color w:val="000000"/>
              </w:rPr>
              <w:t>问题，没能及时到现场进行抢修致使医疗污水不能达标排放，造成的后果由</w:t>
            </w:r>
            <w:r>
              <w:rPr>
                <w:rFonts w:ascii="仿宋_GB2312" w:hAnsi="仿宋_GB2312" w:cs="仿宋_GB2312" w:eastAsia="仿宋_GB2312"/>
                <w:sz w:val="28"/>
                <w:color w:val="000000"/>
              </w:rPr>
              <w:t>运营托管公司</w:t>
            </w:r>
            <w:r>
              <w:rPr>
                <w:rFonts w:ascii="仿宋_GB2312" w:hAnsi="仿宋_GB2312" w:cs="仿宋_GB2312" w:eastAsia="仿宋_GB2312"/>
                <w:sz w:val="28"/>
                <w:color w:val="000000"/>
              </w:rPr>
              <w:t>承担。</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16、运营托管公司</w:t>
            </w:r>
            <w:r>
              <w:rPr>
                <w:rFonts w:ascii="仿宋_GB2312" w:hAnsi="仿宋_GB2312" w:cs="仿宋_GB2312" w:eastAsia="仿宋_GB2312"/>
                <w:sz w:val="28"/>
                <w:color w:val="000000"/>
              </w:rPr>
              <w:t>在接收到采购人普通维修通知后（在保证设备正常运转，不影响医疗污水达标排放的前提下），可在二十四小时之内到达现场进行维修。</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17、运营托管公司</w:t>
            </w:r>
            <w:r>
              <w:rPr>
                <w:rFonts w:ascii="仿宋_GB2312" w:hAnsi="仿宋_GB2312" w:cs="仿宋_GB2312" w:eastAsia="仿宋_GB2312"/>
                <w:sz w:val="28"/>
                <w:color w:val="000000"/>
              </w:rPr>
              <w:t>在接到通知后，若出现未能及时派工作人员维修，需外聘维修人员的情形，则维修产生的费用，由</w:t>
            </w:r>
            <w:r>
              <w:rPr>
                <w:rFonts w:ascii="仿宋_GB2312" w:hAnsi="仿宋_GB2312" w:cs="仿宋_GB2312" w:eastAsia="仿宋_GB2312"/>
                <w:sz w:val="28"/>
                <w:color w:val="000000"/>
              </w:rPr>
              <w:t>运营托管公司</w:t>
            </w:r>
            <w:r>
              <w:rPr>
                <w:rFonts w:ascii="仿宋_GB2312" w:hAnsi="仿宋_GB2312" w:cs="仿宋_GB2312" w:eastAsia="仿宋_GB2312"/>
                <w:sz w:val="28"/>
                <w:color w:val="000000"/>
              </w:rPr>
              <w:t>承担。</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18、运营托管公司</w:t>
            </w:r>
            <w:r>
              <w:rPr>
                <w:rFonts w:ascii="仿宋_GB2312" w:hAnsi="仿宋_GB2312" w:cs="仿宋_GB2312" w:eastAsia="仿宋_GB2312"/>
                <w:sz w:val="28"/>
                <w:color w:val="000000"/>
              </w:rPr>
              <w:t>上门维修不另收取上门费及工时费。</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19、</w:t>
            </w:r>
            <w:r>
              <w:rPr>
                <w:rFonts w:ascii="仿宋_GB2312" w:hAnsi="仿宋_GB2312" w:cs="仿宋_GB2312" w:eastAsia="仿宋_GB2312"/>
                <w:sz w:val="28"/>
                <w:color w:val="000000"/>
              </w:rPr>
              <w:t>污水处理站设备更换或维修，市场价格在</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元以内的，由</w:t>
            </w:r>
            <w:r>
              <w:rPr>
                <w:rFonts w:ascii="仿宋_GB2312" w:hAnsi="仿宋_GB2312" w:cs="仿宋_GB2312" w:eastAsia="仿宋_GB2312"/>
                <w:sz w:val="28"/>
                <w:color w:val="000000"/>
              </w:rPr>
              <w:t>运营托管公司</w:t>
            </w:r>
            <w:r>
              <w:rPr>
                <w:rFonts w:ascii="仿宋_GB2312" w:hAnsi="仿宋_GB2312" w:cs="仿宋_GB2312" w:eastAsia="仿宋_GB2312"/>
                <w:sz w:val="28"/>
                <w:color w:val="000000"/>
              </w:rPr>
              <w:t>免费提供；超过</w:t>
            </w:r>
            <w:r>
              <w:rPr>
                <w:rFonts w:ascii="仿宋_GB2312" w:hAnsi="仿宋_GB2312" w:cs="仿宋_GB2312" w:eastAsia="仿宋_GB2312"/>
                <w:sz w:val="28"/>
                <w:color w:val="000000"/>
              </w:rPr>
              <w:t>1000元的</w:t>
            </w:r>
            <w:r>
              <w:rPr>
                <w:rFonts w:ascii="仿宋_GB2312" w:hAnsi="仿宋_GB2312" w:cs="仿宋_GB2312" w:eastAsia="仿宋_GB2312"/>
                <w:sz w:val="28"/>
                <w:color w:val="000000"/>
              </w:rPr>
              <w:t>设备更换或维修，由采购人依法依规选取相应设备及维修方，</w:t>
            </w:r>
            <w:r>
              <w:rPr>
                <w:rFonts w:ascii="仿宋_GB2312" w:hAnsi="仿宋_GB2312" w:cs="仿宋_GB2312" w:eastAsia="仿宋_GB2312"/>
                <w:sz w:val="28"/>
                <w:color w:val="000000"/>
              </w:rPr>
              <w:t>费用由</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支付。</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20、运营托管公司应委托专业检测公司每月对医疗污水抽样检测一次（检测项目应符合儋州市生态环境局相关要求），检测报告交予院方一份，一份留医疗污水处理站存档（该笔费用包含在运营托管费用内，不另行收取）。</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21、采购人每半年度委托第三方有资质的专业检测机构对污水取样检测，若污水检测结果不合格，费用由运营托管公司承担，合格费用由采购人承担。采购人有权对运营托管公司进行经济处罚及法律责任追究的权力。</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22、采购人仅提供运营托管公司员工办公室，但不提供员工住宿。污水处理站运行所需用电、用水费用由</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承担。</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23、运营托管期间，运营托管公司不得采取偷排行为，不得采取欺骗、瞒报行为，否则一切经济损失及法律责任由运营托管公司承担。</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24、在整个委托运维期间，因运营托管公司责任发生排放超标情况或管理方面导致的经济处罚和法律责任由运营托管公司承担。如情节严重，采购人有权终止合同。</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25、采购人对运营托管公司监管过程中，运营托管公司未满足</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的工作质量要求，</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有权每次处罚（1000—5000）元人民币不等（视具体情况而定）；</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安排运营托管公司工作，运营托管公司没有及时完成，并不反馈，影响到</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的工作进度或者由于运营托管公司原因导致</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受到相关处分，</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有权对运营托管公司处罚每次（1000—5000）元人民币不等。如涉及到相关部门的处罚，由运营托管公司承担全部经济损失及相关法律责任。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付款方式：运营托管服务费按季度进行支付，中标方在每季度结束后的5日内向业主提出付款申请、等额正式有效发票，并同时向业主提供每月运营报告，包括处理水量、水质监测、设施运行状态等情况，业主在收到账单和相关材料后，如无争议，应当在15个工作日内支付运营托管费用。</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执行标准：按照国家、行业相关标准及采购文件要求执行。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其他未尽事宜在采购双方合同中约定。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投标有效期承诺函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资格承诺函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项目综合运维方案</w:t>
            </w:r>
          </w:p>
        </w:tc>
        <w:tc>
          <w:tcPr>
            <w:tcW w:type="dxa" w:w="2492"/>
          </w:tcPr>
          <w:p>
            <w:pPr>
              <w:pStyle w:val="null3"/>
              <w:jc w:val="left"/>
            </w:pPr>
            <w:r>
              <w:rPr>
                <w:rFonts w:ascii="仿宋_GB2312" w:hAnsi="仿宋_GB2312" w:cs="仿宋_GB2312" w:eastAsia="仿宋_GB2312"/>
              </w:rPr>
              <w:t>根据投标人提供的项目综合运维方案，内容包括但不仅限于①运营管理技术方案，如工艺运维、工艺方案研究与优化等；②能耗控制方案；③药耗控制；④污水处理站相关设备、及配套措施的维护与保养等,根据以上内容进行综合评审赋分： 1.方案中包含以上4项要求全部内容的得4分，每缺少一项扣1分； 2.根据以上的方案内容进行详细评审： （1）项目综合运营方案切合本项目实际情况，编制内容详细、考虑问题全面完整，管理制度完善，实施流程规范程度高，可行性高，得11分； （2）项目综合运营方案编制内容较为详细：具备一定可行性，提出的实施思路、工作分配，管理模式及管理方案基本满足实际情况，得9分； （3）项目综合运营方案编制内容比较完整，具备通用性但针对性较弱:提出的实施思路、工作分配，管理模式及管理方案满足部分实际情况，具有一定的可行性的，得6分； （4）项目综合运营方案编制内容基本完整，不缺项、漏项，基本满足采购需求要求，得4分； （5）项目综合运营方案不充分或某些局部存在欠缺，得2分； （6）方案凭空捏造或不提供相应方案得0分。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运维的重难点分析</w:t>
            </w:r>
          </w:p>
        </w:tc>
        <w:tc>
          <w:tcPr>
            <w:tcW w:type="dxa" w:w="2492"/>
          </w:tcPr>
          <w:p>
            <w:pPr>
              <w:pStyle w:val="null3"/>
              <w:jc w:val="left"/>
            </w:pPr>
            <w:r>
              <w:rPr>
                <w:rFonts w:ascii="仿宋_GB2312" w:hAnsi="仿宋_GB2312" w:cs="仿宋_GB2312" w:eastAsia="仿宋_GB2312"/>
              </w:rPr>
              <w:t>根据投标人提供对本项目运维的重难点分析方案，内容包括但不限于①运维所涉及的重点难点；②提出的解决措施等,根据以上内容进行综合评审赋分： 1.方案中包含以上2项要求全部内容的得3分，每缺少一项扣1.5分； 2.根据以上的方案内容进行详细评审： （1）对项目重点难点、关键点分析准确，解决措施合理的得6分； （2）对项目重点难点、关键点分析比较准确，解决措施比较合理的得4分； （3）对项目重点难点、关键点分析一般，解决措施一般的得2分； （4）对项目重点难点、关键点分析差，解决措施差的得1分； （5）方案凭空捏造或不提供相应方案得0分。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运营管理制度</w:t>
            </w:r>
          </w:p>
        </w:tc>
        <w:tc>
          <w:tcPr>
            <w:tcW w:type="dxa" w:w="2492"/>
          </w:tcPr>
          <w:p>
            <w:pPr>
              <w:pStyle w:val="null3"/>
              <w:jc w:val="left"/>
            </w:pPr>
            <w:r>
              <w:rPr>
                <w:rFonts w:ascii="仿宋_GB2312" w:hAnsi="仿宋_GB2312" w:cs="仿宋_GB2312" w:eastAsia="仿宋_GB2312"/>
              </w:rPr>
              <w:t>根据投标人提供的运营管理制度，内容包括但不限于①运营手册(含站点及设施设备操作规程、安全注意事项等)；②管理培训制度、日常巡查制度；③设施设备日常保养维护制度；④设施设备故障处理制度；⑤水质检测制度；⑥投诉及建议处理制度；⑦日常运维状况定期向上级报告制度；⑧重大事项；⑨突发故障、安全隐患向上级报告制度和基础资料及运维记录；⑩档案管理制度等,根据以上内容进行综合评审赋分： 1.方案中包含以上10项要求全部内容的得5分，每缺少一项扣0.5分； 2.根据以上的方案内容进行详细评审： （1）运营管理制度完整，制度健全，考虑问题全面细致，得5分; （2）运营管理制度比较完整，制度比较健全，考虑问题比较全面，得3分; （3）运营管理制度基本完整，制度基本健全，考虑问题基本全面，得1分; （4）运营管理制度不完整，制度不健全，考虑问题不全面，得0.5分; （5）方案凭空捏造或不提供相应方案得0分。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投标人提供的应急预案，内容包括但不限于各项安全事故：①火灾；②断电；③污水处理；④自动在线监测设备设施故障；⑤化学药品泄露；⑥触电；⑦跌落；⑧污水外溢等,根据以上内容进行综合评审赋分： 1.方案中包含以上8项要求全部内容的得4分，每缺少一项扣0.5分； 2.根据以上的方案内容进行详细评审： （1）方案完全满足项目要求，方案周密详实、科学合理、可行性高，得6分; （2）方案较详实，基本满足采购人需求，有一定可行性，得4分; （3）方案一般或存在少量缺陷，可行性一般，得2分; （4）方案差，或存明显缺陷，可行性低，得1分; （5）方案凭空捏造或不提供相应方案得0分。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服务质量管理保证方案</w:t>
            </w:r>
          </w:p>
        </w:tc>
        <w:tc>
          <w:tcPr>
            <w:tcW w:type="dxa" w:w="2492"/>
          </w:tcPr>
          <w:p>
            <w:pPr>
              <w:pStyle w:val="null3"/>
              <w:jc w:val="left"/>
            </w:pPr>
            <w:r>
              <w:rPr>
                <w:rFonts w:ascii="仿宋_GB2312" w:hAnsi="仿宋_GB2312" w:cs="仿宋_GB2312" w:eastAsia="仿宋_GB2312"/>
              </w:rPr>
              <w:t>根据投标人提供服务质量保证方案，内容包括但不限于①服务内容；②服务管理目标；③服务响应速度；④服务质量保证措施；⑤服务质量保证标准等,根据以上内容进行综合评审赋分： 3.方案中包含以上5项要求全部内容的得2.5分，每缺少一项扣0.5分； 4.根据以上的方案内容进行详细评审： （1）方案内容全面、描述详细清晰、针对性强完全符合本项目实际情况、充分为采购人考虑的得5.5分; （2）方案内容较全面，描述详细清晰、针对性一般，符合本项目实际情况的得3.5分; （3）方案内容一般或存在少量缺陷，操作不强，但符合本项目实际情况的得2分; （4）方案内容缺失或不完整、没有针对性、不能符合本项目实际情况的得1分; （5）方案凭空捏造或不提供相应方案得0分。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投标人2022年1月1日至今（时间以签订合同为准）承担过类似医院污水处理站运营管理业绩，提供一个得3分，最高得6分。 证明材料：提供业绩合同关键页（关键页包含但不限于：封面、合同标的页、合同金额页、合同签字/日期盖章页）复印件加盖公章。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配备的运营管理人员中：具备环境工程相关专业中级职称的，每提供一人得4分，具备废污水处理运维相关资格证的，每提供一人得2分，满分12分。 证明材料：提供人员职称证书或资格证书、劳动合同及在投标单位购买2024年11月至今任意一个月的社保证明资料。</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详见附件：医疗污水处理站运营托管项目合同文本.docx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医疗污水处理站（含400立方米应急处理池、预处理池）运营托管项目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医疗污水处理站（含400立方米应急处理池、预处理池）运营托管项目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C16089900-其他运营服务</w:t>
            </w:r>
          </w:p>
        </w:tc>
        <w:tc>
          <w:tcPr>
            <w:tcW w:type="dxa" w:w="1038"/>
          </w:tcPr>
          <w:p>
            <w:pPr>
              <w:pStyle w:val="null3"/>
              <w:jc w:val="left"/>
            </w:pPr>
            <w:r>
              <w:rPr>
                <w:rFonts w:ascii="仿宋_GB2312" w:hAnsi="仿宋_GB2312" w:cs="仿宋_GB2312" w:eastAsia="仿宋_GB2312"/>
              </w:rPr>
              <w:t xml:space="preserve"> 3.00元/年</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