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儋州市2024年度国土变更调查（日常变更）工作</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HNYH2025-0102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儋州市自然资源和规划局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海南源和招标代理有限公司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儋州市自然资源和规划局</w:t>
      </w:r>
      <w:r>
        <w:rPr>
          <w:rFonts w:ascii="仿宋_GB2312" w:hAnsi="仿宋_GB2312" w:cs="仿宋_GB2312" w:eastAsia="仿宋_GB2312"/>
        </w:rPr>
        <w:t xml:space="preserve"> 的委托， </w:t>
      </w:r>
      <w:r>
        <w:rPr>
          <w:rFonts w:ascii="仿宋_GB2312" w:hAnsi="仿宋_GB2312" w:cs="仿宋_GB2312" w:eastAsia="仿宋_GB2312"/>
        </w:rPr>
        <w:t>海南源和招标代理有限公司</w:t>
      </w:r>
      <w:r>
        <w:rPr>
          <w:rFonts w:ascii="仿宋_GB2312" w:hAnsi="仿宋_GB2312" w:cs="仿宋_GB2312" w:eastAsia="仿宋_GB2312"/>
        </w:rPr>
        <w:t xml:space="preserve"> 对 </w:t>
      </w:r>
      <w:r>
        <w:rPr>
          <w:rFonts w:ascii="仿宋_GB2312" w:hAnsi="仿宋_GB2312" w:cs="仿宋_GB2312" w:eastAsia="仿宋_GB2312"/>
        </w:rPr>
        <w:t>儋州市2024年度国土变更调查（日常变更）工作</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HNYH2025-0102</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儋州市2024年度国土变更调查（日常变更）工作</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2,500,000.00元</w:t>
      </w:r>
      <w:r>
        <w:rPr>
          <w:rFonts w:ascii="仿宋_GB2312" w:hAnsi="仿宋_GB2312" w:cs="仿宋_GB2312" w:eastAsia="仿宋_GB2312"/>
        </w:rPr>
        <w:t>贰佰伍拾万元整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自合同签订之日起至2025年9月30日完成本项目服务。</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须具有省级及以上测绘主管部门颁发的测绘乙级或以上测绘资质，提供资质证书复印件加盖单位公章。若供应商为海南省外供应商还须持有海南省测绘地理信息行政主管部门颁发的《海南省省外测绘地理信息单位备案证》：供应商须具有省级及以上测绘主管部门颁发的测绘乙级或以上测绘资质，提供资质证书复印件加盖单位公章。若供应商为海南省外供应商还须持有海南省测绘地理信息行政主管部门颁发的《海南省省外测绘地理信息单位备案证》（提供证书复印件并加盖公章）。</w:t>
      </w:r>
    </w:p>
    <w:p>
      <w:pPr>
        <w:pStyle w:val="null3"/>
        <w:jc w:val="left"/>
      </w:pPr>
      <w:r>
        <w:rPr>
          <w:rFonts w:ascii="仿宋_GB2312" w:hAnsi="仿宋_GB2312" w:cs="仿宋_GB2312" w:eastAsia="仿宋_GB2312"/>
        </w:rPr>
        <w:t>2、参加政府采购活动前三年内，无环保类行政处罚记录：参加政府采购活动前三年内，无环保类行政处罚记录（提供无环保类行政处罚记录声明函，加盖公章）。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3、不接受联合体投标：不接受联合体投标（提供承诺函，加盖公章）。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中国政府采购网海南分网（海南省政府采购智慧云平台）（网址https://ccgp-hainan.gov.cn/）。关于本项目采购文件的补遗、澄清及变更信息以上述网站公告为准，代理机构不再另行通知，采购文件与更正公告的内容相互矛盾时，以最后发出的更正公告内容为准。 2、投标人须在海南省政府采购网 (https://ccgp-hainan.gov.cn/)中的海南省政府采购智慧云平台进行注册并完善信息。 3、注意事项：本项目为远程不见面开标，投标人无须到达开标现场，远程按时参加在线开标解密即可。本项目采用全流程电子化操作，供应商请在海南省政府采购网办事指南处查阅供应商手册，如需云平台相关咨询，请拨打以下热线电话：0591-38352553。 4、采购项目需落实的政府采购政策：本项目支持政府采购促进中小企业发展政策、政府采购支持监狱企业发展政策、促进残疾人就业政府采购政策、政府采购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儋州市自然资源和规划局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海南省儋州市自然资源和规划局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孙先生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0898- 23391639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海南源和招标代理有限公司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海南省海口市美兰区蓝天路12-1号中洋公馆1号楼B座1605房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苏先生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0898-66723196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采购包1：2,500,000.00元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磋商有效期为从递交响应文件的截止之日起算的60日历天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发展改革委关于印发《招标代理服务收费管理暂行办法》的通知(发改价格【2002】1980号)和国家发展改革委关于降低部分建设项目收费标准规范收费行为等有关问题的通知(发改价格【2011】534号)规定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联系电话：0898-66723196</w:t>
      </w:r>
    </w:p>
    <w:p>
      <w:pPr>
        <w:pStyle w:val="null3"/>
        <w:jc w:val="left"/>
      </w:pPr>
      <w:r>
        <w:rPr>
          <w:rFonts w:ascii="仿宋_GB2312" w:hAnsi="仿宋_GB2312" w:cs="仿宋_GB2312" w:eastAsia="仿宋_GB2312"/>
        </w:rPr>
        <w:t>地址：海口市蓝天路12－1号国机中洋公馆1号楼B座1605号</w:t>
      </w:r>
    </w:p>
    <w:p>
      <w:pPr>
        <w:pStyle w:val="null3"/>
        <w:jc w:val="left"/>
      </w:pPr>
      <w:r>
        <w:rPr>
          <w:rFonts w:ascii="仿宋_GB2312" w:hAnsi="仿宋_GB2312" w:cs="仿宋_GB2312" w:eastAsia="仿宋_GB2312"/>
        </w:rPr>
        <w:t>邮编：570203</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按照《自然资源部办公厅关于开展2024年度全国国土变更调查工作的通知》（自然资办发〔2024〕44号）和《海南省自然资源和规划厅关于开展2024年度海南省国土变更调查工作的通知》（琼自然资函〔2024〕1319号）要求，做好2024年度国土变更调查工作，查清儋州市自然资源的现状及其变化情况，进一步夯实国土调查成果作为自然资源管理工作底数、底版和底图的工作基础，扎实做好耕地保护和粮食安全责任制考核的数据准备，有效支撑高质量发展和国土空间治理现代化。同时，做好儋州市2025年日常国土变更调查工作技术服务支撑，与各项管理工作进行有效的衔接。</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2,500,000.00</w:t>
      </w:r>
    </w:p>
    <w:p>
      <w:pPr>
        <w:pStyle w:val="null3"/>
        <w:jc w:val="left"/>
      </w:pPr>
      <w:r>
        <w:rPr>
          <w:rFonts w:ascii="仿宋_GB2312" w:hAnsi="仿宋_GB2312" w:cs="仿宋_GB2312" w:eastAsia="仿宋_GB2312"/>
        </w:rPr>
        <w:t>采购包最高限价（元）: 2,500,000.00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15" w:right="-15"/>
              <w:jc w:val="both"/>
            </w:pPr>
            <w:r>
              <w:rPr>
                <w:rFonts w:ascii="仿宋_GB2312" w:hAnsi="仿宋_GB2312" w:cs="仿宋_GB2312" w:eastAsia="仿宋_GB2312"/>
                <w:sz w:val="32"/>
                <w:b/>
              </w:rPr>
              <w:t>1</w:t>
            </w:r>
            <w:r>
              <w:rPr>
                <w:rFonts w:ascii="仿宋_GB2312" w:hAnsi="仿宋_GB2312" w:cs="仿宋_GB2312" w:eastAsia="仿宋_GB2312"/>
                <w:sz w:val="32"/>
                <w:b/>
              </w:rPr>
              <w:t>.</w:t>
            </w:r>
            <w:r>
              <w:rPr>
                <w:rFonts w:ascii="仿宋_GB2312" w:hAnsi="仿宋_GB2312" w:cs="仿宋_GB2312" w:eastAsia="仿宋_GB2312"/>
                <w:sz w:val="32"/>
                <w:b/>
              </w:rPr>
              <w:t>项目服务内容及要求</w:t>
            </w:r>
          </w:p>
          <w:p>
            <w:pPr>
              <w:pStyle w:val="null3"/>
              <w:ind w:firstLine="640"/>
              <w:jc w:val="both"/>
            </w:pPr>
            <w:r>
              <w:rPr>
                <w:rFonts w:ascii="仿宋_GB2312" w:hAnsi="仿宋_GB2312" w:cs="仿宋_GB2312" w:eastAsia="仿宋_GB2312"/>
                <w:sz w:val="32"/>
              </w:rPr>
              <w:t>1.1.</w:t>
            </w:r>
            <w:r>
              <w:rPr>
                <w:rFonts w:ascii="仿宋_GB2312" w:hAnsi="仿宋_GB2312" w:cs="仿宋_GB2312" w:eastAsia="仿宋_GB2312"/>
                <w:sz w:val="32"/>
              </w:rPr>
              <w:t>以</w:t>
            </w:r>
            <w:r>
              <w:rPr>
                <w:rFonts w:ascii="仿宋_GB2312" w:hAnsi="仿宋_GB2312" w:cs="仿宋_GB2312" w:eastAsia="仿宋_GB2312"/>
                <w:sz w:val="32"/>
              </w:rPr>
              <w:t>2</w:t>
            </w:r>
            <w:r>
              <w:rPr>
                <w:rFonts w:ascii="仿宋_GB2312" w:hAnsi="仿宋_GB2312" w:cs="仿宋_GB2312" w:eastAsia="仿宋_GB2312"/>
                <w:sz w:val="32"/>
              </w:rPr>
              <w:t>024年</w:t>
            </w:r>
            <w:r>
              <w:rPr>
                <w:rFonts w:ascii="仿宋_GB2312" w:hAnsi="仿宋_GB2312" w:cs="仿宋_GB2312" w:eastAsia="仿宋_GB2312"/>
                <w:sz w:val="32"/>
              </w:rPr>
              <w:t>1</w:t>
            </w:r>
            <w:r>
              <w:rPr>
                <w:rFonts w:ascii="仿宋_GB2312" w:hAnsi="仿宋_GB2312" w:cs="仿宋_GB2312" w:eastAsia="仿宋_GB2312"/>
                <w:sz w:val="32"/>
              </w:rPr>
              <w:t>2月</w:t>
            </w:r>
            <w:r>
              <w:rPr>
                <w:rFonts w:ascii="仿宋_GB2312" w:hAnsi="仿宋_GB2312" w:cs="仿宋_GB2312" w:eastAsia="仿宋_GB2312"/>
                <w:sz w:val="32"/>
              </w:rPr>
              <w:t>3</w:t>
            </w:r>
            <w:r>
              <w:rPr>
                <w:rFonts w:ascii="仿宋_GB2312" w:hAnsi="仿宋_GB2312" w:cs="仿宋_GB2312" w:eastAsia="仿宋_GB2312"/>
                <w:sz w:val="32"/>
              </w:rPr>
              <w:t>1日为标准时点，</w:t>
            </w:r>
            <w:r>
              <w:rPr>
                <w:rFonts w:ascii="仿宋_GB2312" w:hAnsi="仿宋_GB2312" w:cs="仿宋_GB2312" w:eastAsia="仿宋_GB2312"/>
                <w:sz w:val="32"/>
              </w:rPr>
              <w:t>按照自然资源部下发的儋州市</w:t>
            </w:r>
            <w:r>
              <w:rPr>
                <w:rFonts w:ascii="仿宋_GB2312" w:hAnsi="仿宋_GB2312" w:cs="仿宋_GB2312" w:eastAsia="仿宋_GB2312"/>
                <w:sz w:val="32"/>
              </w:rPr>
              <w:t>202</w:t>
            </w:r>
            <w:r>
              <w:rPr>
                <w:rFonts w:ascii="仿宋_GB2312" w:hAnsi="仿宋_GB2312" w:cs="仿宋_GB2312" w:eastAsia="仿宋_GB2312"/>
                <w:sz w:val="32"/>
              </w:rPr>
              <w:t>4年</w:t>
            </w:r>
            <w:r>
              <w:rPr>
                <w:rFonts w:ascii="仿宋_GB2312" w:hAnsi="仿宋_GB2312" w:cs="仿宋_GB2312" w:eastAsia="仿宋_GB2312"/>
                <w:sz w:val="32"/>
              </w:rPr>
              <w:t>度变更监测图斑，结合儋州市自然资源监测等各项监测监管、森林草原湿地荒漠化普查及地类对接、日常变更及自然资源管理等成果，根据国家和省级关于</w:t>
            </w:r>
            <w:r>
              <w:rPr>
                <w:rFonts w:ascii="仿宋_GB2312" w:hAnsi="仿宋_GB2312" w:cs="仿宋_GB2312" w:eastAsia="仿宋_GB2312"/>
                <w:sz w:val="32"/>
              </w:rPr>
              <w:t>2</w:t>
            </w:r>
            <w:r>
              <w:rPr>
                <w:rFonts w:ascii="仿宋_GB2312" w:hAnsi="仿宋_GB2312" w:cs="仿宋_GB2312" w:eastAsia="仿宋_GB2312"/>
                <w:sz w:val="32"/>
              </w:rPr>
              <w:t>024</w:t>
            </w:r>
            <w:r>
              <w:rPr>
                <w:rFonts w:ascii="仿宋_GB2312" w:hAnsi="仿宋_GB2312" w:cs="仿宋_GB2312" w:eastAsia="仿宋_GB2312"/>
                <w:sz w:val="32"/>
              </w:rPr>
              <w:t>年度变更工作要求，开展儋州市</w:t>
            </w:r>
            <w:r>
              <w:rPr>
                <w:rFonts w:ascii="仿宋_GB2312" w:hAnsi="仿宋_GB2312" w:cs="仿宋_GB2312" w:eastAsia="仿宋_GB2312"/>
                <w:sz w:val="32"/>
              </w:rPr>
              <w:t>2024</w:t>
            </w:r>
            <w:r>
              <w:rPr>
                <w:rFonts w:ascii="仿宋_GB2312" w:hAnsi="仿宋_GB2312" w:cs="仿宋_GB2312" w:eastAsia="仿宋_GB2312"/>
                <w:sz w:val="32"/>
              </w:rPr>
              <w:t>年度国土变更调查</w:t>
            </w:r>
            <w:r>
              <w:rPr>
                <w:rFonts w:ascii="仿宋_GB2312" w:hAnsi="仿宋_GB2312" w:cs="仿宋_GB2312" w:eastAsia="仿宋_GB2312"/>
                <w:sz w:val="32"/>
              </w:rPr>
              <w:t>(日常变更)工作。</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2.组织调查队伍采用“海南调查云”开展实地举证工作</w:t>
            </w:r>
            <w:r>
              <w:rPr>
                <w:rFonts w:ascii="仿宋_GB2312" w:hAnsi="仿宋_GB2312" w:cs="仿宋_GB2312" w:eastAsia="仿宋_GB2312"/>
                <w:sz w:val="32"/>
              </w:rPr>
              <w:t>。</w:t>
            </w:r>
            <w:r>
              <w:rPr>
                <w:rFonts w:ascii="仿宋_GB2312" w:hAnsi="仿宋_GB2312" w:cs="仿宋_GB2312" w:eastAsia="仿宋_GB2312"/>
                <w:sz w:val="32"/>
              </w:rPr>
              <w:t>在开展外业调查的同时在</w:t>
            </w:r>
            <w:r>
              <w:rPr>
                <w:rFonts w:ascii="仿宋_GB2312" w:hAnsi="仿宋_GB2312" w:cs="仿宋_GB2312" w:eastAsia="仿宋_GB2312"/>
                <w:sz w:val="32"/>
              </w:rPr>
              <w:t>“海南调查云”中对图斑信息进行录入事宜，全面掌握</w:t>
            </w:r>
            <w:r>
              <w:rPr>
                <w:rFonts w:ascii="仿宋_GB2312" w:hAnsi="仿宋_GB2312" w:cs="仿宋_GB2312" w:eastAsia="仿宋_GB2312"/>
                <w:sz w:val="32"/>
              </w:rPr>
              <w:t>2024</w:t>
            </w:r>
            <w:r>
              <w:rPr>
                <w:rFonts w:ascii="仿宋_GB2312" w:hAnsi="仿宋_GB2312" w:cs="仿宋_GB2312" w:eastAsia="仿宋_GB2312"/>
                <w:sz w:val="32"/>
              </w:rPr>
              <w:t>年度地类、面积、属性及相关单独图层信息的变化情况，并按国家、省级和采购人要求的时间节点上报成果。</w:t>
            </w:r>
          </w:p>
          <w:p>
            <w:pPr>
              <w:pStyle w:val="null3"/>
              <w:ind w:firstLine="640"/>
              <w:jc w:val="both"/>
            </w:pPr>
            <w:r>
              <w:rPr>
                <w:rFonts w:ascii="仿宋_GB2312" w:hAnsi="仿宋_GB2312" w:cs="仿宋_GB2312" w:eastAsia="仿宋_GB2312"/>
                <w:sz w:val="32"/>
              </w:rPr>
              <w:t>1.3.</w:t>
            </w:r>
            <w:r>
              <w:rPr>
                <w:rFonts w:ascii="仿宋_GB2312" w:hAnsi="仿宋_GB2312" w:cs="仿宋_GB2312" w:eastAsia="仿宋_GB2312"/>
                <w:sz w:val="32"/>
              </w:rPr>
              <w:t>供应商需要熟悉国土变更调查技术路线以及实施方案技术标准，在技术上保障儋州市</w:t>
            </w:r>
            <w:r>
              <w:rPr>
                <w:rFonts w:ascii="仿宋_GB2312" w:hAnsi="仿宋_GB2312" w:cs="仿宋_GB2312" w:eastAsia="仿宋_GB2312"/>
                <w:sz w:val="32"/>
              </w:rPr>
              <w:t>2024</w:t>
            </w:r>
            <w:r>
              <w:rPr>
                <w:rFonts w:ascii="仿宋_GB2312" w:hAnsi="仿宋_GB2312" w:cs="仿宋_GB2312" w:eastAsia="仿宋_GB2312"/>
                <w:sz w:val="32"/>
              </w:rPr>
              <w:t>年度国土变更调查</w:t>
            </w:r>
            <w:r>
              <w:rPr>
                <w:rFonts w:ascii="仿宋_GB2312" w:hAnsi="仿宋_GB2312" w:cs="仿宋_GB2312" w:eastAsia="仿宋_GB2312"/>
                <w:sz w:val="32"/>
              </w:rPr>
              <w:t>(日常变更)工作顺利开展；同时，为了保障项目顺利进行，调查单位应派专业技术人员驻场进行日常技术支撑和服务。</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left="15" w:right="-15"/>
              <w:jc w:val="both"/>
            </w:pPr>
            <w:r>
              <w:rPr>
                <w:rFonts w:ascii="仿宋_GB2312" w:hAnsi="仿宋_GB2312" w:cs="仿宋_GB2312" w:eastAsia="仿宋_GB2312"/>
                <w:sz w:val="32"/>
                <w:b/>
              </w:rPr>
              <w:t>1.商务要求</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1.服务期限：</w:t>
            </w:r>
            <w:r>
              <w:rPr>
                <w:rFonts w:ascii="仿宋_GB2312" w:hAnsi="仿宋_GB2312" w:cs="仿宋_GB2312" w:eastAsia="仿宋_GB2312"/>
                <w:sz w:val="32"/>
              </w:rPr>
              <w:t>自合同签订之日起至</w:t>
            </w:r>
            <w:r>
              <w:rPr>
                <w:rFonts w:ascii="仿宋_GB2312" w:hAnsi="仿宋_GB2312" w:cs="仿宋_GB2312" w:eastAsia="仿宋_GB2312"/>
                <w:sz w:val="32"/>
              </w:rPr>
              <w:t>202</w:t>
            </w:r>
            <w:r>
              <w:rPr>
                <w:rFonts w:ascii="仿宋_GB2312" w:hAnsi="仿宋_GB2312" w:cs="仿宋_GB2312" w:eastAsia="仿宋_GB2312"/>
                <w:sz w:val="32"/>
              </w:rPr>
              <w:t>5</w:t>
            </w:r>
            <w:r>
              <w:rPr>
                <w:rFonts w:ascii="仿宋_GB2312" w:hAnsi="仿宋_GB2312" w:cs="仿宋_GB2312" w:eastAsia="仿宋_GB2312"/>
                <w:sz w:val="32"/>
              </w:rPr>
              <w:t>年</w:t>
            </w:r>
            <w:r>
              <w:rPr>
                <w:rFonts w:ascii="仿宋_GB2312" w:hAnsi="仿宋_GB2312" w:cs="仿宋_GB2312" w:eastAsia="仿宋_GB2312"/>
                <w:sz w:val="32"/>
              </w:rPr>
              <w:t>9</w:t>
            </w:r>
            <w:r>
              <w:rPr>
                <w:rFonts w:ascii="仿宋_GB2312" w:hAnsi="仿宋_GB2312" w:cs="仿宋_GB2312" w:eastAsia="仿宋_GB2312"/>
                <w:sz w:val="32"/>
              </w:rPr>
              <w:t>月</w:t>
            </w:r>
            <w:r>
              <w:rPr>
                <w:rFonts w:ascii="仿宋_GB2312" w:hAnsi="仿宋_GB2312" w:cs="仿宋_GB2312" w:eastAsia="仿宋_GB2312"/>
                <w:sz w:val="32"/>
              </w:rPr>
              <w:t>30日完成本项目服务。</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2.服务地点</w:t>
            </w:r>
            <w:r>
              <w:rPr>
                <w:rFonts w:ascii="仿宋_GB2312" w:hAnsi="仿宋_GB2312" w:cs="仿宋_GB2312" w:eastAsia="仿宋_GB2312"/>
                <w:sz w:val="32"/>
              </w:rPr>
              <w:t>：</w:t>
            </w:r>
            <w:r>
              <w:rPr>
                <w:rFonts w:ascii="仿宋_GB2312" w:hAnsi="仿宋_GB2312" w:cs="仿宋_GB2312" w:eastAsia="仿宋_GB2312"/>
                <w:sz w:val="32"/>
              </w:rPr>
              <w:t>采购人指定地点。</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3.付款方式(具体以实际签订合同为准)：</w:t>
            </w:r>
            <w:r>
              <w:rPr>
                <w:rFonts w:ascii="仿宋_GB2312" w:hAnsi="仿宋_GB2312" w:cs="仿宋_GB2312" w:eastAsia="仿宋_GB2312"/>
                <w:sz w:val="32"/>
              </w:rPr>
              <w:t>分三次支付，分别为</w:t>
            </w:r>
            <w:r>
              <w:rPr>
                <w:rFonts w:ascii="仿宋_GB2312" w:hAnsi="仿宋_GB2312" w:cs="仿宋_GB2312" w:eastAsia="仿宋_GB2312"/>
                <w:sz w:val="32"/>
              </w:rPr>
              <w:t>①合同生效并具备实施条件后，采购人在收到成交供应商开具的有效发票后支付合同金额的</w:t>
            </w:r>
            <w:r>
              <w:rPr>
                <w:rFonts w:ascii="仿宋_GB2312" w:hAnsi="仿宋_GB2312" w:cs="仿宋_GB2312" w:eastAsia="仿宋_GB2312"/>
                <w:sz w:val="32"/>
              </w:rPr>
              <w:t>3</w:t>
            </w:r>
            <w:r>
              <w:rPr>
                <w:rFonts w:ascii="仿宋_GB2312" w:hAnsi="仿宋_GB2312" w:cs="仿宋_GB2312" w:eastAsia="仿宋_GB2312"/>
                <w:sz w:val="32"/>
              </w:rPr>
              <w:t>0%。②成交供应商提交阶段性成果，通过</w:t>
            </w:r>
            <w:r>
              <w:rPr>
                <w:rFonts w:ascii="仿宋_GB2312" w:hAnsi="仿宋_GB2312" w:cs="仿宋_GB2312" w:eastAsia="仿宋_GB2312"/>
                <w:sz w:val="32"/>
              </w:rPr>
              <w:t>省级核查确认</w:t>
            </w:r>
            <w:r>
              <w:rPr>
                <w:rFonts w:ascii="仿宋_GB2312" w:hAnsi="仿宋_GB2312" w:cs="仿宋_GB2312" w:eastAsia="仿宋_GB2312"/>
                <w:sz w:val="32"/>
              </w:rPr>
              <w:t>后，采购人在收到成交供应商开具的有效发票后支付合同金额的</w:t>
            </w:r>
            <w:r>
              <w:rPr>
                <w:rFonts w:ascii="仿宋_GB2312" w:hAnsi="仿宋_GB2312" w:cs="仿宋_GB2312" w:eastAsia="仿宋_GB2312"/>
                <w:sz w:val="32"/>
              </w:rPr>
              <w:t>6</w:t>
            </w:r>
            <w:r>
              <w:rPr>
                <w:rFonts w:ascii="仿宋_GB2312" w:hAnsi="仿宋_GB2312" w:cs="仿宋_GB2312" w:eastAsia="仿宋_GB2312"/>
                <w:sz w:val="32"/>
              </w:rPr>
              <w:t>0%。</w:t>
            </w:r>
            <w:r>
              <w:rPr>
                <w:rFonts w:ascii="仿宋_GB2312" w:hAnsi="仿宋_GB2312" w:cs="仿宋_GB2312" w:eastAsia="仿宋_GB2312"/>
                <w:sz w:val="32"/>
              </w:rPr>
              <w:t>③</w:t>
            </w:r>
            <w:r>
              <w:rPr>
                <w:rFonts w:ascii="仿宋_GB2312" w:hAnsi="仿宋_GB2312" w:cs="仿宋_GB2312" w:eastAsia="仿宋_GB2312"/>
                <w:sz w:val="32"/>
              </w:rPr>
              <w:t>项目完成通过国家级核查，下达数据库使用后，采购人在收到成交供应商开具的有效发票后支付合同金额的</w:t>
            </w:r>
            <w:r>
              <w:rPr>
                <w:rFonts w:ascii="仿宋_GB2312" w:hAnsi="仿宋_GB2312" w:cs="仿宋_GB2312" w:eastAsia="仿宋_GB2312"/>
                <w:sz w:val="32"/>
              </w:rPr>
              <w:t>10%。</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须具有省级及以上测绘主管部门颁发的测绘乙级或以上测绘资质，提供资质证书复印件加盖单位公章。若供应商为海南省外供应商还须持有海南省测绘地理信息行政主管部门颁发的《海南省省外测绘地理信息单位备案证》</w:t>
            </w:r>
          </w:p>
        </w:tc>
        <w:tc>
          <w:tcPr>
            <w:tcW w:type="dxa" w:w="3322"/>
          </w:tcPr>
          <w:p>
            <w:pPr>
              <w:pStyle w:val="null3"/>
              <w:jc w:val="left"/>
            </w:pPr>
            <w:r>
              <w:rPr>
                <w:rFonts w:ascii="仿宋_GB2312" w:hAnsi="仿宋_GB2312" w:cs="仿宋_GB2312" w:eastAsia="仿宋_GB2312"/>
              </w:rPr>
              <w:t>供应商须具有省级及以上测绘主管部门颁发的测绘乙级或以上测绘资质，提供资质证书复印件加盖单位公章。若供应商为海南省外供应商还须持有海南省测绘地理信息行政主管部门颁发的《海南省省外测绘地理信息单位备案证》（提供证书复印件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不接受联合体投标</w:t>
            </w:r>
          </w:p>
        </w:tc>
        <w:tc>
          <w:tcPr>
            <w:tcW w:type="dxa" w:w="3322"/>
          </w:tcPr>
          <w:p>
            <w:pPr>
              <w:pStyle w:val="null3"/>
              <w:jc w:val="left"/>
            </w:pPr>
            <w:r>
              <w:rPr>
                <w:rFonts w:ascii="仿宋_GB2312" w:hAnsi="仿宋_GB2312" w:cs="仿宋_GB2312" w:eastAsia="仿宋_GB2312"/>
              </w:rPr>
              <w:t>不接受联合体投标（提供承诺函，加盖公章）。</w:t>
            </w:r>
          </w:p>
        </w:tc>
        <w:tc>
          <w:tcPr>
            <w:tcW w:type="dxa" w:w="1661"/>
          </w:tcPr>
          <w:p>
            <w:pPr>
              <w:pStyle w:val="null3"/>
              <w:jc w:val="left"/>
            </w:pPr>
            <w:r>
              <w:rPr>
                <w:rFonts w:ascii="仿宋_GB2312" w:hAnsi="仿宋_GB2312" w:cs="仿宋_GB2312" w:eastAsia="仿宋_GB2312"/>
              </w:rPr>
              <w:t>不接受联合体投标的承诺函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符合法律、行政法规规定的其他条件的承诺函 无环保类行政处罚记录声明函 不接受联合体投标的承诺函 开标（报价）一览表 中小企业声明函 磋商有效期承诺函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符合法律、行政法规规定的其他条件的承诺函 无环保类行政处罚记录声明函 不接受联合体投标的承诺函 开标（报价）一览表 中小企业声明函 磋商有效期承诺函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符合法律、行政法规规定的其他条件的承诺函 无环保类行政处罚记录声明函 不接受联合体投标的承诺函 开标（报价）一览表 中小企业声明函 磋商有效期承诺函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磋商有效期承诺函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项目整体服务及策划方案</w:t>
            </w:r>
          </w:p>
        </w:tc>
        <w:tc>
          <w:tcPr>
            <w:tcW w:type="dxa" w:w="2492"/>
          </w:tcPr>
          <w:p>
            <w:pPr>
              <w:pStyle w:val="null3"/>
              <w:jc w:val="left"/>
            </w:pPr>
            <w:r>
              <w:rPr>
                <w:rFonts w:ascii="仿宋_GB2312" w:hAnsi="仿宋_GB2312" w:cs="仿宋_GB2312" w:eastAsia="仿宋_GB2312"/>
              </w:rPr>
              <w:t>投标人针对本项目提供的项目整体服务及策划方案，内容包括但不限于：①项目的背景；②项目的难点和重点；③工作流程；④技术标准；⑤实施方法等。 评标专家根据投标人提供的方案进行评分：方案中包含以上要求满足的全部内容，且上述内容完整、条理清晰，针对实际情况，考虑问题周全的得20分，每缺少一项扣4分，一项有缺陷扣2分，扣完为止。本项满分20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管理组织方案</w:t>
            </w:r>
          </w:p>
        </w:tc>
        <w:tc>
          <w:tcPr>
            <w:tcW w:type="dxa" w:w="2492"/>
          </w:tcPr>
          <w:p>
            <w:pPr>
              <w:pStyle w:val="null3"/>
              <w:jc w:val="left"/>
            </w:pPr>
            <w:r>
              <w:rPr>
                <w:rFonts w:ascii="仿宋_GB2312" w:hAnsi="仿宋_GB2312" w:cs="仿宋_GB2312" w:eastAsia="仿宋_GB2312"/>
              </w:rPr>
              <w:t>投标人针对本项目提供的管理组织方案，内容包括但不限于：①管理组织机构；②管理制度；③人员配置；④职责分工等。 评标专家根据投标人提供的方案进行评分：方案中包含以上要求满足的全部内容，且上述内容完整、条理清晰，针对实际情况，考虑问题周全的得12分，每缺少一项扣3分，一项有缺陷扣1.5分，扣完为止。本项满分12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保密方案</w:t>
            </w:r>
          </w:p>
        </w:tc>
        <w:tc>
          <w:tcPr>
            <w:tcW w:type="dxa" w:w="2492"/>
          </w:tcPr>
          <w:p>
            <w:pPr>
              <w:pStyle w:val="null3"/>
              <w:jc w:val="left"/>
            </w:pPr>
            <w:r>
              <w:rPr>
                <w:rFonts w:ascii="仿宋_GB2312" w:hAnsi="仿宋_GB2312" w:cs="仿宋_GB2312" w:eastAsia="仿宋_GB2312"/>
              </w:rPr>
              <w:t>投标人针对本项目提供的保密方案，内容包括但不限于：①测绘成果保密制度；②保密人员安排；③保密方案等。 评标专家根据投标人提供的方案进行评分：方案中包含以上要求满足的全部内容，且上述内容完整、条理清晰，针对实际情况，考虑问题周全的得6分，每缺少一项扣2分，一项有缺陷扣1分，扣完为止。本项满分6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进度、质量保障方案</w:t>
            </w:r>
          </w:p>
        </w:tc>
        <w:tc>
          <w:tcPr>
            <w:tcW w:type="dxa" w:w="2492"/>
          </w:tcPr>
          <w:p>
            <w:pPr>
              <w:pStyle w:val="null3"/>
              <w:jc w:val="left"/>
            </w:pPr>
            <w:r>
              <w:rPr>
                <w:rFonts w:ascii="仿宋_GB2312" w:hAnsi="仿宋_GB2312" w:cs="仿宋_GB2312" w:eastAsia="仿宋_GB2312"/>
              </w:rPr>
              <w:t>投标人针对本项目提供的进度、质量保障方案，内容包括但不限于：①进度管理；②进度保障措施；③质量管理制度；④质量保障措施；⑤风险管理等。 评标专家根据投标人提供的方案进行评分：方案中包含以上要求满足的全部内容，且上述内容完整、条理清晰，针对实际情况，考虑问题周全的得12分，每缺少一项扣2.4分，一项有缺陷扣1.2分，扣完为止。本项满分12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服务方案</w:t>
            </w:r>
          </w:p>
        </w:tc>
        <w:tc>
          <w:tcPr>
            <w:tcW w:type="dxa" w:w="2492"/>
          </w:tcPr>
          <w:p>
            <w:pPr>
              <w:pStyle w:val="null3"/>
              <w:jc w:val="left"/>
            </w:pPr>
            <w:r>
              <w:rPr>
                <w:rFonts w:ascii="仿宋_GB2312" w:hAnsi="仿宋_GB2312" w:cs="仿宋_GB2312" w:eastAsia="仿宋_GB2312"/>
              </w:rPr>
              <w:t>投标人针对本项目提供的服务方案，内容包括但不限于：①服务机构设置；②后续服务内容及范围；③后续服务人员配置；④后续服务响应时间等。 评标专家根据投标人提供的方案进行评分：方案中包含以上要求满足的全部内容，且上述内容完整、条理清晰，针对实际情况，考虑问题周全的得10分，每缺少一项扣2.5分，一项有缺陷扣1.25分，扣完为止。本项满分10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供应商自2022年1月1日至今承揽过国土变更调查、测绘类相关业绩，每提供一个得 1分；最多得 10 分。证明材料：提供相关合同关键页复印件或中标（成交）通知书复印件并加盖公章，不提供不得分。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人员团队1</w:t>
            </w:r>
          </w:p>
        </w:tc>
        <w:tc>
          <w:tcPr>
            <w:tcW w:type="dxa" w:w="2492"/>
          </w:tcPr>
          <w:p>
            <w:pPr>
              <w:pStyle w:val="null3"/>
              <w:jc w:val="left"/>
            </w:pPr>
            <w:r>
              <w:rPr>
                <w:rFonts w:ascii="仿宋_GB2312" w:hAnsi="仿宋_GB2312" w:cs="仿宋_GB2312" w:eastAsia="仿宋_GB2312"/>
              </w:rPr>
              <w:t>（1）供应商拟投入项目总负责人具有国土或测绘类正高级工程师职称的，得3分。 证明材料：以上人员不重复得分（如1人多证，不重复得分），拟投入人员须提供相关证书复印件和2024年1月1日以来任意一个月社保缴纳证明并加盖公章，不提供不得分。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人员团队2</w:t>
            </w:r>
          </w:p>
        </w:tc>
        <w:tc>
          <w:tcPr>
            <w:tcW w:type="dxa" w:w="2492"/>
          </w:tcPr>
          <w:p>
            <w:pPr>
              <w:pStyle w:val="null3"/>
              <w:jc w:val="left"/>
            </w:pPr>
            <w:r>
              <w:rPr>
                <w:rFonts w:ascii="仿宋_GB2312" w:hAnsi="仿宋_GB2312" w:cs="仿宋_GB2312" w:eastAsia="仿宋_GB2312"/>
              </w:rPr>
              <w:t>（2）供应商拟投入项目技术负责人具有国土或测绘类高级工程师职称或注册测绘师的得2分。 证明材料：以上人员不重复得分（如1人多证，不重复得分），拟投入人员须提供相关证书复印件和2024年1月1日以来任意一个月社保缴纳证明并加盖公章，不提供不得分。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人员团队3</w:t>
            </w:r>
          </w:p>
        </w:tc>
        <w:tc>
          <w:tcPr>
            <w:tcW w:type="dxa" w:w="2492"/>
          </w:tcPr>
          <w:p>
            <w:pPr>
              <w:pStyle w:val="null3"/>
              <w:jc w:val="left"/>
            </w:pPr>
            <w:r>
              <w:rPr>
                <w:rFonts w:ascii="仿宋_GB2312" w:hAnsi="仿宋_GB2312" w:cs="仿宋_GB2312" w:eastAsia="仿宋_GB2312"/>
              </w:rPr>
              <w:t>（3）供应商拟投入项目组人员（除项目总负责人及项目技术负责人外）具有国土或测绘类中级工程师职称或以上工程师职称，每提供1人得2分，最多得6分。 证明材料：以上人员不重复得分（如1人多证，不重复得分），拟投入人员须提供相关证书复印件和2024年1月1日以来任意一个月社保缴纳证明并加盖公章，不提供不得分。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人员团队4</w:t>
            </w:r>
          </w:p>
        </w:tc>
        <w:tc>
          <w:tcPr>
            <w:tcW w:type="dxa" w:w="2492"/>
          </w:tcPr>
          <w:p>
            <w:pPr>
              <w:pStyle w:val="null3"/>
              <w:jc w:val="left"/>
            </w:pPr>
            <w:r>
              <w:rPr>
                <w:rFonts w:ascii="仿宋_GB2312" w:hAnsi="仿宋_GB2312" w:cs="仿宋_GB2312" w:eastAsia="仿宋_GB2312"/>
              </w:rPr>
              <w:t>（4）供应商拟投入项目组人员（除项目总负责人及项目技术负责人外）具有助理工程师职称，每提供1人得1分，最多得4分。 证明材料：以上人员不重复得分（如1人多证，不重复得分），拟投入人员须提供相关证书复印件和2024年1月1日以来任意一个月社保缴纳证明并加盖公章，不提供不得分。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人员团队5</w:t>
            </w:r>
          </w:p>
        </w:tc>
        <w:tc>
          <w:tcPr>
            <w:tcW w:type="dxa" w:w="2492"/>
          </w:tcPr>
          <w:p>
            <w:pPr>
              <w:pStyle w:val="null3"/>
              <w:jc w:val="left"/>
            </w:pPr>
            <w:r>
              <w:rPr>
                <w:rFonts w:ascii="仿宋_GB2312" w:hAnsi="仿宋_GB2312" w:cs="仿宋_GB2312" w:eastAsia="仿宋_GB2312"/>
              </w:rPr>
              <w:t>（5）供应商拟投入项目组人员（除项目总负责人及项目技术负责人外）具有有效期内的地理信息安全保密培训相关证书，每提供1个得1分，最多得5分。 证明材料：以上人员不重复得分（如1人多证，不重复得分），拟投入人员须提供相关证书复印件和2024年1月1日以来任意一个月社保缴纳证明并加盖公章，不提供不得分。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HNYH2025-0102</w:t>
      </w:r>
    </w:p>
    <w:p>
      <w:pPr>
        <w:pStyle w:val="null3"/>
        <w:jc w:val="left"/>
      </w:pPr>
      <w:r>
        <w:rPr>
          <w:rFonts w:ascii="仿宋_GB2312" w:hAnsi="仿宋_GB2312" w:cs="仿宋_GB2312" w:eastAsia="仿宋_GB2312"/>
        </w:rPr>
        <w:t>项目名称：</w:t>
      </w:r>
      <w:r>
        <w:rPr>
          <w:rFonts w:ascii="仿宋_GB2312" w:hAnsi="仿宋_GB2312" w:cs="仿宋_GB2312" w:eastAsia="仿宋_GB2312"/>
        </w:rPr>
        <w:t>儋州市2024年度国土变更调查（日常变更）工作</w:t>
      </w:r>
    </w:p>
    <w:p>
      <w:pPr>
        <w:pStyle w:val="null3"/>
        <w:jc w:val="left"/>
      </w:pPr>
      <w:r>
        <w:rPr>
          <w:rFonts w:ascii="仿宋_GB2312" w:hAnsi="仿宋_GB2312" w:cs="仿宋_GB2312" w:eastAsia="仿宋_GB2312"/>
        </w:rPr>
        <w:t>采购包：</w:t>
      </w:r>
      <w:r>
        <w:rPr>
          <w:rFonts w:ascii="仿宋_GB2312" w:hAnsi="仿宋_GB2312" w:cs="仿宋_GB2312" w:eastAsia="仿宋_GB2312"/>
        </w:rPr>
        <w:t>儋州市2024年度国土变更调查（日常变更）工作</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2500000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详见附件：不接受联合体投标的承诺函</w:t>
      </w:r>
    </w:p>
    <w:p>
      <w:pPr>
        <w:pStyle w:val="null3"/>
        <w:ind w:firstLine="960"/>
        <w:jc w:val="left"/>
      </w:pPr>
      <w:r>
        <w:rPr>
          <w:rFonts w:ascii="仿宋_GB2312" w:hAnsi="仿宋_GB2312" w:cs="仿宋_GB2312" w:eastAsia="仿宋_GB2312"/>
        </w:rPr>
        <w:t>详见附件：符合法律、行政法规规定的其他条件的承诺函</w:t>
      </w:r>
    </w:p>
    <w:p>
      <w:pPr>
        <w:pStyle w:val="null3"/>
        <w:ind w:firstLine="960"/>
        <w:jc w:val="left"/>
      </w:pPr>
      <w:r>
        <w:rPr>
          <w:rFonts w:ascii="仿宋_GB2312" w:hAnsi="仿宋_GB2312" w:cs="仿宋_GB2312" w:eastAsia="仿宋_GB2312"/>
        </w:rPr>
        <w:t>详见附件：磋商有效期承诺函</w:t>
      </w:r>
    </w:p>
    <w:p>
      <w:pPr>
        <w:pStyle w:val="null3"/>
        <w:ind w:firstLine="960"/>
        <w:jc w:val="left"/>
      </w:pPr>
      <w:r>
        <w:rPr>
          <w:rFonts w:ascii="仿宋_GB2312" w:hAnsi="仿宋_GB2312" w:cs="仿宋_GB2312" w:eastAsia="仿宋_GB2312"/>
        </w:rPr>
        <w:t>详见附件：无不良信用记录承诺函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