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2025年三亚市崖州区农村义务教育学生营养改善计划（食堂供餐项目）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HNZM-20250722</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三亚市崖州区教育局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海南中明永盛项目管理有限公司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三亚市崖州区教育局</w:t>
      </w:r>
      <w:r>
        <w:rPr>
          <w:rFonts w:ascii="仿宋_GB2312" w:hAnsi="仿宋_GB2312" w:cs="仿宋_GB2312" w:eastAsia="仿宋_GB2312"/>
        </w:rPr>
        <w:t xml:space="preserve"> 委托， </w:t>
      </w:r>
      <w:r>
        <w:rPr>
          <w:rFonts w:ascii="仿宋_GB2312" w:hAnsi="仿宋_GB2312" w:cs="仿宋_GB2312" w:eastAsia="仿宋_GB2312"/>
        </w:rPr>
        <w:t>海南中明永盛项目管理有限公司</w:t>
      </w:r>
      <w:r>
        <w:rPr>
          <w:rFonts w:ascii="仿宋_GB2312" w:hAnsi="仿宋_GB2312" w:cs="仿宋_GB2312" w:eastAsia="仿宋_GB2312"/>
        </w:rPr>
        <w:t xml:space="preserve"> 对 </w:t>
      </w:r>
      <w:r>
        <w:rPr>
          <w:rFonts w:ascii="仿宋_GB2312" w:hAnsi="仿宋_GB2312" w:cs="仿宋_GB2312" w:eastAsia="仿宋_GB2312"/>
        </w:rPr>
        <w:t>2025年三亚市崖州区农村义务教育学生营养改善计划（食堂供餐项目）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HNZM-20250722</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2025年三亚市崖州区农村义务教育学生营养改善计划（食堂供餐项目）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3,730,000.00元</w:t>
      </w:r>
      <w:r>
        <w:rPr>
          <w:rFonts w:ascii="仿宋_GB2312" w:hAnsi="仿宋_GB2312" w:cs="仿宋_GB2312" w:eastAsia="仿宋_GB2312"/>
        </w:rPr>
        <w:t>叁佰柒拾叁万元整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合同签订后1年（预计供餐200天，以实际供应时间为准）</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未发生过食品安全事故、无环保类行政处罚记录：参加政府采购活动前三年内（2022年1月1日起至今，成立不满三年的自公司成立之日起算），未发生过食品安全事故、无环保类行政处罚记录声明函（提供声明函）</w:t>
      </w:r>
    </w:p>
    <w:p>
      <w:pPr>
        <w:pStyle w:val="null3"/>
        <w:jc w:val="left"/>
      </w:pPr>
      <w:r>
        <w:rPr>
          <w:rFonts w:ascii="仿宋_GB2312" w:hAnsi="仿宋_GB2312" w:cs="仿宋_GB2312" w:eastAsia="仿宋_GB2312"/>
        </w:rPr>
        <w:t>2、具有有效的食品经营许可证：具有有效的食品经营许可证（提供有效的食品经营许可证）</w:t>
      </w:r>
    </w:p>
    <w:p>
      <w:pPr>
        <w:pStyle w:val="null3"/>
        <w:jc w:val="left"/>
      </w:pPr>
      <w:r>
        <w:rPr>
          <w:rFonts w:ascii="仿宋_GB2312" w:hAnsi="仿宋_GB2312" w:cs="仿宋_GB2312" w:eastAsia="仿宋_GB2312"/>
        </w:rPr>
        <w:t>3、提供政府采购供应商信用承诺书：提供政府采购供应商信用承诺书</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1.请投标人（供应商）详阅本文件中《政府采购电子招标投标活动须知》，并自行在海南省政府采购智慧云平台-下载专区查看相应的系统操作指南，严格按照操作指南要求进行系统操作。 2.有关本项目招标文件的补遗、澄清及变更信息以上述网站公告与下载为准，采购代理机构不再另行通知，招标文件与更正公告的内容相互矛盾时，以最后发出的更正公告内容为准 。3.本项目为远程不见面方式（供应商无需到现场）。 4.根据《三亚市人民政府办公室关于印发&lt;三亚市创建一流营商环境2021年实施方案&gt;的通知》（三府办〔2021〕44号）和《三亚市金融发展局关于印发&lt;创建一流营商环境“获得信贷”指标2021年专项行动方案&gt;的通知》，三亚市在探索开展“政采贷”业务，中标或成交供应商可凭借与采购单位签订的政府采购合同向开展政府采购合同融资业务的银行的公司业务部申请信用贷款。</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三亚市崖州区教育局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海南省三亚市崖州区琼粤科技城职工服务中心四楼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572024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0898-88823053</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海南中明永盛项目管理有限公司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海南省海口市龙华区面前坡路3号冠盛天泽园3号楼1单元601房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0898-66733281</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采购包1：3,730,000.00元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投标截止时间届满后90日历天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代理服务费收费标准：参照《招标代理服务收费管理暂行办法》(计价格[2002]1980号)优惠收取代理服务费，即人民币:壹万柒仟叁佰壹拾肆元整(￥17314.00元)</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（1）本次采购标的所属行业为批发业。（2）本项目投标报价方式采用固定报价方式，即投标单价须为5.00元，投标总价须为3730000.00元，其余报价均为无效报价，按无效投标处理。</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联系人：陈工</w:t>
      </w:r>
    </w:p>
    <w:p>
      <w:pPr>
        <w:pStyle w:val="null3"/>
        <w:jc w:val="left"/>
      </w:pPr>
      <w:r>
        <w:rPr>
          <w:rFonts w:ascii="仿宋_GB2312" w:hAnsi="仿宋_GB2312" w:cs="仿宋_GB2312" w:eastAsia="仿宋_GB2312"/>
        </w:rPr>
        <w:t>联系电话：0898-66733281</w:t>
      </w:r>
    </w:p>
    <w:p>
      <w:pPr>
        <w:pStyle w:val="null3"/>
        <w:jc w:val="left"/>
      </w:pPr>
      <w:r>
        <w:rPr>
          <w:rFonts w:ascii="仿宋_GB2312" w:hAnsi="仿宋_GB2312" w:cs="仿宋_GB2312" w:eastAsia="仿宋_GB2312"/>
        </w:rPr>
        <w:t>地址：海南省海口市龙华区面前坡路3号冠盛天泽园3号楼1单元601房</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32"/>
        </w:rPr>
        <w:t>保障所需食材的新鲜、健康与</w:t>
      </w:r>
      <w:r>
        <w:rPr>
          <w:rFonts w:ascii="仿宋_GB2312" w:hAnsi="仿宋_GB2312" w:cs="仿宋_GB2312" w:eastAsia="仿宋_GB2312"/>
          <w:sz w:val="32"/>
        </w:rPr>
        <w:t>供应</w:t>
      </w:r>
      <w:r>
        <w:rPr>
          <w:rFonts w:ascii="仿宋_GB2312" w:hAnsi="仿宋_GB2312" w:cs="仿宋_GB2312" w:eastAsia="仿宋_GB2312"/>
          <w:sz w:val="32"/>
        </w:rPr>
        <w:t>。</w:t>
      </w:r>
      <w:r>
        <w:rPr>
          <w:rFonts w:ascii="仿宋_GB2312" w:hAnsi="仿宋_GB2312" w:cs="仿宋_GB2312" w:eastAsia="仿宋_GB2312"/>
          <w:sz w:val="32"/>
        </w:rPr>
        <w:t xml:space="preserve"> </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3,730,000.00</w:t>
      </w:r>
    </w:p>
    <w:p>
      <w:pPr>
        <w:pStyle w:val="null3"/>
        <w:jc w:val="left"/>
      </w:pPr>
      <w:r>
        <w:rPr>
          <w:rFonts w:ascii="仿宋_GB2312" w:hAnsi="仿宋_GB2312" w:cs="仿宋_GB2312" w:eastAsia="仿宋_GB2312"/>
        </w:rPr>
        <w:t>采购包最高限价（元）: 3,730,000.00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2025年三亚市崖州区农村义务教育学生营养改善计划（食堂供餐项目）</w:t>
            </w:r>
          </w:p>
        </w:tc>
        <w:tc>
          <w:tcPr>
            <w:tcW w:type="dxa" w:w="831"/>
          </w:tcPr>
          <w:p>
            <w:pPr>
              <w:pStyle w:val="null3"/>
              <w:jc w:val="right"/>
            </w:pPr>
            <w:r>
              <w:rPr>
                <w:rFonts w:ascii="仿宋_GB2312" w:hAnsi="仿宋_GB2312" w:cs="仿宋_GB2312" w:eastAsia="仿宋_GB2312"/>
              </w:rPr>
              <w:t>746,000.00</w:t>
            </w:r>
          </w:p>
        </w:tc>
        <w:tc>
          <w:tcPr>
            <w:tcW w:type="dxa" w:w="831"/>
          </w:tcPr>
          <w:p>
            <w:pPr>
              <w:pStyle w:val="null3"/>
              <w:jc w:val="right"/>
            </w:pPr>
            <w:r>
              <w:rPr>
                <w:rFonts w:ascii="仿宋_GB2312" w:hAnsi="仿宋_GB2312" w:cs="仿宋_GB2312" w:eastAsia="仿宋_GB2312"/>
              </w:rPr>
              <w:t>3,730,000.00</w:t>
            </w:r>
          </w:p>
        </w:tc>
        <w:tc>
          <w:tcPr>
            <w:tcW w:type="dxa" w:w="831"/>
          </w:tcPr>
          <w:p>
            <w:pPr>
              <w:pStyle w:val="null3"/>
              <w:jc w:val="left"/>
            </w:pPr>
            <w:r>
              <w:rPr>
                <w:rFonts w:ascii="仿宋_GB2312" w:hAnsi="仿宋_GB2312" w:cs="仿宋_GB2312" w:eastAsia="仿宋_GB2312"/>
              </w:rPr>
              <w:t>份</w:t>
            </w:r>
          </w:p>
        </w:tc>
        <w:tc>
          <w:tcPr>
            <w:tcW w:type="dxa" w:w="831"/>
          </w:tcPr>
          <w:p>
            <w:pPr>
              <w:pStyle w:val="null3"/>
              <w:jc w:val="left"/>
            </w:pPr>
            <w:r>
              <w:rPr>
                <w:rFonts w:ascii="仿宋_GB2312" w:hAnsi="仿宋_GB2312" w:cs="仿宋_GB2312" w:eastAsia="仿宋_GB2312"/>
              </w:rPr>
              <w:t>批发业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2025年三亚市崖州区农村义务教育学生营养改善计划（食堂供餐项目）</w:t>
            </w:r>
          </w:p>
        </w:tc>
        <w:tc>
          <w:tcPr>
            <w:tcW w:type="dxa" w:w="554"/>
          </w:tcPr>
          <w:p>
            <w:pPr>
              <w:pStyle w:val="null3"/>
              <w:jc w:val="left"/>
            </w:pPr>
            <w:r>
              <w:rPr>
                <w:rFonts w:ascii="仿宋_GB2312" w:hAnsi="仿宋_GB2312" w:cs="仿宋_GB2312" w:eastAsia="仿宋_GB2312"/>
              </w:rPr>
              <w:t>份</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3,730,000.00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标的名称：2025年三亚市崖州区农村义务教育学生营养改善计划（食堂供餐项目）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ind w:firstLine="612"/>
              <w:jc w:val="both"/>
            </w:pPr>
            <w:r>
              <w:rPr>
                <w:rFonts w:ascii="仿宋_GB2312" w:hAnsi="仿宋_GB2312" w:cs="仿宋_GB2312" w:eastAsia="仿宋_GB2312"/>
                <w:sz w:val="32"/>
              </w:rPr>
              <w:t>一、项目概况</w:t>
            </w:r>
          </w:p>
          <w:p>
            <w:pPr>
              <w:pStyle w:val="null3"/>
              <w:ind w:firstLine="624"/>
              <w:jc w:val="both"/>
            </w:pPr>
            <w:r>
              <w:rPr>
                <w:rFonts w:ascii="仿宋_GB2312" w:hAnsi="仿宋_GB2312" w:cs="仿宋_GB2312" w:eastAsia="仿宋_GB2312"/>
                <w:sz w:val="32"/>
              </w:rPr>
              <w:t>（一）项目名称：</w:t>
            </w:r>
            <w:r>
              <w:rPr>
                <w:rFonts w:ascii="仿宋_GB2312" w:hAnsi="仿宋_GB2312" w:cs="仿宋_GB2312" w:eastAsia="仿宋_GB2312"/>
                <w:sz w:val="32"/>
              </w:rPr>
              <w:t>2025年三亚市崖州区农村义务教育学生营养改善计划（食堂供餐项目）</w:t>
            </w:r>
          </w:p>
          <w:p>
            <w:pPr>
              <w:pStyle w:val="null3"/>
              <w:ind w:firstLine="624"/>
              <w:jc w:val="both"/>
            </w:pPr>
            <w:r>
              <w:rPr>
                <w:rFonts w:ascii="仿宋_GB2312" w:hAnsi="仿宋_GB2312" w:cs="仿宋_GB2312" w:eastAsia="仿宋_GB2312"/>
                <w:sz w:val="32"/>
              </w:rPr>
              <w:t>（二）</w:t>
            </w:r>
            <w:r>
              <w:rPr>
                <w:rFonts w:ascii="仿宋_GB2312" w:hAnsi="仿宋_GB2312" w:cs="仿宋_GB2312" w:eastAsia="仿宋_GB2312"/>
                <w:sz w:val="32"/>
              </w:rPr>
              <w:t>预算金额：</w:t>
            </w:r>
            <w:r>
              <w:rPr>
                <w:rFonts w:ascii="仿宋_GB2312" w:hAnsi="仿宋_GB2312" w:cs="仿宋_GB2312" w:eastAsia="仿宋_GB2312"/>
                <w:sz w:val="32"/>
              </w:rPr>
              <w:t>373</w:t>
            </w:r>
            <w:r>
              <w:rPr>
                <w:rFonts w:ascii="仿宋_GB2312" w:hAnsi="仿宋_GB2312" w:cs="仿宋_GB2312" w:eastAsia="仿宋_GB2312"/>
                <w:sz w:val="32"/>
              </w:rPr>
              <w:t>万元</w:t>
            </w:r>
            <w:r>
              <w:rPr>
                <w:rFonts w:ascii="仿宋_GB2312" w:hAnsi="仿宋_GB2312" w:cs="仿宋_GB2312" w:eastAsia="仿宋_GB2312"/>
                <w:sz w:val="32"/>
              </w:rPr>
              <w:t>（预计</w:t>
            </w:r>
            <w:r>
              <w:rPr>
                <w:rFonts w:ascii="仿宋_GB2312" w:hAnsi="仿宋_GB2312" w:cs="仿宋_GB2312" w:eastAsia="仿宋_GB2312"/>
                <w:sz w:val="32"/>
              </w:rPr>
              <w:t>200天，以实际供餐天数为准</w:t>
            </w:r>
            <w:r>
              <w:rPr>
                <w:rFonts w:ascii="仿宋_GB2312" w:hAnsi="仿宋_GB2312" w:cs="仿宋_GB2312" w:eastAsia="仿宋_GB2312"/>
                <w:sz w:val="32"/>
              </w:rPr>
              <w:t>每天</w:t>
            </w:r>
            <w:r>
              <w:rPr>
                <w:rFonts w:ascii="仿宋_GB2312" w:hAnsi="仿宋_GB2312" w:cs="仿宋_GB2312" w:eastAsia="仿宋_GB2312"/>
                <w:sz w:val="32"/>
              </w:rPr>
              <w:t>5</w:t>
            </w:r>
            <w:r>
              <w:rPr>
                <w:rFonts w:ascii="仿宋_GB2312" w:hAnsi="仿宋_GB2312" w:cs="仿宋_GB2312" w:eastAsia="仿宋_GB2312"/>
                <w:sz w:val="32"/>
              </w:rPr>
              <w:t>元</w:t>
            </w:r>
            <w:r>
              <w:rPr>
                <w:rFonts w:ascii="仿宋_GB2312" w:hAnsi="仿宋_GB2312" w:cs="仿宋_GB2312" w:eastAsia="仿宋_GB2312"/>
                <w:sz w:val="32"/>
              </w:rPr>
              <w:t>的标准进</w:t>
            </w:r>
            <w:r>
              <w:rPr>
                <w:rFonts w:ascii="仿宋_GB2312" w:hAnsi="仿宋_GB2312" w:cs="仿宋_GB2312" w:eastAsia="仿宋_GB2312"/>
                <w:sz w:val="32"/>
              </w:rPr>
              <w:t>行补助</w:t>
            </w:r>
            <w:r>
              <w:rPr>
                <w:rFonts w:ascii="仿宋_GB2312" w:hAnsi="仿宋_GB2312" w:cs="仿宋_GB2312" w:eastAsia="仿宋_GB2312"/>
                <w:sz w:val="32"/>
              </w:rPr>
              <w:t>），</w:t>
            </w:r>
            <w:r>
              <w:rPr>
                <w:rFonts w:ascii="仿宋_GB2312" w:hAnsi="仿宋_GB2312" w:cs="仿宋_GB2312" w:eastAsia="仿宋_GB2312"/>
                <w:sz w:val="32"/>
                <w:color w:val="000000"/>
              </w:rPr>
              <w:t>本项目投标报价</w:t>
            </w:r>
            <w:r>
              <w:rPr>
                <w:rFonts w:ascii="仿宋_GB2312" w:hAnsi="仿宋_GB2312" w:cs="仿宋_GB2312" w:eastAsia="仿宋_GB2312"/>
                <w:sz w:val="32"/>
                <w:color w:val="000000"/>
              </w:rPr>
              <w:t>方式采用固定报价方式</w:t>
            </w:r>
            <w:r>
              <w:rPr>
                <w:rFonts w:ascii="仿宋_GB2312" w:hAnsi="仿宋_GB2312" w:cs="仿宋_GB2312" w:eastAsia="仿宋_GB2312"/>
                <w:sz w:val="32"/>
                <w:color w:val="000000"/>
              </w:rPr>
              <w:t>，</w:t>
            </w:r>
            <w:r>
              <w:rPr>
                <w:rFonts w:ascii="仿宋_GB2312" w:hAnsi="仿宋_GB2312" w:cs="仿宋_GB2312" w:eastAsia="仿宋_GB2312"/>
                <w:sz w:val="32"/>
                <w:color w:val="000000"/>
              </w:rPr>
              <w:t>即</w:t>
            </w:r>
            <w:r>
              <w:rPr>
                <w:rFonts w:ascii="仿宋_GB2312" w:hAnsi="仿宋_GB2312" w:cs="仿宋_GB2312" w:eastAsia="仿宋_GB2312"/>
                <w:sz w:val="32"/>
                <w:color w:val="000000"/>
              </w:rPr>
              <w:t>投标</w:t>
            </w:r>
            <w:r>
              <w:rPr>
                <w:rFonts w:ascii="仿宋_GB2312" w:hAnsi="仿宋_GB2312" w:cs="仿宋_GB2312" w:eastAsia="仿宋_GB2312"/>
                <w:sz w:val="32"/>
                <w:color w:val="000000"/>
              </w:rPr>
              <w:t>单价须为</w:t>
            </w:r>
            <w:r>
              <w:rPr>
                <w:rFonts w:ascii="仿宋_GB2312" w:hAnsi="仿宋_GB2312" w:cs="仿宋_GB2312" w:eastAsia="仿宋_GB2312"/>
                <w:sz w:val="32"/>
                <w:color w:val="000000"/>
              </w:rPr>
              <w:t>5.00元，投标总价须为3730000.00元，</w:t>
            </w:r>
            <w:r>
              <w:rPr>
                <w:rFonts w:ascii="仿宋_GB2312" w:hAnsi="仿宋_GB2312" w:cs="仿宋_GB2312" w:eastAsia="仿宋_GB2312"/>
                <w:sz w:val="32"/>
                <w:color w:val="000000"/>
              </w:rPr>
              <w:t>其余报价均为无效</w:t>
            </w:r>
            <w:r>
              <w:rPr>
                <w:rFonts w:ascii="仿宋_GB2312" w:hAnsi="仿宋_GB2312" w:cs="仿宋_GB2312" w:eastAsia="仿宋_GB2312"/>
                <w:sz w:val="32"/>
                <w:color w:val="000000"/>
              </w:rPr>
              <w:t>报价</w:t>
            </w:r>
            <w:r>
              <w:rPr>
                <w:rFonts w:ascii="仿宋_GB2312" w:hAnsi="仿宋_GB2312" w:cs="仿宋_GB2312" w:eastAsia="仿宋_GB2312"/>
                <w:sz w:val="32"/>
                <w:color w:val="000000"/>
              </w:rPr>
              <w:t>，</w:t>
            </w:r>
            <w:r>
              <w:rPr>
                <w:rFonts w:ascii="仿宋_GB2312" w:hAnsi="仿宋_GB2312" w:cs="仿宋_GB2312" w:eastAsia="仿宋_GB2312"/>
                <w:sz w:val="32"/>
              </w:rPr>
              <w:t>按无效投标处理。</w:t>
            </w:r>
          </w:p>
          <w:p>
            <w:pPr>
              <w:pStyle w:val="null3"/>
              <w:ind w:firstLine="612"/>
              <w:jc w:val="both"/>
            </w:pPr>
            <w:r>
              <w:rPr>
                <w:rFonts w:ascii="仿宋_GB2312" w:hAnsi="仿宋_GB2312" w:cs="仿宋_GB2312" w:eastAsia="仿宋_GB2312"/>
                <w:sz w:val="32"/>
              </w:rPr>
              <w:t>二、采购内容</w:t>
            </w:r>
          </w:p>
          <w:p>
            <w:pPr>
              <w:pStyle w:val="null3"/>
              <w:ind w:firstLine="612"/>
              <w:jc w:val="both"/>
            </w:pPr>
            <w:r>
              <w:rPr>
                <w:rFonts w:ascii="仿宋_GB2312" w:hAnsi="仿宋_GB2312" w:cs="仿宋_GB2312" w:eastAsia="仿宋_GB2312"/>
                <w:sz w:val="32"/>
              </w:rPr>
              <w:t>1.</w:t>
            </w:r>
            <w:r>
              <w:rPr>
                <w:rFonts w:ascii="仿宋_GB2312" w:hAnsi="仿宋_GB2312" w:cs="仿宋_GB2312" w:eastAsia="仿宋_GB2312"/>
                <w:sz w:val="32"/>
              </w:rPr>
              <w:t>梅山中学</w:t>
            </w:r>
            <w:r>
              <w:rPr>
                <w:rFonts w:ascii="仿宋_GB2312" w:hAnsi="仿宋_GB2312" w:cs="仿宋_GB2312" w:eastAsia="仿宋_GB2312"/>
                <w:sz w:val="32"/>
              </w:rPr>
              <w:t>、</w:t>
            </w:r>
            <w:r>
              <w:rPr>
                <w:rFonts w:ascii="仿宋_GB2312" w:hAnsi="仿宋_GB2312" w:cs="仿宋_GB2312" w:eastAsia="仿宋_GB2312"/>
                <w:sz w:val="32"/>
              </w:rPr>
              <w:t>保港中学</w:t>
            </w:r>
            <w:r>
              <w:rPr>
                <w:rFonts w:ascii="仿宋_GB2312" w:hAnsi="仿宋_GB2312" w:cs="仿宋_GB2312" w:eastAsia="仿宋_GB2312"/>
                <w:sz w:val="32"/>
              </w:rPr>
              <w:t>、</w:t>
            </w:r>
            <w:r>
              <w:rPr>
                <w:rFonts w:ascii="仿宋_GB2312" w:hAnsi="仿宋_GB2312" w:cs="仿宋_GB2312" w:eastAsia="仿宋_GB2312"/>
                <w:sz w:val="32"/>
              </w:rPr>
              <w:t>南滨中学、北岭小学</w:t>
            </w:r>
            <w:r>
              <w:rPr>
                <w:rFonts w:ascii="仿宋_GB2312" w:hAnsi="仿宋_GB2312" w:cs="仿宋_GB2312" w:eastAsia="仿宋_GB2312"/>
                <w:sz w:val="32"/>
              </w:rPr>
              <w:t>、</w:t>
            </w:r>
            <w:r>
              <w:rPr>
                <w:rFonts w:ascii="仿宋_GB2312" w:hAnsi="仿宋_GB2312" w:cs="仿宋_GB2312" w:eastAsia="仿宋_GB2312"/>
                <w:sz w:val="32"/>
              </w:rPr>
              <w:t>南山小学</w:t>
            </w:r>
            <w:r>
              <w:rPr>
                <w:rFonts w:ascii="仿宋_GB2312" w:hAnsi="仿宋_GB2312" w:cs="仿宋_GB2312" w:eastAsia="仿宋_GB2312"/>
                <w:sz w:val="32"/>
              </w:rPr>
              <w:t>、</w:t>
            </w:r>
            <w:r>
              <w:rPr>
                <w:rFonts w:ascii="仿宋_GB2312" w:hAnsi="仿宋_GB2312" w:cs="仿宋_GB2312" w:eastAsia="仿宋_GB2312"/>
                <w:sz w:val="32"/>
              </w:rPr>
              <w:t>城西小学</w:t>
            </w:r>
            <w:r>
              <w:rPr>
                <w:rFonts w:ascii="仿宋_GB2312" w:hAnsi="仿宋_GB2312" w:cs="仿宋_GB2312" w:eastAsia="仿宋_GB2312"/>
                <w:sz w:val="32"/>
              </w:rPr>
              <w:t>、</w:t>
            </w:r>
            <w:r>
              <w:rPr>
                <w:rFonts w:ascii="仿宋_GB2312" w:hAnsi="仿宋_GB2312" w:cs="仿宋_GB2312" w:eastAsia="仿宋_GB2312"/>
                <w:sz w:val="32"/>
              </w:rPr>
              <w:t>城东小学</w:t>
            </w:r>
            <w:r>
              <w:rPr>
                <w:rFonts w:ascii="仿宋_GB2312" w:hAnsi="仿宋_GB2312" w:cs="仿宋_GB2312" w:eastAsia="仿宋_GB2312"/>
                <w:sz w:val="32"/>
              </w:rPr>
              <w:t>、</w:t>
            </w:r>
            <w:r>
              <w:rPr>
                <w:rFonts w:ascii="仿宋_GB2312" w:hAnsi="仿宋_GB2312" w:cs="仿宋_GB2312" w:eastAsia="仿宋_GB2312"/>
                <w:sz w:val="32"/>
              </w:rPr>
              <w:t>水南小学</w:t>
            </w:r>
            <w:r>
              <w:rPr>
                <w:rFonts w:ascii="仿宋_GB2312" w:hAnsi="仿宋_GB2312" w:cs="仿宋_GB2312" w:eastAsia="仿宋_GB2312"/>
                <w:sz w:val="32"/>
              </w:rPr>
              <w:t>、</w:t>
            </w:r>
            <w:r>
              <w:rPr>
                <w:rFonts w:ascii="仿宋_GB2312" w:hAnsi="仿宋_GB2312" w:cs="仿宋_GB2312" w:eastAsia="仿宋_GB2312"/>
                <w:sz w:val="32"/>
              </w:rPr>
              <w:t>南滨小学、</w:t>
            </w:r>
            <w:r>
              <w:rPr>
                <w:rFonts w:ascii="仿宋_GB2312" w:hAnsi="仿宋_GB2312" w:cs="仿宋_GB2312" w:eastAsia="仿宋_GB2312"/>
                <w:sz w:val="32"/>
              </w:rPr>
              <w:t>共计</w:t>
            </w:r>
            <w:r>
              <w:rPr>
                <w:rFonts w:ascii="仿宋_GB2312" w:hAnsi="仿宋_GB2312" w:cs="仿宋_GB2312" w:eastAsia="仿宋_GB2312"/>
                <w:sz w:val="32"/>
              </w:rPr>
              <w:t>9</w:t>
            </w:r>
            <w:r>
              <w:rPr>
                <w:rFonts w:ascii="仿宋_GB2312" w:hAnsi="仿宋_GB2312" w:cs="仿宋_GB2312" w:eastAsia="仿宋_GB2312"/>
                <w:sz w:val="32"/>
              </w:rPr>
              <w:t>个</w:t>
            </w:r>
            <w:r>
              <w:rPr>
                <w:rFonts w:ascii="仿宋_GB2312" w:hAnsi="仿宋_GB2312" w:cs="仿宋_GB2312" w:eastAsia="仿宋_GB2312"/>
                <w:sz w:val="32"/>
              </w:rPr>
              <w:t>学校（具体人数以</w:t>
            </w:r>
            <w:r>
              <w:rPr>
                <w:rFonts w:ascii="仿宋_GB2312" w:hAnsi="仿宋_GB2312" w:cs="仿宋_GB2312" w:eastAsia="仿宋_GB2312"/>
                <w:sz w:val="32"/>
              </w:rPr>
              <w:t>202</w:t>
            </w:r>
            <w:r>
              <w:rPr>
                <w:rFonts w:ascii="仿宋_GB2312" w:hAnsi="仿宋_GB2312" w:cs="仿宋_GB2312" w:eastAsia="仿宋_GB2312"/>
                <w:sz w:val="32"/>
              </w:rPr>
              <w:t>5</w:t>
            </w:r>
            <w:r>
              <w:rPr>
                <w:rFonts w:ascii="仿宋_GB2312" w:hAnsi="仿宋_GB2312" w:cs="仿宋_GB2312" w:eastAsia="仿宋_GB2312"/>
                <w:sz w:val="32"/>
              </w:rPr>
              <w:t>年</w:t>
            </w:r>
            <w:r>
              <w:rPr>
                <w:rFonts w:ascii="仿宋_GB2312" w:hAnsi="仿宋_GB2312" w:cs="仿宋_GB2312" w:eastAsia="仿宋_GB2312"/>
                <w:sz w:val="32"/>
              </w:rPr>
              <w:t>9月秋季开学为准）。</w:t>
            </w:r>
          </w:p>
          <w:p>
            <w:pPr>
              <w:pStyle w:val="null3"/>
              <w:ind w:firstLine="584"/>
              <w:jc w:val="both"/>
            </w:pPr>
            <w:r>
              <w:rPr>
                <w:rFonts w:ascii="仿宋_GB2312" w:hAnsi="仿宋_GB2312" w:cs="仿宋_GB2312" w:eastAsia="仿宋_GB2312"/>
                <w:sz w:val="32"/>
              </w:rPr>
              <w:t>2.中标人与学校签订合同后，每月初学校根据上个月的在校人数、天数，填写好供餐学生情况登记表（校长、分管副校长、学校管理员签名后，加盖学校公章），按实际在校人数和天数进行结算，并核对乙方开具的发票后直接转账支付。</w:t>
            </w:r>
          </w:p>
          <w:p>
            <w:pPr>
              <w:pStyle w:val="null3"/>
              <w:ind w:firstLine="632"/>
              <w:jc w:val="both"/>
            </w:pPr>
            <w:r>
              <w:rPr>
                <w:rFonts w:ascii="仿宋_GB2312" w:hAnsi="仿宋_GB2312" w:cs="仿宋_GB2312" w:eastAsia="仿宋_GB2312"/>
                <w:sz w:val="32"/>
              </w:rPr>
              <w:t>3</w:t>
            </w:r>
            <w:r>
              <w:rPr>
                <w:rFonts w:ascii="仿宋_GB2312" w:hAnsi="仿宋_GB2312" w:cs="仿宋_GB2312" w:eastAsia="仿宋_GB2312"/>
                <w:sz w:val="32"/>
              </w:rPr>
              <w:t>.供餐标准：提供的食物可依据《海南省农村义务教育学生营养计划领导小</w:t>
            </w:r>
            <w:r>
              <w:rPr>
                <w:rFonts w:ascii="仿宋_GB2312" w:hAnsi="仿宋_GB2312" w:cs="仿宋_GB2312" w:eastAsia="仿宋_GB2312"/>
                <w:sz w:val="32"/>
              </w:rPr>
              <w:t>组办公室关于印发〈海南省农村义务教育学生营养改善计</w:t>
            </w:r>
            <w:r>
              <w:rPr>
                <w:rFonts w:ascii="仿宋_GB2312" w:hAnsi="仿宋_GB2312" w:cs="仿宋_GB2312" w:eastAsia="仿宋_GB2312"/>
                <w:sz w:val="32"/>
              </w:rPr>
              <w:t>划参考食谱</w:t>
            </w:r>
            <w:r>
              <w:rPr>
                <w:rFonts w:ascii="仿宋_GB2312" w:hAnsi="仿宋_GB2312" w:cs="仿宋_GB2312" w:eastAsia="仿宋_GB2312"/>
                <w:sz w:val="32"/>
              </w:rPr>
              <w:t>&gt;的通知》</w:t>
            </w:r>
            <w:r>
              <w:rPr>
                <w:rFonts w:ascii="仿宋_GB2312" w:hAnsi="仿宋_GB2312" w:cs="仿宋_GB2312" w:eastAsia="仿宋_GB2312"/>
                <w:sz w:val="32"/>
              </w:rPr>
              <w:t>（琼学生营养〔</w:t>
            </w:r>
            <w:r>
              <w:rPr>
                <w:rFonts w:ascii="仿宋_GB2312" w:hAnsi="仿宋_GB2312" w:cs="仿宋_GB2312" w:eastAsia="仿宋_GB2312"/>
                <w:sz w:val="32"/>
              </w:rPr>
              <w:t>2013〕17号）文件要求实施，将大宗食材、肉类、蔬菜类、蛋</w:t>
            </w:r>
            <w:r>
              <w:rPr>
                <w:rFonts w:ascii="仿宋_GB2312" w:hAnsi="仿宋_GB2312" w:cs="仿宋_GB2312" w:eastAsia="仿宋_GB2312"/>
                <w:sz w:val="32"/>
              </w:rPr>
              <w:t>类、鱼类等原材料统一招标，经招标程序确定供应企业。</w:t>
            </w:r>
            <w:r>
              <w:rPr>
                <w:rFonts w:ascii="仿宋_GB2312" w:hAnsi="仿宋_GB2312" w:cs="仿宋_GB2312" w:eastAsia="仿宋_GB2312"/>
                <w:sz w:val="32"/>
              </w:rPr>
              <w:t>同时，在食堂日常经营</w:t>
            </w:r>
            <w:r>
              <w:rPr>
                <w:rFonts w:ascii="仿宋_GB2312" w:hAnsi="仿宋_GB2312" w:cs="仿宋_GB2312" w:eastAsia="仿宋_GB2312"/>
                <w:sz w:val="32"/>
              </w:rPr>
              <w:t>中，每周需公布一周菜谱，原则上每天不同，每月征求学生、家长及陪餐老</w:t>
            </w:r>
            <w:r>
              <w:rPr>
                <w:rFonts w:ascii="仿宋_GB2312" w:hAnsi="仿宋_GB2312" w:cs="仿宋_GB2312" w:eastAsia="仿宋_GB2312"/>
                <w:sz w:val="32"/>
              </w:rPr>
              <w:t>师的</w:t>
            </w:r>
            <w:r>
              <w:rPr>
                <w:rFonts w:ascii="仿宋_GB2312" w:hAnsi="仿宋_GB2312" w:cs="仿宋_GB2312" w:eastAsia="仿宋_GB2312"/>
                <w:sz w:val="32"/>
              </w:rPr>
              <w:t>意见再进行调整。</w:t>
            </w:r>
          </w:p>
          <w:p>
            <w:pPr>
              <w:pStyle w:val="null3"/>
              <w:ind w:firstLine="632"/>
              <w:jc w:val="both"/>
            </w:pPr>
            <w:r>
              <w:rPr>
                <w:rFonts w:ascii="仿宋_GB2312" w:hAnsi="仿宋_GB2312" w:cs="仿宋_GB2312" w:eastAsia="仿宋_GB2312"/>
                <w:sz w:val="32"/>
              </w:rPr>
              <w:t>4</w:t>
            </w:r>
            <w:r>
              <w:rPr>
                <w:rFonts w:ascii="仿宋_GB2312" w:hAnsi="仿宋_GB2312" w:cs="仿宋_GB2312" w:eastAsia="仿宋_GB2312"/>
                <w:sz w:val="32"/>
              </w:rPr>
              <w:t>.每个月月底提供下一个月的供应采购品类产品种类的详细名称，肉类至少</w:t>
            </w:r>
            <w:r>
              <w:rPr>
                <w:rFonts w:ascii="仿宋_GB2312" w:hAnsi="仿宋_GB2312" w:cs="仿宋_GB2312" w:eastAsia="仿宋_GB2312"/>
                <w:sz w:val="32"/>
              </w:rPr>
              <w:t>提供</w:t>
            </w:r>
            <w:r>
              <w:rPr>
                <w:rFonts w:ascii="仿宋_GB2312" w:hAnsi="仿宋_GB2312" w:cs="仿宋_GB2312" w:eastAsia="仿宋_GB2312"/>
                <w:sz w:val="32"/>
              </w:rPr>
              <w:t>3样、水产品至少提供5样、蔬菜瓜果至少提供15样（含以</w:t>
            </w:r>
            <w:r>
              <w:rPr>
                <w:rFonts w:ascii="仿宋_GB2312" w:hAnsi="仿宋_GB2312" w:cs="仿宋_GB2312" w:eastAsia="仿宋_GB2312"/>
                <w:sz w:val="32"/>
              </w:rPr>
              <w:t>上）。</w:t>
            </w:r>
          </w:p>
          <w:p>
            <w:pPr>
              <w:pStyle w:val="null3"/>
              <w:ind w:firstLine="612"/>
              <w:jc w:val="both"/>
            </w:pPr>
            <w:r>
              <w:rPr>
                <w:rFonts w:ascii="仿宋_GB2312" w:hAnsi="仿宋_GB2312" w:cs="仿宋_GB2312" w:eastAsia="仿宋_GB2312"/>
                <w:sz w:val="32"/>
              </w:rPr>
              <w:t>5</w:t>
            </w:r>
            <w:r>
              <w:rPr>
                <w:rFonts w:ascii="仿宋_GB2312" w:hAnsi="仿宋_GB2312" w:cs="仿宋_GB2312" w:eastAsia="仿宋_GB2312"/>
                <w:sz w:val="32"/>
              </w:rPr>
              <w:t>.采购品类及要求：</w:t>
            </w:r>
          </w:p>
          <w:tbl>
            <w:tblPr>
              <w:tblInd w:type="dxa" w:w="135"/>
              <w:tblBorders>
                <w:top w:val="none" w:color="000000" w:sz="4"/>
                <w:left w:val="none" w:color="000000" w:sz="4"/>
                <w:bottom w:val="none" w:color="000000" w:sz="4"/>
                <w:right w:val="none" w:color="000000" w:sz="4"/>
                <w:insideH w:val="none"/>
                <w:insideV w:val="none"/>
              </w:tblBorders>
            </w:tblPr>
            <w:tblGrid>
              <w:gridCol w:w="344"/>
              <w:gridCol w:w="919"/>
              <w:gridCol w:w="689"/>
              <w:gridCol w:w="594"/>
            </w:tblGrid>
            <w:tr>
              <w:tc>
                <w:tcPr>
                  <w:tcW w:type="dxa" w:w="3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jc w:val="center"/>
                  </w:pPr>
                  <w:r>
                    <w:rPr>
                      <w:rFonts w:ascii="仿宋_GB2312" w:hAnsi="仿宋_GB2312" w:cs="仿宋_GB2312" w:eastAsia="仿宋_GB2312"/>
                      <w:sz w:val="24"/>
                      <w:b/>
                    </w:rPr>
                    <w:t>采购品类</w:t>
                  </w:r>
                </w:p>
              </w:tc>
              <w:tc>
                <w:tcPr>
                  <w:tcW w:type="dxa" w:w="9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05"/>
                    <w:jc w:val="center"/>
                  </w:pPr>
                  <w:r>
                    <w:rPr>
                      <w:rFonts w:ascii="仿宋_GB2312" w:hAnsi="仿宋_GB2312" w:cs="仿宋_GB2312" w:eastAsia="仿宋_GB2312"/>
                      <w:sz w:val="24"/>
                      <w:b/>
                    </w:rPr>
                    <w:t>规格技术要求</w:t>
                  </w:r>
                </w:p>
              </w:tc>
              <w:tc>
                <w:tcPr>
                  <w:tcW w:type="dxa" w:w="6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center"/>
                  </w:pPr>
                  <w:r>
                    <w:rPr>
                      <w:rFonts w:ascii="仿宋_GB2312" w:hAnsi="仿宋_GB2312" w:cs="仿宋_GB2312" w:eastAsia="仿宋_GB2312"/>
                      <w:sz w:val="24"/>
                      <w:b/>
                    </w:rPr>
                    <w:t>质量标准</w:t>
                  </w:r>
                </w:p>
              </w:tc>
              <w:tc>
                <w:tcPr>
                  <w:tcW w:type="dxa" w:w="5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55"/>
                    <w:jc w:val="center"/>
                  </w:pPr>
                  <w:r>
                    <w:rPr>
                      <w:rFonts w:ascii="仿宋_GB2312" w:hAnsi="仿宋_GB2312" w:cs="仿宋_GB2312" w:eastAsia="仿宋_GB2312"/>
                      <w:sz w:val="24"/>
                      <w:b/>
                    </w:rPr>
                    <w:t>其他要求</w:t>
                  </w:r>
                </w:p>
              </w:tc>
            </w:tr>
            <w:tr>
              <w:tc>
                <w:tcPr>
                  <w:tcW w:type="dxa" w:w="3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肉类</w:t>
                  </w:r>
                </w:p>
              </w:tc>
              <w:tc>
                <w:tcPr>
                  <w:tcW w:type="dxa" w:w="9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0"/>
                    <w:jc w:val="left"/>
                  </w:pPr>
                  <w:r>
                    <w:rPr>
                      <w:rFonts w:ascii="仿宋_GB2312" w:hAnsi="仿宋_GB2312" w:cs="仿宋_GB2312" w:eastAsia="仿宋_GB2312"/>
                      <w:sz w:val="24"/>
                    </w:rPr>
                    <w:t>热鲜优质肉类，其中禽类必须整只供应，不含瘦肉精、无激素、无质变</w:t>
                  </w:r>
                </w:p>
              </w:tc>
              <w:tc>
                <w:tcPr>
                  <w:tcW w:type="dxa" w:w="68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符合《中华人民共和国食品安全法》</w:t>
                  </w:r>
                  <w:r>
                    <w:rPr>
                      <w:rFonts w:ascii="仿宋_GB2312" w:hAnsi="仿宋_GB2312" w:cs="仿宋_GB2312" w:eastAsia="仿宋_GB2312"/>
                      <w:sz w:val="24"/>
                    </w:rPr>
                    <w:t>、</w:t>
                  </w:r>
                  <w:r>
                    <w:rPr>
                      <w:rFonts w:ascii="仿宋_GB2312" w:hAnsi="仿宋_GB2312" w:cs="仿宋_GB2312" w:eastAsia="仿宋_GB2312"/>
                      <w:sz w:val="24"/>
                    </w:rPr>
                    <w:t>《食品安全国家标准》</w:t>
                  </w:r>
                  <w:r>
                    <w:rPr>
                      <w:rFonts w:ascii="仿宋_GB2312" w:hAnsi="仿宋_GB2312" w:cs="仿宋_GB2312" w:eastAsia="仿宋_GB2312"/>
                      <w:sz w:val="24"/>
                    </w:rPr>
                    <w:t>、《食品安全国家标准食品添加剂使用标准》（</w:t>
                  </w:r>
                  <w:r>
                    <w:rPr>
                      <w:rFonts w:ascii="仿宋_GB2312" w:hAnsi="仿宋_GB2312" w:cs="仿宋_GB2312" w:eastAsia="仿宋_GB2312"/>
                      <w:sz w:val="24"/>
                    </w:rPr>
                    <w:t>GB2760-2024）</w:t>
                  </w:r>
                  <w:r>
                    <w:rPr>
                      <w:rFonts w:ascii="仿宋_GB2312" w:hAnsi="仿宋_GB2312" w:cs="仿宋_GB2312" w:eastAsia="仿宋_GB2312"/>
                      <w:sz w:val="24"/>
                    </w:rPr>
                    <w:t>等国家现行法律法规。</w:t>
                  </w:r>
                </w:p>
              </w:tc>
              <w:tc>
                <w:tcPr>
                  <w:tcW w:type="dxa" w:w="59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left"/>
                  </w:pPr>
                  <w:r>
                    <w:rPr>
                      <w:rFonts w:ascii="仿宋_GB2312" w:hAnsi="仿宋_GB2312" w:cs="仿宋_GB2312" w:eastAsia="仿宋_GB2312"/>
                      <w:sz w:val="24"/>
                    </w:rPr>
                    <w:t>双方可根据生产季节、天气等情况协商调整每期采购计划中的品种。供应商必须能证提供丰富的品种供采购人选择。</w:t>
                  </w:r>
                </w:p>
              </w:tc>
            </w:tr>
            <w:tr>
              <w:tc>
                <w:tcPr>
                  <w:tcW w:type="dxa" w:w="3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禽蛋</w:t>
                  </w:r>
                </w:p>
              </w:tc>
              <w:tc>
                <w:tcPr>
                  <w:tcW w:type="dxa" w:w="9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0"/>
                    <w:jc w:val="left"/>
                  </w:pPr>
                  <w:r>
                    <w:rPr>
                      <w:rFonts w:ascii="仿宋_GB2312" w:hAnsi="仿宋_GB2312" w:cs="仿宋_GB2312" w:eastAsia="仿宋_GB2312"/>
                      <w:sz w:val="24"/>
                    </w:rPr>
                    <w:t>新鲜优质家禽蛋、无质变和破损</w:t>
                  </w:r>
                </w:p>
              </w:tc>
              <w:tc>
                <w:tcPr>
                  <w:tcW w:type="dxa" w:w="689"/>
                  <w:vMerge/>
                  <w:tcBorders>
                    <w:top w:val="none" w:color="000000" w:sz="4"/>
                    <w:left w:val="single" w:color="000000" w:sz="4"/>
                    <w:bottom w:val="single" w:color="000000" w:sz="4"/>
                    <w:right w:val="single" w:color="000000" w:sz="4"/>
                  </w:tcBorders>
                </w:tcPr>
                <w:p/>
              </w:tc>
              <w:tc>
                <w:tcPr>
                  <w:tcW w:type="dxa" w:w="594"/>
                  <w:vMerge/>
                  <w:tcBorders>
                    <w:top w:val="none" w:color="000000" w:sz="4"/>
                    <w:left w:val="singl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蔬菜瓜果</w:t>
                  </w:r>
                </w:p>
              </w:tc>
              <w:tc>
                <w:tcPr>
                  <w:tcW w:type="dxa" w:w="9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新鲜绿色蔬菜瓜果、无超标农药残余</w:t>
                  </w:r>
                  <w:r>
                    <w:rPr>
                      <w:rFonts w:ascii="仿宋_GB2312" w:hAnsi="仿宋_GB2312" w:cs="仿宋_GB2312" w:eastAsia="仿宋_GB2312"/>
                      <w:sz w:val="24"/>
                    </w:rPr>
                    <w:t>。</w:t>
                  </w:r>
                </w:p>
                <w:p>
                  <w:pPr>
                    <w:pStyle w:val="null3"/>
                    <w:ind w:firstLine="24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配送当日新鲜食材</w:t>
                  </w:r>
                  <w:r>
                    <w:rPr>
                      <w:rFonts w:ascii="仿宋_GB2312" w:hAnsi="仿宋_GB2312" w:cs="仿宋_GB2312" w:eastAsia="仿宋_GB2312"/>
                      <w:sz w:val="24"/>
                    </w:rPr>
                    <w:t>。</w:t>
                  </w:r>
                </w:p>
              </w:tc>
              <w:tc>
                <w:tcPr>
                  <w:tcW w:type="dxa" w:w="689"/>
                  <w:vMerge/>
                  <w:tcBorders>
                    <w:top w:val="none" w:color="000000" w:sz="4"/>
                    <w:left w:val="single" w:color="000000" w:sz="4"/>
                    <w:bottom w:val="single" w:color="000000" w:sz="4"/>
                    <w:right w:val="single" w:color="000000" w:sz="4"/>
                  </w:tcBorders>
                </w:tcPr>
                <w:p/>
              </w:tc>
              <w:tc>
                <w:tcPr>
                  <w:tcW w:type="dxa" w:w="594"/>
                  <w:vMerge/>
                  <w:tcBorders>
                    <w:top w:val="none" w:color="000000" w:sz="4"/>
                    <w:left w:val="singl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水产</w:t>
                  </w:r>
                </w:p>
              </w:tc>
              <w:tc>
                <w:tcPr>
                  <w:tcW w:type="dxa" w:w="9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优质各类水产品</w:t>
                  </w:r>
                  <w:r>
                    <w:rPr>
                      <w:rFonts w:ascii="仿宋_GB2312" w:hAnsi="仿宋_GB2312" w:cs="仿宋_GB2312" w:eastAsia="仿宋_GB2312"/>
                      <w:sz w:val="24"/>
                    </w:rPr>
                    <w:t>。</w:t>
                  </w:r>
                </w:p>
                <w:p>
                  <w:pPr>
                    <w:pStyle w:val="null3"/>
                    <w:ind w:firstLine="24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配送当日生鲜食材</w:t>
                  </w:r>
                  <w:r>
                    <w:rPr>
                      <w:rFonts w:ascii="仿宋_GB2312" w:hAnsi="仿宋_GB2312" w:cs="仿宋_GB2312" w:eastAsia="仿宋_GB2312"/>
                      <w:sz w:val="24"/>
                    </w:rPr>
                    <w:t>。</w:t>
                  </w:r>
                </w:p>
              </w:tc>
              <w:tc>
                <w:tcPr>
                  <w:tcW w:type="dxa" w:w="689"/>
                  <w:vMerge/>
                  <w:tcBorders>
                    <w:top w:val="none" w:color="000000" w:sz="4"/>
                    <w:left w:val="single" w:color="000000" w:sz="4"/>
                    <w:bottom w:val="single" w:color="000000" w:sz="4"/>
                    <w:right w:val="single" w:color="000000" w:sz="4"/>
                  </w:tcBorders>
                </w:tcPr>
                <w:p/>
              </w:tc>
              <w:tc>
                <w:tcPr>
                  <w:tcW w:type="dxa" w:w="594"/>
                  <w:vMerge/>
                  <w:tcBorders>
                    <w:top w:val="none" w:color="000000" w:sz="4"/>
                    <w:left w:val="singl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粮</w:t>
                  </w:r>
                </w:p>
              </w:tc>
              <w:tc>
                <w:tcPr>
                  <w:tcW w:type="dxa" w:w="9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非陈米，无质变，优质大米</w:t>
                  </w:r>
                  <w:r>
                    <w:rPr>
                      <w:rFonts w:ascii="仿宋_GB2312" w:hAnsi="仿宋_GB2312" w:cs="仿宋_GB2312" w:eastAsia="仿宋_GB2312"/>
                      <w:sz w:val="24"/>
                    </w:rPr>
                    <w:t>。</w:t>
                  </w:r>
                </w:p>
                <w:p>
                  <w:pPr>
                    <w:pStyle w:val="null3"/>
                    <w:ind w:firstLine="24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等级：一级</w:t>
                  </w:r>
                  <w:r>
                    <w:rPr>
                      <w:rFonts w:ascii="仿宋_GB2312" w:hAnsi="仿宋_GB2312" w:cs="仿宋_GB2312" w:eastAsia="仿宋_GB2312"/>
                      <w:sz w:val="24"/>
                    </w:rPr>
                    <w:t>。</w:t>
                  </w:r>
                </w:p>
                <w:p>
                  <w:pPr>
                    <w:pStyle w:val="null3"/>
                    <w:ind w:firstLine="24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袋装</w:t>
                  </w:r>
                  <w:r>
                    <w:rPr>
                      <w:rFonts w:ascii="仿宋_GB2312" w:hAnsi="仿宋_GB2312" w:cs="仿宋_GB2312" w:eastAsia="仿宋_GB2312"/>
                      <w:sz w:val="24"/>
                    </w:rPr>
                    <w:t>。</w:t>
                  </w:r>
                </w:p>
              </w:tc>
              <w:tc>
                <w:tcPr>
                  <w:tcW w:type="dxa" w:w="689"/>
                  <w:vMerge/>
                  <w:tcBorders>
                    <w:top w:val="none" w:color="000000" w:sz="4"/>
                    <w:left w:val="single" w:color="000000" w:sz="4"/>
                    <w:bottom w:val="single" w:color="000000" w:sz="4"/>
                    <w:right w:val="single" w:color="000000" w:sz="4"/>
                  </w:tcBorders>
                </w:tcPr>
                <w:p/>
              </w:tc>
              <w:tc>
                <w:tcPr>
                  <w:tcW w:type="dxa" w:w="594"/>
                  <w:vMerge/>
                  <w:tcBorders>
                    <w:top w:val="none" w:color="000000" w:sz="4"/>
                    <w:left w:val="singl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食用</w:t>
                  </w:r>
                  <w:r>
                    <w:rPr>
                      <w:rFonts w:ascii="仿宋_GB2312" w:hAnsi="仿宋_GB2312" w:cs="仿宋_GB2312" w:eastAsia="仿宋_GB2312"/>
                      <w:sz w:val="24"/>
                    </w:rPr>
                    <w:t>油</w:t>
                  </w:r>
                </w:p>
              </w:tc>
              <w:tc>
                <w:tcPr>
                  <w:tcW w:type="dxa" w:w="9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非转基因、无勾兑原厂封装，优质食用油，营养成分符合国家标准</w:t>
                  </w:r>
                  <w:r>
                    <w:rPr>
                      <w:rFonts w:ascii="仿宋_GB2312" w:hAnsi="仿宋_GB2312" w:cs="仿宋_GB2312" w:eastAsia="仿宋_GB2312"/>
                      <w:sz w:val="24"/>
                    </w:rPr>
                    <w:t>。</w:t>
                  </w:r>
                </w:p>
                <w:p>
                  <w:pPr>
                    <w:pStyle w:val="null3"/>
                    <w:ind w:firstLine="24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等级：一级</w:t>
                  </w:r>
                  <w:r>
                    <w:rPr>
                      <w:rFonts w:ascii="仿宋_GB2312" w:hAnsi="仿宋_GB2312" w:cs="仿宋_GB2312" w:eastAsia="仿宋_GB2312"/>
                      <w:sz w:val="24"/>
                    </w:rPr>
                    <w:t>。</w:t>
                  </w:r>
                </w:p>
                <w:p>
                  <w:pPr>
                    <w:pStyle w:val="null3"/>
                    <w:ind w:firstLine="24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桶装</w:t>
                  </w:r>
                  <w:r>
                    <w:rPr>
                      <w:rFonts w:ascii="仿宋_GB2312" w:hAnsi="仿宋_GB2312" w:cs="仿宋_GB2312" w:eastAsia="仿宋_GB2312"/>
                      <w:sz w:val="24"/>
                    </w:rPr>
                    <w:t>。</w:t>
                  </w:r>
                </w:p>
              </w:tc>
              <w:tc>
                <w:tcPr>
                  <w:tcW w:type="dxa" w:w="689"/>
                  <w:vMerge/>
                  <w:tcBorders>
                    <w:top w:val="none" w:color="000000" w:sz="4"/>
                    <w:left w:val="single" w:color="000000" w:sz="4"/>
                    <w:bottom w:val="single" w:color="000000" w:sz="4"/>
                    <w:right w:val="single" w:color="000000" w:sz="4"/>
                  </w:tcBorders>
                </w:tcPr>
                <w:p/>
              </w:tc>
              <w:tc>
                <w:tcPr>
                  <w:tcW w:type="dxa" w:w="594"/>
                  <w:vMerge/>
                  <w:tcBorders>
                    <w:top w:val="none" w:color="000000" w:sz="4"/>
                    <w:left w:val="singl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调味品</w:t>
                  </w:r>
                </w:p>
              </w:tc>
              <w:tc>
                <w:tcPr>
                  <w:tcW w:type="dxa" w:w="9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保质期内安全无质变调味品</w:t>
                  </w:r>
                  <w:r>
                    <w:rPr>
                      <w:rFonts w:ascii="仿宋_GB2312" w:hAnsi="仿宋_GB2312" w:cs="仿宋_GB2312" w:eastAsia="仿宋_GB2312"/>
                      <w:sz w:val="24"/>
                    </w:rPr>
                    <w:t>。</w:t>
                  </w:r>
                </w:p>
              </w:tc>
              <w:tc>
                <w:tcPr>
                  <w:tcW w:type="dxa" w:w="689"/>
                  <w:vMerge/>
                  <w:tcBorders>
                    <w:top w:val="none" w:color="000000" w:sz="4"/>
                    <w:left w:val="single" w:color="000000" w:sz="4"/>
                    <w:bottom w:val="single" w:color="000000" w:sz="4"/>
                    <w:right w:val="single" w:color="000000" w:sz="4"/>
                  </w:tcBorders>
                </w:tcPr>
                <w:p/>
              </w:tc>
              <w:tc>
                <w:tcPr>
                  <w:tcW w:type="dxa" w:w="594"/>
                  <w:vMerge/>
                  <w:tcBorders>
                    <w:top w:val="none" w:color="000000" w:sz="4"/>
                    <w:left w:val="singl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0"/>
                    <w:jc w:val="both"/>
                  </w:pPr>
                  <w:r>
                    <w:rPr>
                      <w:rFonts w:ascii="仿宋_GB2312" w:hAnsi="仿宋_GB2312" w:cs="仿宋_GB2312" w:eastAsia="仿宋_GB2312"/>
                      <w:sz w:val="24"/>
                    </w:rPr>
                    <w:t>豆制品和半成品</w:t>
                  </w:r>
                </w:p>
              </w:tc>
              <w:tc>
                <w:tcPr>
                  <w:tcW w:type="dxa" w:w="9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新鲜干净无质变豆制品和半成品</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配送当日新鲜食材</w:t>
                  </w:r>
                  <w:r>
                    <w:rPr>
                      <w:rFonts w:ascii="仿宋_GB2312" w:hAnsi="仿宋_GB2312" w:cs="仿宋_GB2312" w:eastAsia="仿宋_GB2312"/>
                      <w:sz w:val="24"/>
                    </w:rPr>
                    <w:t>。</w:t>
                  </w:r>
                </w:p>
              </w:tc>
              <w:tc>
                <w:tcPr>
                  <w:tcW w:type="dxa" w:w="689"/>
                  <w:vMerge/>
                  <w:tcBorders>
                    <w:top w:val="none" w:color="000000" w:sz="4"/>
                    <w:left w:val="single" w:color="000000" w:sz="4"/>
                    <w:bottom w:val="single" w:color="000000" w:sz="4"/>
                    <w:right w:val="single" w:color="000000" w:sz="4"/>
                  </w:tcBorders>
                </w:tcPr>
                <w:p/>
              </w:tc>
              <w:tc>
                <w:tcPr>
                  <w:tcW w:type="dxa" w:w="594"/>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32"/>
              </w:rPr>
              <w:t>三、采购要求</w:t>
            </w:r>
          </w:p>
          <w:p>
            <w:pPr>
              <w:pStyle w:val="null3"/>
              <w:ind w:firstLine="640"/>
              <w:jc w:val="both"/>
            </w:pPr>
            <w:r>
              <w:rPr>
                <w:rFonts w:ascii="仿宋_GB2312" w:hAnsi="仿宋_GB2312" w:cs="仿宋_GB2312" w:eastAsia="仿宋_GB2312"/>
                <w:sz w:val="32"/>
              </w:rPr>
              <w:t>1.投标人须具有健全食品安全管理制度，落实食品安全责任制，依法配备与项目规模、项目风险等级、管理水平、安全状况等相适应的食品安全管理人员，并明确主要负责人及各岗位人员的岗位职责。</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1）投标人须</w:t>
            </w:r>
            <w:r>
              <w:rPr>
                <w:rFonts w:ascii="仿宋_GB2312" w:hAnsi="仿宋_GB2312" w:cs="仿宋_GB2312" w:eastAsia="仿宋_GB2312"/>
                <w:sz w:val="32"/>
              </w:rPr>
              <w:t>配备</w:t>
            </w:r>
            <w:r>
              <w:rPr>
                <w:rFonts w:ascii="仿宋_GB2312" w:hAnsi="仿宋_GB2312" w:cs="仿宋_GB2312" w:eastAsia="仿宋_GB2312"/>
                <w:sz w:val="32"/>
              </w:rPr>
              <w:t>1名项目</w:t>
            </w:r>
            <w:r>
              <w:rPr>
                <w:rFonts w:ascii="仿宋_GB2312" w:hAnsi="仿宋_GB2312" w:cs="仿宋_GB2312" w:eastAsia="仿宋_GB2312"/>
                <w:sz w:val="32"/>
              </w:rPr>
              <w:t>负责人，</w:t>
            </w:r>
            <w:r>
              <w:rPr>
                <w:rFonts w:ascii="仿宋_GB2312" w:hAnsi="仿宋_GB2312" w:cs="仿宋_GB2312" w:eastAsia="仿宋_GB2312"/>
                <w:sz w:val="32"/>
              </w:rPr>
              <w:t>项目</w:t>
            </w:r>
            <w:r>
              <w:rPr>
                <w:rFonts w:ascii="仿宋_GB2312" w:hAnsi="仿宋_GB2312" w:cs="仿宋_GB2312" w:eastAsia="仿宋_GB2312"/>
                <w:sz w:val="32"/>
              </w:rPr>
              <w:t>负责人具有三年以上食品原材料供应管理经验，掌握食品质量安全相关的法律法规知识，具有良好的思想素质和职业道德。</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2）投标人还须为本项目</w:t>
            </w:r>
            <w:r>
              <w:rPr>
                <w:rFonts w:ascii="仿宋_GB2312" w:hAnsi="仿宋_GB2312" w:cs="仿宋_GB2312" w:eastAsia="仿宋_GB2312"/>
                <w:sz w:val="32"/>
              </w:rPr>
              <w:t>配备</w:t>
            </w:r>
            <w:r>
              <w:rPr>
                <w:rFonts w:ascii="仿宋_GB2312" w:hAnsi="仿宋_GB2312" w:cs="仿宋_GB2312" w:eastAsia="仿宋_GB2312"/>
                <w:sz w:val="32"/>
              </w:rPr>
              <w:t>4名（含）以上专职服务人员</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3）项目组成员不得少于5人（含）（含项目负责人1人，专职服务人员4人）均需接受过</w:t>
            </w:r>
            <w:r>
              <w:rPr>
                <w:rFonts w:ascii="仿宋_GB2312" w:hAnsi="仿宋_GB2312" w:cs="仿宋_GB2312" w:eastAsia="仿宋_GB2312"/>
                <w:sz w:val="32"/>
              </w:rPr>
              <w:t>食品安全知识培训</w:t>
            </w:r>
            <w:r>
              <w:rPr>
                <w:rFonts w:ascii="仿宋_GB2312" w:hAnsi="仿宋_GB2312" w:cs="仿宋_GB2312" w:eastAsia="仿宋_GB2312"/>
                <w:sz w:val="32"/>
              </w:rPr>
              <w:t>，</w:t>
            </w:r>
            <w:r>
              <w:rPr>
                <w:rFonts w:ascii="仿宋_GB2312" w:hAnsi="仿宋_GB2312" w:cs="仿宋_GB2312" w:eastAsia="仿宋_GB2312"/>
                <w:sz w:val="32"/>
              </w:rPr>
              <w:t>提供相关人员的身份证、健康证及劳动合同</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投标人</w:t>
            </w:r>
            <w:r>
              <w:rPr>
                <w:rFonts w:ascii="仿宋_GB2312" w:hAnsi="仿宋_GB2312" w:cs="仿宋_GB2312" w:eastAsia="仿宋_GB2312"/>
                <w:sz w:val="32"/>
              </w:rPr>
              <w:t>应有完整的组织机构，有健全的规章制度，包括人事管理、用工培训、工作规范、卫生保障、安全防患、应急处置、文明服务、价格管理等制度。</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投标人</w:t>
            </w:r>
            <w:r>
              <w:rPr>
                <w:rFonts w:ascii="仿宋_GB2312" w:hAnsi="仿宋_GB2312" w:cs="仿宋_GB2312" w:eastAsia="仿宋_GB2312"/>
                <w:sz w:val="32"/>
              </w:rPr>
              <w:t>应选择安全、质优、价廉的材料，所有材料做到</w:t>
            </w:r>
            <w:r>
              <w:rPr>
                <w:rFonts w:ascii="仿宋_GB2312" w:hAnsi="仿宋_GB2312" w:cs="仿宋_GB2312" w:eastAsia="仿宋_GB2312"/>
                <w:sz w:val="32"/>
              </w:rPr>
              <w:t>100%可追溯。</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投标人</w:t>
            </w:r>
            <w:r>
              <w:rPr>
                <w:rFonts w:ascii="仿宋_GB2312" w:hAnsi="仿宋_GB2312" w:cs="仿宋_GB2312" w:eastAsia="仿宋_GB2312"/>
                <w:sz w:val="32"/>
              </w:rPr>
              <w:t>所供应</w:t>
            </w:r>
            <w:r>
              <w:rPr>
                <w:rFonts w:ascii="仿宋_GB2312" w:hAnsi="仿宋_GB2312" w:cs="仿宋_GB2312" w:eastAsia="仿宋_GB2312"/>
                <w:sz w:val="32"/>
              </w:rPr>
              <w:t>的</w:t>
            </w:r>
            <w:r>
              <w:rPr>
                <w:rFonts w:ascii="仿宋_GB2312" w:hAnsi="仿宋_GB2312" w:cs="仿宋_GB2312" w:eastAsia="仿宋_GB2312"/>
                <w:sz w:val="32"/>
              </w:rPr>
              <w:t>产品</w:t>
            </w:r>
            <w:r>
              <w:rPr>
                <w:rFonts w:ascii="仿宋_GB2312" w:hAnsi="仿宋_GB2312" w:cs="仿宋_GB2312" w:eastAsia="仿宋_GB2312"/>
                <w:sz w:val="32"/>
              </w:rPr>
              <w:t>均须</w:t>
            </w:r>
            <w:r>
              <w:rPr>
                <w:rFonts w:ascii="仿宋_GB2312" w:hAnsi="仿宋_GB2312" w:cs="仿宋_GB2312" w:eastAsia="仿宋_GB2312"/>
                <w:sz w:val="32"/>
              </w:rPr>
              <w:t>符合国家食品安全及质量标</w:t>
            </w:r>
            <w:r>
              <w:rPr>
                <w:rFonts w:ascii="仿宋_GB2312" w:hAnsi="仿宋_GB2312" w:cs="仿宋_GB2312" w:eastAsia="仿宋_GB2312"/>
                <w:sz w:val="32"/>
              </w:rPr>
              <w:t>准，</w:t>
            </w:r>
            <w:r>
              <w:rPr>
                <w:rFonts w:ascii="仿宋_GB2312" w:hAnsi="仿宋_GB2312" w:cs="仿宋_GB2312" w:eastAsia="仿宋_GB2312"/>
                <w:sz w:val="32"/>
              </w:rPr>
              <w:t>交货时</w:t>
            </w:r>
            <w:r>
              <w:rPr>
                <w:rFonts w:ascii="仿宋_GB2312" w:hAnsi="仿宋_GB2312" w:cs="仿宋_GB2312" w:eastAsia="仿宋_GB2312"/>
                <w:sz w:val="32"/>
              </w:rPr>
              <w:t>能按时提供产地质检机构年度抽检报告或分批次生产厂家自检报告等。</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投标人</w:t>
            </w:r>
            <w:r>
              <w:rPr>
                <w:rFonts w:ascii="仿宋_GB2312" w:hAnsi="仿宋_GB2312" w:cs="仿宋_GB2312" w:eastAsia="仿宋_GB2312"/>
                <w:sz w:val="32"/>
              </w:rPr>
              <w:t>应建立健全并执行食品安全管理制度，主要包括：食品安全知识培训制度，从业人员健康管理制度，食品原材料进货查验记录制度，食品原材料运输储存保管制度，不合格食品原材料退市、召回制度，食品原材料质量安全检测制度，食品原材料留样制度，食品原材料安全事故处置方案，环境卫生管理制度，法律法规规定的其他制度。</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.库房的基本要求：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1）库房周围应环境整洁，卫生状况良好，25米以内无暴露的垃圾场、旱厕、粪池等污染源；</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2）库房地面应当干燥、平整，保持清洁；应有良好的通风、采光、照明，经营场所和仓储场所门窗、下水道出口等应闭合严密，加装必要的防蝇、防鼠、防火、防盗设施；</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3）库房应具有满足供应食品品种、数量相适应的设施设备条件，食品仓储场所的货架</w:t>
            </w:r>
            <w:r>
              <w:rPr>
                <w:rFonts w:ascii="仿宋_GB2312" w:hAnsi="仿宋_GB2312" w:cs="仿宋_GB2312" w:eastAsia="仿宋_GB2312"/>
                <w:sz w:val="32"/>
              </w:rPr>
              <w:t>（</w:t>
            </w:r>
            <w:r>
              <w:rPr>
                <w:rFonts w:ascii="仿宋_GB2312" w:hAnsi="仿宋_GB2312" w:cs="仿宋_GB2312" w:eastAsia="仿宋_GB2312"/>
                <w:sz w:val="32"/>
              </w:rPr>
              <w:t>台</w:t>
            </w:r>
            <w:r>
              <w:rPr>
                <w:rFonts w:ascii="仿宋_GB2312" w:hAnsi="仿宋_GB2312" w:cs="仿宋_GB2312" w:eastAsia="仿宋_GB2312"/>
                <w:sz w:val="32"/>
              </w:rPr>
              <w:t>）</w:t>
            </w:r>
            <w:r>
              <w:rPr>
                <w:rFonts w:ascii="仿宋_GB2312" w:hAnsi="仿宋_GB2312" w:cs="仿宋_GB2312" w:eastAsia="仿宋_GB2312"/>
                <w:sz w:val="32"/>
              </w:rPr>
              <w:t>应与地、墙保持距离，能使食品应分类、分区、分架、遵循先进先出存放；</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4）食品添加剂应做到“五专”管理，分类存放；</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5）库房内不得有其他不相关物品混合存放，不得有兽药</w:t>
            </w:r>
            <w:r>
              <w:rPr>
                <w:rFonts w:ascii="仿宋_GB2312" w:hAnsi="仿宋_GB2312" w:cs="仿宋_GB2312" w:eastAsia="仿宋_GB2312"/>
                <w:sz w:val="32"/>
              </w:rPr>
              <w:t>、</w:t>
            </w:r>
            <w:r>
              <w:rPr>
                <w:rFonts w:ascii="仿宋_GB2312" w:hAnsi="仿宋_GB2312" w:cs="仿宋_GB2312" w:eastAsia="仿宋_GB2312"/>
                <w:sz w:val="32"/>
              </w:rPr>
              <w:t>农药及其他有毒有害的化工产品；</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6）库房配备必要的符合食品储藏条件的控温、控湿设施</w:t>
            </w:r>
            <w:r>
              <w:rPr>
                <w:rFonts w:ascii="仿宋_GB2312" w:hAnsi="仿宋_GB2312" w:cs="仿宋_GB2312" w:eastAsia="仿宋_GB2312"/>
                <w:sz w:val="32"/>
              </w:rPr>
              <w:t>，</w:t>
            </w:r>
            <w:r>
              <w:rPr>
                <w:rFonts w:ascii="仿宋_GB2312" w:hAnsi="仿宋_GB2312" w:cs="仿宋_GB2312" w:eastAsia="仿宋_GB2312"/>
                <w:sz w:val="32"/>
              </w:rPr>
              <w:t>根据需要配备恒温保鲜库</w:t>
            </w:r>
            <w:r>
              <w:rPr>
                <w:rFonts w:ascii="仿宋_GB2312" w:hAnsi="仿宋_GB2312" w:cs="仿宋_GB2312" w:eastAsia="仿宋_GB2312"/>
                <w:sz w:val="32"/>
              </w:rPr>
              <w:t>（</w:t>
            </w:r>
            <w:r>
              <w:rPr>
                <w:rFonts w:ascii="仿宋_GB2312" w:hAnsi="仿宋_GB2312" w:cs="仿宋_GB2312" w:eastAsia="仿宋_GB2312"/>
                <w:sz w:val="32"/>
              </w:rPr>
              <w:t>柜</w:t>
            </w:r>
            <w:r>
              <w:rPr>
                <w:rFonts w:ascii="仿宋_GB2312" w:hAnsi="仿宋_GB2312" w:cs="仿宋_GB2312" w:eastAsia="仿宋_GB2312"/>
                <w:sz w:val="32"/>
              </w:rPr>
              <w:t>）</w:t>
            </w:r>
            <w:r>
              <w:rPr>
                <w:rFonts w:ascii="仿宋_GB2312" w:hAnsi="仿宋_GB2312" w:cs="仿宋_GB2312" w:eastAsia="仿宋_GB2312"/>
                <w:sz w:val="32"/>
              </w:rPr>
              <w:t>、冷冻冷藏库</w:t>
            </w:r>
            <w:r>
              <w:rPr>
                <w:rFonts w:ascii="仿宋_GB2312" w:hAnsi="仿宋_GB2312" w:cs="仿宋_GB2312" w:eastAsia="仿宋_GB2312"/>
                <w:sz w:val="32"/>
              </w:rPr>
              <w:t>（</w:t>
            </w:r>
            <w:r>
              <w:rPr>
                <w:rFonts w:ascii="仿宋_GB2312" w:hAnsi="仿宋_GB2312" w:cs="仿宋_GB2312" w:eastAsia="仿宋_GB2312"/>
                <w:sz w:val="32"/>
              </w:rPr>
              <w:t>柜</w:t>
            </w:r>
            <w:r>
              <w:rPr>
                <w:rFonts w:ascii="仿宋_GB2312" w:hAnsi="仿宋_GB2312" w:cs="仿宋_GB2312" w:eastAsia="仿宋_GB2312"/>
                <w:sz w:val="32"/>
              </w:rPr>
              <w:t>）</w:t>
            </w:r>
            <w:r>
              <w:rPr>
                <w:rFonts w:ascii="仿宋_GB2312" w:hAnsi="仿宋_GB2312" w:cs="仿宋_GB2312" w:eastAsia="仿宋_GB2312"/>
                <w:sz w:val="32"/>
              </w:rPr>
              <w:t>和留样设备等；</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7）出库原材料要做好记录，建立原材料二级追溯机制；</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rPr>
              <w:t>投标人</w:t>
            </w:r>
            <w:r>
              <w:rPr>
                <w:rFonts w:ascii="仿宋_GB2312" w:hAnsi="仿宋_GB2312" w:cs="仿宋_GB2312" w:eastAsia="仿宋_GB2312"/>
                <w:sz w:val="32"/>
              </w:rPr>
              <w:t>应</w:t>
            </w:r>
            <w:r>
              <w:rPr>
                <w:rFonts w:ascii="仿宋_GB2312" w:hAnsi="仿宋_GB2312" w:cs="仿宋_GB2312" w:eastAsia="仿宋_GB2312"/>
                <w:sz w:val="32"/>
              </w:rPr>
              <w:t>为本项目</w:t>
            </w:r>
            <w:r>
              <w:rPr>
                <w:rFonts w:ascii="仿宋_GB2312" w:hAnsi="仿宋_GB2312" w:cs="仿宋_GB2312" w:eastAsia="仿宋_GB2312"/>
                <w:sz w:val="32"/>
              </w:rPr>
              <w:t>配备足够数量的运送车辆和设备</w:t>
            </w:r>
            <w:r>
              <w:rPr>
                <w:rFonts w:ascii="仿宋_GB2312" w:hAnsi="仿宋_GB2312" w:cs="仿宋_GB2312" w:eastAsia="仿宋_GB2312"/>
                <w:sz w:val="32"/>
              </w:rPr>
              <w:t>，</w:t>
            </w:r>
            <w:r>
              <w:rPr>
                <w:rFonts w:ascii="仿宋_GB2312" w:hAnsi="仿宋_GB2312" w:cs="仿宋_GB2312" w:eastAsia="仿宋_GB2312"/>
                <w:sz w:val="32"/>
              </w:rPr>
              <w:t>具备按要求进行物资配送的能力。</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1）应使用专车配送</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2）在配送时应做到“三固定”，即司机和送货员相对固定、运送车辆相对固定、运送日期和时间相对固定</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3）应对配送人员进行食品安全知识和业务技能培训，配送人员应着装统一、干净、整齐，并佩戴健康证胸卡</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配送人员应配合仓库管理人员在送货前查看该批次食品的检验报告书、合格证、生产商及生产地的证明文件，查验货物保质期及外包装，不得将过期、变质的原材料送给学校（食材配送不能少于保质期到期前6个月）</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5）装车过程中避免日晒、雨淋，不得与有毒、有害、有异味或能对产品产生不良影响的物品混装</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6）装车时对产品要轻拿、轻放、整齐、平整摆放、不能倒置或侧立，杜绝野蛮操作等现象</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7）运输冷藏、冷冻食品的冷藏车及车载冷藏箱、保温箱应当符合食品运输过程中对温度控制的要求，冷藏车具有自动调控温度、显示温度、存储和读取温度监测数据的功能</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8）储存、运输设施设备的定期检查、清洁和维护应当由专人负责，并建立记录和档案</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8</w:t>
            </w:r>
            <w:r>
              <w:rPr>
                <w:rFonts w:ascii="仿宋_GB2312" w:hAnsi="仿宋_GB2312" w:cs="仿宋_GB2312" w:eastAsia="仿宋_GB2312"/>
                <w:sz w:val="32"/>
              </w:rPr>
              <w:t>.</w:t>
            </w:r>
            <w:r>
              <w:rPr>
                <w:rFonts w:ascii="仿宋_GB2312" w:hAnsi="仿宋_GB2312" w:cs="仿宋_GB2312" w:eastAsia="仿宋_GB2312"/>
                <w:sz w:val="32"/>
              </w:rPr>
              <w:t>投标人</w:t>
            </w:r>
            <w:r>
              <w:rPr>
                <w:rFonts w:ascii="仿宋_GB2312" w:hAnsi="仿宋_GB2312" w:cs="仿宋_GB2312" w:eastAsia="仿宋_GB2312"/>
                <w:sz w:val="32"/>
              </w:rPr>
              <w:t>应具备应对台风等自然灾害的应急处置能力，确保受灾期间的原材料供应。</w:t>
            </w:r>
          </w:p>
          <w:p>
            <w:pPr>
              <w:pStyle w:val="null3"/>
              <w:ind w:firstLine="640"/>
              <w:jc w:val="both"/>
            </w:pPr>
            <w:r>
              <w:rPr>
                <w:rFonts w:ascii="仿宋_GB2312" w:hAnsi="仿宋_GB2312" w:cs="仿宋_GB2312" w:eastAsia="仿宋_GB2312"/>
                <w:sz w:val="32"/>
              </w:rPr>
              <w:t>9</w:t>
            </w:r>
            <w:r>
              <w:rPr>
                <w:rFonts w:ascii="仿宋_GB2312" w:hAnsi="仿宋_GB2312" w:cs="仿宋_GB2312" w:eastAsia="仿宋_GB2312"/>
                <w:sz w:val="32"/>
              </w:rPr>
              <w:t>.通过招标的食品原材料供应企业应与教育局签订供应合同，并与学校签订食品安全责任书和供应合同，明确双方有关食品安全工作的责任和义务，方可供应。</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0</w:t>
            </w:r>
            <w:r>
              <w:rPr>
                <w:rFonts w:ascii="仿宋_GB2312" w:hAnsi="仿宋_GB2312" w:cs="仿宋_GB2312" w:eastAsia="仿宋_GB2312"/>
                <w:sz w:val="32"/>
              </w:rPr>
              <w:t>.不得提供保健食品、含乳饮料和火腿肠等深加工食品。</w:t>
            </w:r>
          </w:p>
          <w:p>
            <w:pPr>
              <w:pStyle w:val="null3"/>
              <w:ind w:firstLine="640"/>
              <w:jc w:val="both"/>
            </w:pPr>
            <w:r>
              <w:rPr>
                <w:rFonts w:ascii="仿宋_GB2312" w:hAnsi="仿宋_GB2312" w:cs="仿宋_GB2312" w:eastAsia="仿宋_GB2312"/>
                <w:sz w:val="32"/>
              </w:rPr>
              <w:t>四、服务管理</w:t>
            </w:r>
          </w:p>
          <w:p>
            <w:pPr>
              <w:pStyle w:val="null3"/>
              <w:ind w:firstLine="640"/>
              <w:jc w:val="both"/>
            </w:pPr>
            <w:r>
              <w:rPr>
                <w:rFonts w:ascii="仿宋_GB2312" w:hAnsi="仿宋_GB2312" w:cs="仿宋_GB2312" w:eastAsia="仿宋_GB2312"/>
                <w:sz w:val="32"/>
              </w:rPr>
              <w:t>中标人有下列情形，采购人有权解除服务合同，取消中标人的服务资格，一切经济和法律责任由中标人承担：</w:t>
            </w:r>
          </w:p>
          <w:p>
            <w:pPr>
              <w:pStyle w:val="null3"/>
              <w:ind w:firstLine="640"/>
              <w:jc w:val="both"/>
            </w:pPr>
            <w:r>
              <w:rPr>
                <w:rFonts w:ascii="仿宋_GB2312" w:hAnsi="仿宋_GB2312" w:cs="仿宋_GB2312" w:eastAsia="仿宋_GB2312"/>
                <w:sz w:val="32"/>
              </w:rPr>
              <w:t>1.中标人对项目内容进行转让或分包的。</w:t>
            </w:r>
          </w:p>
          <w:p>
            <w:pPr>
              <w:pStyle w:val="null3"/>
              <w:ind w:firstLine="640"/>
              <w:jc w:val="both"/>
            </w:pPr>
            <w:r>
              <w:rPr>
                <w:rFonts w:ascii="仿宋_GB2312" w:hAnsi="仿宋_GB2312" w:cs="仿宋_GB2312" w:eastAsia="仿宋_GB2312"/>
                <w:sz w:val="32"/>
              </w:rPr>
              <w:t>2.中标人出现比规定的送货时间迟到一天以上情形，每半年累计超过两次的。（客观不可抗逆原因除外）。</w:t>
            </w:r>
          </w:p>
          <w:p>
            <w:pPr>
              <w:pStyle w:val="null3"/>
              <w:ind w:firstLine="640"/>
              <w:jc w:val="both"/>
            </w:pPr>
            <w:r>
              <w:rPr>
                <w:rFonts w:ascii="仿宋_GB2312" w:hAnsi="仿宋_GB2312" w:cs="仿宋_GB2312" w:eastAsia="仿宋_GB2312"/>
                <w:sz w:val="32"/>
              </w:rPr>
              <w:t>3.中标人提供食材的产地、食材等级、生产日期、保质期等重要信息，如中标人伪造上述证明文件、提供虚假信息或不提供上述信息的。</w:t>
            </w:r>
          </w:p>
          <w:p>
            <w:pPr>
              <w:pStyle w:val="null3"/>
              <w:ind w:firstLine="640"/>
              <w:jc w:val="both"/>
            </w:pPr>
            <w:r>
              <w:rPr>
                <w:rFonts w:ascii="仿宋_GB2312" w:hAnsi="仿宋_GB2312" w:cs="仿宋_GB2312" w:eastAsia="仿宋_GB2312"/>
                <w:sz w:val="32"/>
              </w:rPr>
              <w:t>4.中标人提供假冒伪劣、过期、变质食品的，要求无条件退货或换货外，被处以当次供应食品货款2倍的罚款，罚款由供货结算款内扣除。</w:t>
            </w:r>
          </w:p>
          <w:p>
            <w:pPr>
              <w:pStyle w:val="null3"/>
              <w:ind w:firstLine="640"/>
              <w:jc w:val="both"/>
            </w:pPr>
            <w:r>
              <w:rPr>
                <w:rFonts w:ascii="仿宋_GB2312" w:hAnsi="仿宋_GB2312" w:cs="仿宋_GB2312" w:eastAsia="仿宋_GB2312"/>
                <w:sz w:val="32"/>
              </w:rPr>
              <w:t>5.中标人所供货物出现质量问题需要退换货，一个月内累计达到两次的。</w:t>
            </w:r>
          </w:p>
          <w:p>
            <w:pPr>
              <w:pStyle w:val="null3"/>
              <w:ind w:firstLine="640"/>
              <w:jc w:val="both"/>
            </w:pPr>
            <w:r>
              <w:rPr>
                <w:rFonts w:ascii="仿宋_GB2312" w:hAnsi="仿宋_GB2312" w:cs="仿宋_GB2312" w:eastAsia="仿宋_GB2312"/>
                <w:sz w:val="32"/>
              </w:rPr>
              <w:t>6.中标人食材不符合卫生条件导致人员食物中毒的，中标人还应当依法承担事故导致的相应的法律责任。</w:t>
            </w:r>
          </w:p>
          <w:p>
            <w:pPr>
              <w:pStyle w:val="null3"/>
              <w:ind w:firstLine="640"/>
              <w:jc w:val="both"/>
            </w:pPr>
            <w:r>
              <w:rPr>
                <w:rFonts w:ascii="仿宋_GB2312" w:hAnsi="仿宋_GB2312" w:cs="仿宋_GB2312" w:eastAsia="仿宋_GB2312"/>
                <w:sz w:val="32"/>
              </w:rPr>
              <w:t>7.经市场安全监管部门检验鉴定，食材含有有毒、有害物质或者被有害物质污染，对人体有害的不合格食材。</w:t>
            </w:r>
          </w:p>
          <w:p>
            <w:pPr>
              <w:pStyle w:val="null3"/>
              <w:ind w:firstLine="640"/>
              <w:jc w:val="both"/>
            </w:pPr>
            <w:r>
              <w:rPr>
                <w:rFonts w:ascii="仿宋_GB2312" w:hAnsi="仿宋_GB2312" w:cs="仿宋_GB2312" w:eastAsia="仿宋_GB2312"/>
                <w:sz w:val="32"/>
              </w:rPr>
              <w:t>8.中标人使用非食品原料加工的，加入非食品用化学物质的。</w:t>
            </w:r>
          </w:p>
          <w:p>
            <w:pPr>
              <w:pStyle w:val="null3"/>
              <w:ind w:firstLine="640"/>
              <w:jc w:val="both"/>
            </w:pPr>
            <w:r>
              <w:rPr>
                <w:rFonts w:ascii="仿宋_GB2312" w:hAnsi="仿宋_GB2312" w:cs="仿宋_GB2312" w:eastAsia="仿宋_GB2312"/>
                <w:sz w:val="32"/>
              </w:rPr>
              <w:t>9.中标人使用超保质期的食品的。</w:t>
            </w:r>
          </w:p>
          <w:p>
            <w:pPr>
              <w:pStyle w:val="null3"/>
              <w:ind w:firstLine="640"/>
              <w:jc w:val="both"/>
            </w:pPr>
            <w:r>
              <w:rPr>
                <w:rFonts w:ascii="仿宋_GB2312" w:hAnsi="仿宋_GB2312" w:cs="仿宋_GB2312" w:eastAsia="仿宋_GB2312"/>
                <w:sz w:val="32"/>
              </w:rPr>
              <w:t>10.中标人提供的食品，造成食品安全事故的，经有关单位鉴定原因后，如确实为中标人提供之食品问题，中标人除需负担全数之医药费外，采购人还有权取消中标人供货资格，终止中标人供货合同，中标人同时承担相应的民事及刑</w:t>
            </w:r>
            <w:r>
              <w:rPr>
                <w:rFonts w:ascii="仿宋_GB2312" w:hAnsi="仿宋_GB2312" w:cs="仿宋_GB2312" w:eastAsia="仿宋_GB2312"/>
                <w:sz w:val="32"/>
              </w:rPr>
              <w:t>事法律责任</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11.中标人存在其他严重违反招标文件要求</w:t>
            </w:r>
            <w:r>
              <w:rPr>
                <w:rFonts w:ascii="仿宋_GB2312" w:hAnsi="仿宋_GB2312" w:cs="仿宋_GB2312" w:eastAsia="仿宋_GB2312"/>
                <w:sz w:val="32"/>
              </w:rPr>
              <w:t>、</w:t>
            </w:r>
            <w:r>
              <w:rPr>
                <w:rFonts w:ascii="仿宋_GB2312" w:hAnsi="仿宋_GB2312" w:cs="仿宋_GB2312" w:eastAsia="仿宋_GB2312"/>
                <w:sz w:val="32"/>
              </w:rPr>
              <w:t>虚假响应招标文件要求等违法情形</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五、质量保证</w:t>
            </w:r>
          </w:p>
          <w:p>
            <w:pPr>
              <w:pStyle w:val="null3"/>
              <w:ind w:firstLine="640"/>
              <w:jc w:val="both"/>
            </w:pPr>
            <w:r>
              <w:rPr>
                <w:rFonts w:ascii="仿宋_GB2312" w:hAnsi="仿宋_GB2312" w:cs="仿宋_GB2312" w:eastAsia="仿宋_GB2312"/>
                <w:sz w:val="32"/>
              </w:rPr>
              <w:t>配送的学生营养餐食材，从出仓开始到学校入库全过程的各个环节，均按照最新的国家标准规范配送和存储保鲜，确保卫生安全和新鲜。</w:t>
            </w:r>
          </w:p>
          <w:p>
            <w:pPr>
              <w:pStyle w:val="null3"/>
              <w:ind w:firstLine="640"/>
              <w:jc w:val="both"/>
            </w:pPr>
            <w:r>
              <w:rPr>
                <w:rFonts w:ascii="仿宋_GB2312" w:hAnsi="仿宋_GB2312" w:cs="仿宋_GB2312" w:eastAsia="仿宋_GB2312"/>
                <w:sz w:val="32"/>
              </w:rPr>
              <w:t>六、其他要求及说明</w:t>
            </w:r>
          </w:p>
          <w:p>
            <w:pPr>
              <w:pStyle w:val="null3"/>
              <w:ind w:firstLine="640"/>
              <w:jc w:val="both"/>
            </w:pPr>
            <w:r>
              <w:rPr>
                <w:rFonts w:ascii="仿宋_GB2312" w:hAnsi="仿宋_GB2312" w:cs="仿宋_GB2312" w:eastAsia="仿宋_GB2312"/>
                <w:sz w:val="32"/>
              </w:rPr>
              <w:t>1.因配送食材质量问题给学生身心健康带来影响或发生疾病，伤亡事故，承担全部经济和法律责任。若因食材质量原因出现的安全、卫生问题、由中标单位承担全部责任。</w:t>
            </w:r>
          </w:p>
          <w:p>
            <w:pPr>
              <w:pStyle w:val="null3"/>
              <w:ind w:firstLine="640"/>
              <w:jc w:val="both"/>
            </w:pPr>
            <w:r>
              <w:rPr>
                <w:rFonts w:ascii="仿宋_GB2312" w:hAnsi="仿宋_GB2312" w:cs="仿宋_GB2312" w:eastAsia="仿宋_GB2312"/>
                <w:sz w:val="32"/>
              </w:rPr>
              <w:t>2.按质、按时、按量、按协议要求做好配送服务工作；按照监管部门要求严把质量关。</w:t>
            </w:r>
          </w:p>
          <w:p>
            <w:pPr>
              <w:pStyle w:val="null3"/>
              <w:ind w:firstLine="640"/>
              <w:jc w:val="both"/>
            </w:pPr>
            <w:r>
              <w:rPr>
                <w:rFonts w:ascii="仿宋_GB2312" w:hAnsi="仿宋_GB2312" w:cs="仿宋_GB2312" w:eastAsia="仿宋_GB2312"/>
                <w:sz w:val="32"/>
              </w:rPr>
              <w:t>3.确定工作认真负责、身体健康（有健康证）的人员对口衔接学校，建立接送卡，专人配送。</w:t>
            </w:r>
          </w:p>
          <w:p>
            <w:pPr>
              <w:pStyle w:val="null3"/>
              <w:ind w:firstLine="640"/>
              <w:jc w:val="both"/>
            </w:pPr>
            <w:r>
              <w:rPr>
                <w:rFonts w:ascii="仿宋_GB2312" w:hAnsi="仿宋_GB2312" w:cs="仿宋_GB2312" w:eastAsia="仿宋_GB2312"/>
                <w:sz w:val="32"/>
              </w:rPr>
              <w:t>4.严格执行学生营养餐配送食材检验、留样、放行程序，对每批次出仓的配送食材都留样备查。</w:t>
            </w:r>
          </w:p>
          <w:p>
            <w:pPr>
              <w:pStyle w:val="null3"/>
              <w:ind w:firstLine="640"/>
              <w:jc w:val="both"/>
            </w:pPr>
            <w:r>
              <w:rPr>
                <w:rFonts w:ascii="仿宋_GB2312" w:hAnsi="仿宋_GB2312" w:cs="仿宋_GB2312" w:eastAsia="仿宋_GB2312"/>
                <w:sz w:val="32"/>
              </w:rPr>
              <w:t>5.每学期接受采购人随机抽样检查并评估考核。</w:t>
            </w:r>
          </w:p>
          <w:p>
            <w:pPr>
              <w:pStyle w:val="null3"/>
              <w:ind w:firstLine="640"/>
              <w:jc w:val="both"/>
            </w:pPr>
            <w:r>
              <w:rPr>
                <w:rFonts w:ascii="仿宋_GB2312" w:hAnsi="仿宋_GB2312" w:cs="仿宋_GB2312" w:eastAsia="仿宋_GB2312"/>
                <w:sz w:val="32"/>
              </w:rPr>
              <w:t>七、商务要求</w:t>
            </w:r>
          </w:p>
          <w:p>
            <w:pPr>
              <w:pStyle w:val="null3"/>
              <w:ind w:firstLine="640"/>
              <w:jc w:val="both"/>
            </w:pPr>
            <w:r>
              <w:rPr>
                <w:rFonts w:ascii="仿宋_GB2312" w:hAnsi="仿宋_GB2312" w:cs="仿宋_GB2312" w:eastAsia="仿宋_GB2312"/>
                <w:sz w:val="32"/>
              </w:rPr>
              <w:t>1.合同履行期限（服务期）：</w:t>
            </w:r>
            <w:r>
              <w:rPr>
                <w:rFonts w:ascii="仿宋_GB2312" w:hAnsi="仿宋_GB2312" w:cs="仿宋_GB2312" w:eastAsia="仿宋_GB2312"/>
                <w:sz w:val="32"/>
              </w:rPr>
              <w:t>合同签订后</w:t>
            </w:r>
            <w:r>
              <w:rPr>
                <w:rFonts w:ascii="仿宋_GB2312" w:hAnsi="仿宋_GB2312" w:cs="仿宋_GB2312" w:eastAsia="仿宋_GB2312"/>
                <w:sz w:val="32"/>
              </w:rPr>
              <w:t>1年（预计供餐200天，以实际供应时间为准）</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2.服务地点：采购人指定地点。</w:t>
            </w:r>
          </w:p>
          <w:p>
            <w:pPr>
              <w:pStyle w:val="null3"/>
              <w:ind w:firstLine="640"/>
              <w:jc w:val="both"/>
            </w:pPr>
            <w:r>
              <w:rPr>
                <w:rFonts w:ascii="仿宋_GB2312" w:hAnsi="仿宋_GB2312" w:cs="仿宋_GB2312" w:eastAsia="仿宋_GB2312"/>
                <w:sz w:val="32"/>
              </w:rPr>
              <w:t>3.付款方式：按月实际结算进行拨付（具体以合同约定为准）。</w:t>
            </w:r>
          </w:p>
          <w:p>
            <w:pPr>
              <w:pStyle w:val="null3"/>
              <w:ind w:firstLine="640"/>
              <w:jc w:val="both"/>
            </w:pPr>
            <w:r>
              <w:rPr>
                <w:rFonts w:ascii="仿宋_GB2312" w:hAnsi="仿宋_GB2312" w:cs="仿宋_GB2312" w:eastAsia="仿宋_GB2312"/>
                <w:sz w:val="32"/>
              </w:rPr>
              <w:t>4.验收要求：由学校指派专人负责对配送的学生营养餐食材进行验收，</w:t>
            </w:r>
            <w:r>
              <w:rPr>
                <w:rFonts w:ascii="仿宋_GB2312" w:hAnsi="仿宋_GB2312" w:cs="仿宋_GB2312" w:eastAsia="仿宋_GB2312"/>
                <w:sz w:val="32"/>
              </w:rPr>
              <w:t>验收时中标人须向采购人出具产品合格的检测（检验）报告，</w:t>
            </w:r>
            <w:r>
              <w:rPr>
                <w:rFonts w:ascii="仿宋_GB2312" w:hAnsi="仿宋_GB2312" w:cs="仿宋_GB2312" w:eastAsia="仿宋_GB2312"/>
                <w:sz w:val="32"/>
              </w:rPr>
              <w:t>验收不合格的，学校有权拒收，所有损失由中标单位承担；配送的食材价格不能高于当地时段的食材价格，学校有权审核食材价格，对超出市场价的食材进行调价。</w:t>
            </w:r>
          </w:p>
          <w:p>
            <w:pPr>
              <w:pStyle w:val="null3"/>
              <w:ind w:firstLine="640"/>
              <w:jc w:val="both"/>
            </w:pPr>
            <w:r>
              <w:rPr>
                <w:rFonts w:ascii="仿宋_GB2312" w:hAnsi="仿宋_GB2312" w:cs="仿宋_GB2312" w:eastAsia="仿宋_GB2312"/>
                <w:sz w:val="32"/>
              </w:rPr>
              <w:t>★5.投标人必须根据采购需求如实编写投标文件，投标人如不能逐条响应采购需求中的内容，将做无效投标处理。如发现与其投标文件中的描述不一，代理机构将报政府采购主管部门严肃处理。</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1"/>
                <w:color w:val="333333"/>
                <w:shd w:fill="FFFFFF" w:val="clear"/>
              </w:rPr>
              <w:t>★交付（服务）期</w:t>
            </w:r>
            <w:r>
              <w:rPr>
                <w:rFonts w:ascii="仿宋_GB2312" w:hAnsi="仿宋_GB2312" w:cs="仿宋_GB2312" w:eastAsia="仿宋_GB2312"/>
                <w:sz w:val="21"/>
                <w:color w:val="333333"/>
                <w:shd w:fill="FFFFFF" w:val="clear"/>
              </w:rPr>
              <w:t>/合同履行期限：</w:t>
            </w:r>
            <w:r>
              <w:rPr>
                <w:rFonts w:ascii="仿宋_GB2312" w:hAnsi="仿宋_GB2312" w:cs="仿宋_GB2312" w:eastAsia="仿宋_GB2312"/>
                <w:sz w:val="21"/>
                <w:color w:val="333333"/>
                <w:shd w:fill="FFFFFF" w:val="clear"/>
              </w:rPr>
              <w:t>合同签订后</w:t>
            </w:r>
            <w:r>
              <w:rPr>
                <w:rFonts w:ascii="仿宋_GB2312" w:hAnsi="仿宋_GB2312" w:cs="仿宋_GB2312" w:eastAsia="仿宋_GB2312"/>
                <w:sz w:val="21"/>
                <w:color w:val="333333"/>
                <w:shd w:fill="FFFFFF" w:val="clear"/>
              </w:rPr>
              <w:t>1年（预计供餐200天，以实际供应时间为准）</w:t>
            </w:r>
          </w:p>
          <w:p>
            <w:pPr>
              <w:pStyle w:val="null3"/>
              <w:jc w:val="both"/>
            </w:pPr>
            <w:r>
              <w:rPr>
                <w:rFonts w:ascii="仿宋_GB2312" w:hAnsi="仿宋_GB2312" w:cs="仿宋_GB2312" w:eastAsia="仿宋_GB2312"/>
                <w:sz w:val="21"/>
                <w:color w:val="333333"/>
                <w:shd w:fill="FFFFFF" w:val="clear"/>
              </w:rPr>
              <w:t>★交付（服务）地点</w:t>
            </w:r>
            <w:r>
              <w:rPr>
                <w:rFonts w:ascii="仿宋_GB2312" w:hAnsi="仿宋_GB2312" w:cs="仿宋_GB2312" w:eastAsia="仿宋_GB2312"/>
                <w:sz w:val="21"/>
                <w:color w:val="333333"/>
                <w:shd w:fill="FFFFFF" w:val="clear"/>
              </w:rPr>
              <w:t>：采购人指定地点</w:t>
            </w:r>
          </w:p>
          <w:p>
            <w:pPr>
              <w:pStyle w:val="null3"/>
              <w:jc w:val="both"/>
            </w:pPr>
            <w:r>
              <w:rPr>
                <w:rFonts w:ascii="仿宋_GB2312" w:hAnsi="仿宋_GB2312" w:cs="仿宋_GB2312" w:eastAsia="仿宋_GB2312"/>
                <w:sz w:val="21"/>
                <w:color w:val="333333"/>
                <w:shd w:fill="FFFFFF" w:val="clear"/>
              </w:rPr>
              <w:t>★投标有效期：</w:t>
            </w:r>
            <w:r>
              <w:rPr>
                <w:rFonts w:ascii="仿宋_GB2312" w:hAnsi="仿宋_GB2312" w:cs="仿宋_GB2312" w:eastAsia="仿宋_GB2312"/>
                <w:sz w:val="21"/>
                <w:color w:val="333333"/>
                <w:shd w:fill="FFFFFF" w:val="clear"/>
              </w:rPr>
              <w:t>投标截止时间届满后</w:t>
            </w:r>
            <w:r>
              <w:rPr>
                <w:rFonts w:ascii="仿宋_GB2312" w:hAnsi="仿宋_GB2312" w:cs="仿宋_GB2312" w:eastAsia="仿宋_GB2312"/>
                <w:sz w:val="21"/>
                <w:color w:val="333333"/>
                <w:shd w:fill="FFFFFF" w:val="clear"/>
              </w:rPr>
              <w:t>90日历天</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信用查询承诺函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法律、行政法规规定的其他条件的声明函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未发生过食品安全事故、无环保类行政处罚记录</w:t>
            </w:r>
          </w:p>
        </w:tc>
        <w:tc>
          <w:tcPr>
            <w:tcW w:type="dxa" w:w="3322"/>
          </w:tcPr>
          <w:p>
            <w:pPr>
              <w:pStyle w:val="null3"/>
              <w:jc w:val="left"/>
            </w:pPr>
            <w:r>
              <w:rPr>
                <w:rFonts w:ascii="仿宋_GB2312" w:hAnsi="仿宋_GB2312" w:cs="仿宋_GB2312" w:eastAsia="仿宋_GB2312"/>
              </w:rPr>
              <w:t>参加政府采购活动前三年内（2022年1月1日起至今，成立不满三年的自公司成立之日起算），未发生过食品安全事故、无环保类行政处罚记录声明函（提供声明函）</w:t>
            </w:r>
          </w:p>
        </w:tc>
        <w:tc>
          <w:tcPr>
            <w:tcW w:type="dxa" w:w="1661"/>
          </w:tcPr>
          <w:p>
            <w:pPr>
              <w:pStyle w:val="null3"/>
              <w:jc w:val="left"/>
            </w:pPr>
            <w:r>
              <w:rPr>
                <w:rFonts w:ascii="仿宋_GB2312" w:hAnsi="仿宋_GB2312" w:cs="仿宋_GB2312" w:eastAsia="仿宋_GB2312"/>
              </w:rPr>
              <w:t>未发生过食品安全事故、无环保类行政处罚记录</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具有有效的食品经营许可证</w:t>
            </w:r>
          </w:p>
        </w:tc>
        <w:tc>
          <w:tcPr>
            <w:tcW w:type="dxa" w:w="3322"/>
          </w:tcPr>
          <w:p>
            <w:pPr>
              <w:pStyle w:val="null3"/>
              <w:jc w:val="left"/>
            </w:pPr>
            <w:r>
              <w:rPr>
                <w:rFonts w:ascii="仿宋_GB2312" w:hAnsi="仿宋_GB2312" w:cs="仿宋_GB2312" w:eastAsia="仿宋_GB2312"/>
              </w:rPr>
              <w:t>具有有效的食品经营许可证（提供有效的食品经营许可证）</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提供政府采购供应商信用承诺书</w:t>
            </w:r>
          </w:p>
        </w:tc>
        <w:tc>
          <w:tcPr>
            <w:tcW w:type="dxa" w:w="3322"/>
          </w:tcPr>
          <w:p>
            <w:pPr>
              <w:pStyle w:val="null3"/>
              <w:jc w:val="left"/>
            </w:pPr>
            <w:r>
              <w:rPr>
                <w:rFonts w:ascii="仿宋_GB2312" w:hAnsi="仿宋_GB2312" w:cs="仿宋_GB2312" w:eastAsia="仿宋_GB2312"/>
              </w:rPr>
              <w:t>提供政府采购供应商信用承诺书</w:t>
            </w:r>
          </w:p>
        </w:tc>
        <w:tc>
          <w:tcPr>
            <w:tcW w:type="dxa" w:w="1661"/>
          </w:tcPr>
          <w:p>
            <w:pPr>
              <w:pStyle w:val="null3"/>
              <w:jc w:val="left"/>
            </w:pPr>
            <w:r>
              <w:rPr>
                <w:rFonts w:ascii="仿宋_GB2312" w:hAnsi="仿宋_GB2312" w:cs="仿宋_GB2312" w:eastAsia="仿宋_GB2312"/>
              </w:rPr>
              <w:t>政府采购供应商信用承诺书</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中小企业声明函 商务应答表 政府采购供应商信用承诺书 自觉抵制政府采购领域商业贿赂行为承诺书 封面 商业信誉、财务会计制度、缴纳税收和社保的承诺函 具有独立承担民事责任的能力证明文件 投标人承诺函 信用查询承诺函 法律、行政法规规定的其他条件的声明函 其他材料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 技术参数响应表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 技术参数响应表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完全响应“第三章 采购需求”二、技术和服务要求及三、商务要求中打“★”号的实质性条款</w:t>
            </w:r>
          </w:p>
        </w:tc>
        <w:tc>
          <w:tcPr>
            <w:tcW w:type="dxa" w:w="3322"/>
          </w:tcPr>
          <w:p>
            <w:pPr>
              <w:pStyle w:val="null3"/>
              <w:jc w:val="left"/>
            </w:pPr>
            <w:r>
              <w:rPr>
                <w:rFonts w:ascii="仿宋_GB2312" w:hAnsi="仿宋_GB2312" w:cs="仿宋_GB2312" w:eastAsia="仿宋_GB2312"/>
              </w:rPr>
              <w:t>投标人必须根据采购需求如实编写投标文件，投标人如不能逐条响应采购需求中的内容，将做无效投标处理</w:t>
            </w:r>
          </w:p>
        </w:tc>
        <w:tc>
          <w:tcPr>
            <w:tcW w:type="dxa" w:w="1661"/>
          </w:tcPr>
          <w:p>
            <w:pPr>
              <w:pStyle w:val="null3"/>
              <w:jc w:val="left"/>
            </w:pPr>
            <w:r>
              <w:rPr>
                <w:rFonts w:ascii="仿宋_GB2312" w:hAnsi="仿宋_GB2312" w:cs="仿宋_GB2312" w:eastAsia="仿宋_GB2312"/>
              </w:rPr>
              <w:t>技术参数响应表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技术部分38.00分</w:t>
            </w:r>
          </w:p>
          <w:p>
            <w:pPr>
              <w:pStyle w:val="null3"/>
              <w:jc w:val="both"/>
            </w:pPr>
            <w:r>
              <w:rPr>
                <w:rFonts w:ascii="仿宋_GB2312" w:hAnsi="仿宋_GB2312" w:cs="仿宋_GB2312" w:eastAsia="仿宋_GB2312"/>
              </w:rPr>
              <w:t>商务部分32.00分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项目需求的理解与调研分析</w:t>
            </w:r>
          </w:p>
        </w:tc>
        <w:tc>
          <w:tcPr>
            <w:tcW w:type="dxa" w:w="2492"/>
          </w:tcPr>
          <w:p>
            <w:pPr>
              <w:pStyle w:val="null3"/>
              <w:jc w:val="both"/>
            </w:pPr>
            <w:r>
              <w:rPr>
                <w:rFonts w:ascii="仿宋_GB2312" w:hAnsi="仿宋_GB2312" w:cs="仿宋_GB2312" w:eastAsia="仿宋_GB2312"/>
              </w:rPr>
              <w:t>1、投标人结合本项目的项目背景、采购要求等内容，对本项目的实施目标进行理解与分析，并提出具有可行性的项目执行建议，包括但不限于：（1）对项目目标的理解；（2）本项目的重点难点分析及合理化建议。 投标人提供上述内容的，每提供1项得0.5分，满分1分： 2、评标小组对投标文件中项目需求的理解与调研分析进行综合评价： A、投标人项目需求的理解与调研分析完整且每小项内容详细，思路清晰，考虑问题周全，能够满足实际工作需要，实施过程务实，可行性高、各项指标均能完成的，得2分； B、投标人项目需求的理解与调研分析内容全面、方案具有可行，针对性较好，基本符合项目需求的，得1.5分； C、投标人项目需求的理解与调研分析内容全面、方案具有可行，但针对性一般，可操作性一般的，得1分； D、投标人项目需求的理解与调研分析内容不全面、不具备可操作性的，得0.5分； E、不提供项目需求的理解与调研分析的，得0分。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食品质量管理措施</w:t>
            </w:r>
          </w:p>
        </w:tc>
        <w:tc>
          <w:tcPr>
            <w:tcW w:type="dxa" w:w="2492"/>
          </w:tcPr>
          <w:p>
            <w:pPr>
              <w:pStyle w:val="null3"/>
              <w:jc w:val="both"/>
            </w:pPr>
            <w:r>
              <w:rPr>
                <w:rFonts w:ascii="仿宋_GB2312" w:hAnsi="仿宋_GB2312" w:cs="仿宋_GB2312" w:eastAsia="仿宋_GB2312"/>
              </w:rPr>
              <w:t>1、食品质量管理措施包括但不限于：（1）食品安全、卫生管理措施；（2）食品质量保障措施；（3）食品原材料的品控措施；（4）不合格品处理措施。 投标人提供上述内容的，每提供1项得1分，满分4分： 2、评标小组对投标文件中食品质量管理措施内容的响应程度进行综合评价： A、投标人食品质量管理措施完整且每小项内容详细，方案适用性强，思路清晰，考虑问题周全，能够满足实际工作需要，实施过程务实，可行性高、各项指标均能完成的，得4分； B、投标人食品质量管理措施内容全面、方案具有可行，针对性较好，基本符合项目需求的，得3分； C、投标人食品质量管理措施内容全面、方案具有可行，但针对性一般，可操作性一般的，得2分； D、投标人食品质量管理措施内容不全面、不具备可操作性的，得1分； E、不提供食品质量管理措施的，得0分。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食品安全事故处置方案及应急处理方案</w:t>
            </w:r>
          </w:p>
        </w:tc>
        <w:tc>
          <w:tcPr>
            <w:tcW w:type="dxa" w:w="2492"/>
          </w:tcPr>
          <w:p>
            <w:pPr>
              <w:pStyle w:val="null3"/>
              <w:jc w:val="both"/>
            </w:pPr>
            <w:r>
              <w:rPr>
                <w:rFonts w:ascii="仿宋_GB2312" w:hAnsi="仿宋_GB2312" w:cs="仿宋_GB2312" w:eastAsia="仿宋_GB2312"/>
              </w:rPr>
              <w:t>1、投标人根据自身情况结合本项目采购需求制定食品安全事故处置方案及应急处理方案，方案应包括但不限于：（1）食品安全事故处置方案（含人员救治、危害控制、事故调查、善后处理等）；（2）应急保障方案（台风天、大雨天等特殊情况保障）。 投标人提供上述内容的，每提供1项得1分，满分2分： 2、评标小组对投标文件中食品安全事故处置方案及应急处理方案内容的响应程度进行综合评价： A、投标人食品安全事故处置方案及应急处理方案完整且每小项内容详细，方案适用性强，思路清晰，考虑问题周全，能够满足实际工作需要，实施过程务实，可行性高、各项指标均能完成的，得4分； B、投标人食品安全事故处置方案及应急处理方案内容全面、方案具有可行，针对性较好，基本符合项目需求的，得3分； C、投标人食品安全事故处置方案及应急处理方案内容全面、方案具有可行，但针对性一般，可操作性一般的，得2分； D、投标人食品安全事故处置方案及应急处理方案内容不全面、不具备可操作性的，得1分； E、不提供食品安全事故处置方案及应急处理方案的，得0分。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仓储管理方案</w:t>
            </w:r>
          </w:p>
        </w:tc>
        <w:tc>
          <w:tcPr>
            <w:tcW w:type="dxa" w:w="2492"/>
          </w:tcPr>
          <w:p>
            <w:pPr>
              <w:pStyle w:val="null3"/>
              <w:jc w:val="both"/>
            </w:pPr>
            <w:r>
              <w:rPr>
                <w:rFonts w:ascii="仿宋_GB2312" w:hAnsi="仿宋_GB2312" w:cs="仿宋_GB2312" w:eastAsia="仿宋_GB2312"/>
              </w:rPr>
              <w:t>1、仓储管理方案包括但不限于：（1）仓库空间划分；（2）仓储管理制度。 供应商提供上述内容的，每提供1项得1分，满分2分： 2、评标小组对投标文件中仓储管理方案的响应程度进行综合评价： A、投标人仓储管理方案完整且每小项内容详细，方案适用性强，思路清晰，考虑问题周全，能够满足实际工作需要，实施过程务实，可行性高、各项指标均能完成的，得4分； B、投标人仓储管理方案内容全面、方案具有可行，针对性较好，基本符合项目需求的，得3分； C、投标人仓储管理方案内容全面、方案具有可行，但针对性一般，可操作性一般的，得2分； D、投标人仓储管理方案内容不全面、不具备可操作性的，得1分； E、不提供仓储管理方案的，得0分。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供货及运输方案</w:t>
            </w:r>
          </w:p>
        </w:tc>
        <w:tc>
          <w:tcPr>
            <w:tcW w:type="dxa" w:w="2492"/>
          </w:tcPr>
          <w:p>
            <w:pPr>
              <w:pStyle w:val="null3"/>
              <w:jc w:val="both"/>
            </w:pPr>
            <w:r>
              <w:rPr>
                <w:rFonts w:ascii="仿宋_GB2312" w:hAnsi="仿宋_GB2312" w:cs="仿宋_GB2312" w:eastAsia="仿宋_GB2312"/>
              </w:rPr>
              <w:t>1、供货及运输方案包括但不限于：（1）供货计划；（2）产品包装的操作规范；（3）食品运输方案；（4）货物验收方案。 供应商提供上述内容的，每提供1项得1分，满分4分： 2、评标小组对投标文件中供货及运输方案的响应程度进行综合评价： A、投标人供货及运输方案完整且每小项内容详细，方案适用性强，思路清晰，考虑问题周全，能够满足实际工作需要，实施过程务实，可行性高、各项指标均能完成的，得4分； B、投标人供货及运输方案内容全面、方案具有可行，针对性较好，基本符合项目需求的，得3分； C、投标人供货及运输方案内容全面、方案具有可行，但针对性一般，可操作性一般的，得2分； D、投标人供货及运输方案内容不全面、不具备可操作性的，得1分； E、不提供供货及运输方案，得0分。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售后管理服务方案</w:t>
            </w:r>
          </w:p>
        </w:tc>
        <w:tc>
          <w:tcPr>
            <w:tcW w:type="dxa" w:w="2492"/>
          </w:tcPr>
          <w:p>
            <w:pPr>
              <w:pStyle w:val="null3"/>
              <w:jc w:val="both"/>
            </w:pPr>
            <w:r>
              <w:rPr>
                <w:rFonts w:ascii="仿宋_GB2312" w:hAnsi="仿宋_GB2312" w:cs="仿宋_GB2312" w:eastAsia="仿宋_GB2312"/>
              </w:rPr>
              <w:t>1、售后管理服务方案包括但不限于：（1）服务承诺；（2）售后服务内容及形式；（3）售后管理制度。 供应商提供上述内容的，每提供1项得1分，满分3分： 2、评标小组对投标文件中售后管理服务方案的响应程度进行综合评价： A、投标人售后管理服务完整且每小项内容详细，方案适用性强，思路清晰，考虑问题周全，能够满足实际工作需要，实施过程务实，可行性高、各项指标均能完成的，得4分； B、投标人售后管理服务方案内容全面、方案具有可行，针对性较好，基本符合项目需求的，得3分； C、投标人售后管理服务方案内容全面、方案具有可行，但针对性一般，可操作性一般的，得2分； D、投标人售后管理服务方案内容不全面、不具备可操作性的，得1分 E、不提供售后管理服务方案的，得0分。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投标人自2022年1月1日以来承接类似项目的，每提供一个业绩得4分，最高得8分。证明材料：投标文件中须提供项目合同（或协议书）关键页复印件加盖单位公章（以合同签定时间为准）。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食品安全责任险</w:t>
            </w:r>
          </w:p>
        </w:tc>
        <w:tc>
          <w:tcPr>
            <w:tcW w:type="dxa" w:w="2492"/>
          </w:tcPr>
          <w:p>
            <w:pPr>
              <w:pStyle w:val="null3"/>
              <w:jc w:val="both"/>
            </w:pPr>
            <w:r>
              <w:rPr>
                <w:rFonts w:ascii="仿宋_GB2312" w:hAnsi="仿宋_GB2312" w:cs="仿宋_GB2312" w:eastAsia="仿宋_GB2312"/>
              </w:rPr>
              <w:t>已购买或承诺中标后购买具有赔付额为 5000 万(含)以上的食品安全责任保险保障得 4分；已购买或承诺中标后购买具有赔付额为 5000 万以下的食品安全责任险得 2 分。 不购买或无承诺不得分。 证明材料：已购买食品安全责任险的提供有效的保单复印件加盖公章，承诺中标后购买的提供承诺函加盖公章（格式自拟）。</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仓储能力</w:t>
            </w:r>
          </w:p>
        </w:tc>
        <w:tc>
          <w:tcPr>
            <w:tcW w:type="dxa" w:w="2492"/>
          </w:tcPr>
          <w:p>
            <w:pPr>
              <w:pStyle w:val="null3"/>
              <w:jc w:val="both"/>
            </w:pPr>
            <w:r>
              <w:rPr>
                <w:rFonts w:ascii="仿宋_GB2312" w:hAnsi="仿宋_GB2312" w:cs="仿宋_GB2312" w:eastAsia="仿宋_GB2312"/>
              </w:rPr>
              <w:t>投标人自有或租赁或承诺中标后设立适宜存储本项目所需食品的冷库： （1）冷库面积≥500㎡，得5分； （2）400㎡≤冷库面积＜500㎡，得4分； （3）300㎡≤冷库面积＜400㎡，得3分； （4）200㎡≤冷库面积＜300㎡，得2分； （5）100㎡≤冷库面积＜200㎡，得1分； （6）冷库面积＜100㎡，不得分。 证明材料：属自有产权的出示产权证复印件、现场实际照片（≥4张）及体现冷库面积的相关证明材料（包括但不限于平面图或冷库施工合同等）。属租赁的出示有效租赁合同复印件、体现冷库面积的相关证明材料（包括但不限于平面图或冷库施工合同等）、现场实际照片（≥4张）、产权证明以及对应银行转账资料复印件，且必须以投标人名义租赁；为承诺设立的提供承诺函（格式自拟）（承诺函包含但不限于拟设立的冷库面积、冷库设立的时间、冷库设立的标准等，并在与采购人签订合同时需提供设立冷库的相关证明材料，否则视为虚假响应）以上材料须体现冷库面积信息，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食品检测能力</w:t>
            </w:r>
          </w:p>
        </w:tc>
        <w:tc>
          <w:tcPr>
            <w:tcW w:type="dxa" w:w="2492"/>
          </w:tcPr>
          <w:p>
            <w:pPr>
              <w:pStyle w:val="null3"/>
              <w:jc w:val="both"/>
            </w:pPr>
            <w:r>
              <w:rPr>
                <w:rFonts w:ascii="仿宋_GB2312" w:hAnsi="仿宋_GB2312" w:cs="仿宋_GB2312" w:eastAsia="仿宋_GB2312"/>
              </w:rPr>
              <w:t>投标人自有蔬菜水果类、干货调料禽蛋类等食品检测能力的检测实验室或与具有蔬菜水果类、干货调料禽蛋类等食品检测能力的第三方检测机构签定合作协议，得3分。 备注：（1）自有检测实验室的提供相关检测类目的检测设备发票（发票须为投标人名下）、实验室产权证明（或租赁协议）、实验室的实拍照片及具有检测能力的承诺书，作为佐证材料。（2）委托第三方检测的则提供与第三方检测机构的合作协议复印件及第三方检测机构的检测资格证明材料，检测范围包括但不限于蔬菜水果类、干货调料禽蛋类。</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配送能力</w:t>
            </w:r>
          </w:p>
        </w:tc>
        <w:tc>
          <w:tcPr>
            <w:tcW w:type="dxa" w:w="2492"/>
          </w:tcPr>
          <w:p>
            <w:pPr>
              <w:pStyle w:val="null3"/>
              <w:jc w:val="both"/>
            </w:pPr>
            <w:r>
              <w:rPr>
                <w:rFonts w:ascii="仿宋_GB2312" w:hAnsi="仿宋_GB2312" w:cs="仿宋_GB2312" w:eastAsia="仿宋_GB2312"/>
              </w:rPr>
              <w:t>投标人拟投入本项目使用，且符合国家运输安全标准的冷藏运输配送车辆（为符合食品运输车辆），每配备1辆得2 分，本项满分6 分。 证明材料：（1）投标人自有冷藏运输车辆（必须为投标人名下车辆）：提供有效的《机动车行驶证》复印件、冷藏运输车辆照片（≥4张照片，须体现车辆号牌）、《机动车登记证》复印件作为证明材料。 （2）投标人租赁冷藏运输车辆：提供租赁合同（合同期须覆盖本项目供货期，且必须以投标人名义租赁）复印件、冷藏运输车辆照片（≥4张照片，须体现车辆号牌）、有效的《机动车行驶证》复印件及对应的租赁费用转账凭证等证明材料。 （3）无或缺项或未按要求递交证明材料的不得分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人员配置</w:t>
            </w:r>
          </w:p>
        </w:tc>
        <w:tc>
          <w:tcPr>
            <w:tcW w:type="dxa" w:w="2492"/>
          </w:tcPr>
          <w:p>
            <w:pPr>
              <w:pStyle w:val="null3"/>
              <w:jc w:val="both"/>
            </w:pPr>
            <w:r>
              <w:rPr>
                <w:rFonts w:ascii="仿宋_GB2312" w:hAnsi="仿宋_GB2312" w:cs="仿宋_GB2312" w:eastAsia="仿宋_GB2312"/>
              </w:rPr>
              <w:t>投标人在满足本项目采购需求最低人员配备（负责1名，专职服务人员4名，共5人）要求的基础上，每增加 1 人得2分，最高得6分。 证明材料：提供人员身份证、健康证、劳动合同。以上材料需要提供复印件加盖公章，少提供或不提供不得分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HNZM-20250722</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2025年三亚市崖州区农村义务教育学生营养改善计划（食堂供餐项目）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2025年三亚市崖州区农村义务教育学生营养改善计划（食堂供餐项目）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2025年三亚市崖州区农村义务教育学生营养改善计划（食堂供餐项目）</w:t>
            </w:r>
          </w:p>
        </w:tc>
        <w:tc>
          <w:tcPr>
            <w:tcW w:type="dxa" w:w="831"/>
          </w:tcPr>
          <w:p>
            <w:pPr>
              <w:pStyle w:val="null3"/>
              <w:jc w:val="left"/>
            </w:pPr>
            <w:r>
              <w:rPr>
                <w:rFonts w:ascii="仿宋_GB2312" w:hAnsi="仿宋_GB2312" w:cs="仿宋_GB2312" w:eastAsia="仿宋_GB2312"/>
              </w:rPr>
              <w:t xml:space="preserve"> 746000.00份</w:t>
            </w:r>
          </w:p>
        </w:tc>
        <w:tc>
          <w:tcPr>
            <w:tcW w:type="dxa" w:w="831"/>
          </w:tcPr>
          <w:p>
            <w:pPr>
              <w:pStyle w:val="null3"/>
              <w:jc w:val="left"/>
            </w:pPr>
            <w:r>
              <w:rPr>
                <w:rFonts w:ascii="仿宋_GB2312" w:hAnsi="仿宋_GB2312" w:cs="仿宋_GB2312" w:eastAsia="仿宋_GB2312"/>
              </w:rPr>
              <w:t xml:space="preserve"> 3730000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详见附件：法律、行政法规规定的其他条件的声明函</w:t>
      </w:r>
    </w:p>
    <w:p>
      <w:pPr>
        <w:pStyle w:val="null3"/>
        <w:ind w:firstLine="960"/>
        <w:jc w:val="left"/>
      </w:pPr>
      <w:r>
        <w:rPr>
          <w:rFonts w:ascii="仿宋_GB2312" w:hAnsi="仿宋_GB2312" w:cs="仿宋_GB2312" w:eastAsia="仿宋_GB2312"/>
        </w:rPr>
        <w:t>详见附件：信用查询承诺函</w:t>
      </w:r>
    </w:p>
    <w:p>
      <w:pPr>
        <w:pStyle w:val="null3"/>
        <w:ind w:firstLine="960"/>
        <w:jc w:val="left"/>
      </w:pPr>
      <w:r>
        <w:rPr>
          <w:rFonts w:ascii="仿宋_GB2312" w:hAnsi="仿宋_GB2312" w:cs="仿宋_GB2312" w:eastAsia="仿宋_GB2312"/>
        </w:rPr>
        <w:t>详见附件：政府采购供应商信用承诺书</w:t>
      </w:r>
    </w:p>
    <w:p>
      <w:pPr>
        <w:pStyle w:val="null3"/>
        <w:ind w:firstLine="960"/>
        <w:jc w:val="left"/>
      </w:pPr>
      <w:r>
        <w:rPr>
          <w:rFonts w:ascii="仿宋_GB2312" w:hAnsi="仿宋_GB2312" w:cs="仿宋_GB2312" w:eastAsia="仿宋_GB2312"/>
        </w:rPr>
        <w:t>详见附件：未发生过食品安全事故、无环保类行政处罚记录</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