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崖州湾科教城A区(2025年-2027年）房屋拆除清表项目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[HNZHG]20250600001[GK]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三亚市崖州区项目推进服务中心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海南指晖官技术有限公司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三亚市崖州区项目推进服务中心</w:t>
      </w:r>
      <w:r>
        <w:rPr>
          <w:rFonts w:ascii="仿宋_GB2312" w:hAnsi="仿宋_GB2312" w:cs="仿宋_GB2312" w:eastAsia="仿宋_GB2312"/>
        </w:rPr>
        <w:t xml:space="preserve"> 委托， </w:t>
      </w:r>
      <w:r>
        <w:rPr>
          <w:rFonts w:ascii="仿宋_GB2312" w:hAnsi="仿宋_GB2312" w:cs="仿宋_GB2312" w:eastAsia="仿宋_GB2312"/>
        </w:rPr>
        <w:t>海南指晖官技术有限公司</w:t>
      </w:r>
      <w:r>
        <w:rPr>
          <w:rFonts w:ascii="仿宋_GB2312" w:hAnsi="仿宋_GB2312" w:cs="仿宋_GB2312" w:eastAsia="仿宋_GB2312"/>
        </w:rPr>
        <w:t xml:space="preserve"> 对 </w:t>
      </w:r>
      <w:r>
        <w:rPr>
          <w:rFonts w:ascii="仿宋_GB2312" w:hAnsi="仿宋_GB2312" w:cs="仿宋_GB2312" w:eastAsia="仿宋_GB2312"/>
        </w:rPr>
        <w:t>崖州湾科教城A区(2025年-2027年）房屋拆除清表项目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[HNZHG]20250600001[GK]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崖州湾科教城A区(2025年-2027年）房屋拆除清表项目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15,000,000.00元</w:t>
      </w:r>
      <w:r>
        <w:rPr>
          <w:rFonts w:ascii="仿宋_GB2312" w:hAnsi="仿宋_GB2312" w:cs="仿宋_GB2312" w:eastAsia="仿宋_GB2312"/>
        </w:rPr>
        <w:t>壹仟伍佰万元整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服务期三年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1、投标人资质要求：投标人具备有效的安全生产许可证，具备建筑工程施工总承包叁级（含）或以上级资质或根据《住房和城乡建设部关于印发建设工程企业资质管理制度改革方案的通知（建市〔2020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无在建承诺函，格式自拟和2025年任意一个月社保凭证复印件加盖公章）</w:t>
      </w:r>
    </w:p>
    <w:p>
      <w:pPr>
        <w:pStyle w:val="null3"/>
        <w:jc w:val="left"/>
      </w:pPr>
      <w:r>
        <w:rPr>
          <w:rFonts w:ascii="仿宋_GB2312" w:hAnsi="仿宋_GB2312" w:cs="仿宋_GB2312" w:eastAsia="仿宋_GB2312"/>
        </w:rPr>
        <w:t>2、参加政府采购活动前三年内，在经营活动中没有环保类行政处罚记录：提供参加政府采购活动前三年内，在经营活动中没有环保类行政处罚记录的承诺函</w:t>
      </w:r>
    </w:p>
    <w:p>
      <w:pPr>
        <w:pStyle w:val="null3"/>
        <w:jc w:val="left"/>
      </w:pPr>
      <w:r>
        <w:rPr>
          <w:rFonts w:ascii="仿宋_GB2312" w:hAnsi="仿宋_GB2312" w:cs="仿宋_GB2312" w:eastAsia="仿宋_GB2312"/>
        </w:rPr>
        <w:t>3、单位负责人为同一人或者存在直接控股、管理关系的不同供应商，不得参加同一合同项下的政府采购活动：提供单位负责人为同一人或者存在直接控股、管理关系的不同供应商，不得参加同一合同项下的政府采购活动的承诺函</w:t>
      </w:r>
    </w:p>
    <w:p>
      <w:pPr>
        <w:pStyle w:val="null3"/>
        <w:jc w:val="left"/>
      </w:pPr>
      <w:r>
        <w:rPr>
          <w:rFonts w:ascii="仿宋_GB2312" w:hAnsi="仿宋_GB2312" w:cs="仿宋_GB2312" w:eastAsia="仿宋_GB2312"/>
        </w:rPr>
        <w:t>4、政府采购供应商信用承诺书：提供政府采购供应商信用承诺书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采用远程不见面方式（供应商无需到现场）。5、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三亚市崖州区项目推进服务中心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崖州区政府</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572024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崔学良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0898-88822012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海南指晖官技术有限公司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海南省三亚市吉阳区内园五巷9号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谢丽娟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17722291335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采购包1：15,000,000.00元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采购包1保证金金额：50,000.00元</w:t>
            </w:r>
          </w:p>
          <w:p>
            <w:pPr>
              <w:pStyle w:val="null3"/>
              <w:jc w:val="left"/>
            </w:pPr>
            <w:r>
              <w:rPr>
                <w:rFonts w:ascii="仿宋_GB2312" w:hAnsi="仿宋_GB2312" w:cs="仿宋_GB2312" w:eastAsia="仿宋_GB2312"/>
              </w:rPr>
              <w:t>缴交渠道：保函</w:t>
            </w:r>
          </w:p>
          <w:p>
            <w:pPr>
              <w:pStyle w:val="null3"/>
              <w:jc w:val="left"/>
            </w:pPr>
            <w:r>
              <w:rPr>
                <w:rFonts w:ascii="仿宋_GB2312" w:hAnsi="仿宋_GB2312" w:cs="仿宋_GB2312" w:eastAsia="仿宋_GB2312"/>
              </w:rPr>
              <w:t xml:space="preserve"> 其他说明：</w:t>
            </w:r>
          </w:p>
          <w:p>
            <w:pPr>
              <w:pStyle w:val="null3"/>
              <w:jc w:val="left"/>
            </w:pPr>
            <w:r>
              <w:rPr>
                <w:rFonts w:ascii="仿宋_GB2312" w:hAnsi="仿宋_GB2312" w:cs="仿宋_GB2312" w:eastAsia="仿宋_GB2312"/>
              </w:rPr>
              <w:t xml:space="preserve"> 1、缴纳截止时间为本项目投标（报价）截止时间，以保证金账户实际收款为准；</w:t>
            </w:r>
          </w:p>
          <w:p>
            <w:pPr>
              <w:pStyle w:val="null3"/>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代理服务费收费标准：招标代理服务费为79608.00元。中标人在领取中标通知书的同时缴纳招标代理服务费。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1、参照《政府采购促进中小企业发展管理办法》（财库〔2020〕46号）相关规定，发挥政府采购的政策功能，促进中小企业健康发展。本项目为非预留份额专门面向中小企业采购的采购项目。 对符合规定的小微企业报价给予10％的扣除，用扣除后的价格参加评审。中小企业参加本次政府采购活动，应当出具《中小企业声明函》。否则不得享受相关中小企业扶持政策。本项目非专门面向中小企业采购项目，大中型企业均可参加对小微型企业参与政府采购的报价给与价格的扣除，折扣（10％）的优惠折算后计算投标报价得分，监狱企业、残疾人福利性单位属于小型、微型企业的，不重复享受政策）。2、根据《财政部司法部关于政府采购支持监狱企业发展有关问题的通知》（财库〔2014〕68号）文件规定，监狱企业参加政府采购活动时，应当提供由省级以上监狱管理问、戒毒管理局（含新疆生产建设兵团）出具的属于监狱企业的证明文件。监狱企业视同小型、微型企业，享受预留份额、评审中价格扣除等政府采购促进中小企业发展的政府采购政策。3、根据《财政部民政部中国残疾人联合会关于促进残疾人就业政府采购政策的通知》（财库〔2017〕141号）的规定，符合条件的残疾人福利性单位在参加政府采购活动时，须提供《残疾人福利性单位声明函》。残疾人福利性单位视同小型、微型企业，享受预留份额、评审中专门面向中小企业采购的项目，不再执行价格评审优惠的扶持政策。残疾人福利性单位属于小型、微型企业的，不重复享受政策。4、根据国家统计局关于印发《统计上大中小微型企业划分办 法（2017）》 的通知，本项目所属行业： 建筑业。 5、各投标投标人的相关证明材 料必须在投标文件内提供加盖公章扫描件； 6、投标文件中所附的有关证明、证书、证件等材料均为真实有效的，采购人在开标结束后有权对投标提交的证明、证书、证件等原件材料进行核实。经核实若虚假材料的，若为中标投标人的还将取消其中标资格，若已签订合同则取消合同并同时上报主管部门进行处罚。 5、本项目采用远程不见面方式（投标人无需到现场）。 投标人使用“投标客户端”编制、签章、生成加密投标文件，同时生成（同一版的备用投标文件），投标人自行留存，涉及“加盖公章”的内容应使用单位电子公章完成。 开启时，投标人应当使用数字证书在解密时限内完成全部已响应采购包的投标文件在线解密，若出现系统异常情况，工作人员可适当延长解密时长。 6、不接受投标人的备用标书上传。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联系人：谢丽娟</w:t>
      </w:r>
    </w:p>
    <w:p>
      <w:pPr>
        <w:pStyle w:val="null3"/>
        <w:jc w:val="left"/>
      </w:pPr>
      <w:r>
        <w:rPr>
          <w:rFonts w:ascii="仿宋_GB2312" w:hAnsi="仿宋_GB2312" w:cs="仿宋_GB2312" w:eastAsia="仿宋_GB2312"/>
        </w:rPr>
        <w:t>联系电话：17722291335</w:t>
      </w:r>
    </w:p>
    <w:p>
      <w:pPr>
        <w:pStyle w:val="null3"/>
        <w:jc w:val="left"/>
      </w:pPr>
      <w:r>
        <w:rPr>
          <w:rFonts w:ascii="仿宋_GB2312" w:hAnsi="仿宋_GB2312" w:cs="仿宋_GB2312" w:eastAsia="仿宋_GB2312"/>
        </w:rPr>
        <w:t>地址：海南省三亚市吉阳区内园五巷9号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color w:val="000000"/>
        </w:rPr>
        <w:t>服务内容包含（</w:t>
      </w:r>
      <w:r>
        <w:rPr>
          <w:rFonts w:ascii="仿宋_GB2312" w:hAnsi="仿宋_GB2312" w:cs="仿宋_GB2312" w:eastAsia="仿宋_GB2312"/>
          <w:sz w:val="32"/>
          <w:color w:val="000000"/>
        </w:rPr>
        <w:t>1）清理表土（工程量以结算实际为准）</w:t>
      </w:r>
      <w:r>
        <w:rPr>
          <w:rFonts w:ascii="仿宋_GB2312" w:hAnsi="仿宋_GB2312" w:cs="仿宋_GB2312" w:eastAsia="仿宋_GB2312"/>
          <w:sz w:val="32"/>
          <w:color w:val="000000"/>
        </w:rPr>
        <w:t>；（</w:t>
      </w:r>
      <w:r>
        <w:rPr>
          <w:rFonts w:ascii="仿宋_GB2312" w:hAnsi="仿宋_GB2312" w:cs="仿宋_GB2312" w:eastAsia="仿宋_GB2312"/>
          <w:sz w:val="32"/>
          <w:color w:val="000000"/>
        </w:rPr>
        <w:t>2）框架、混合结构拆除（工程量以结算实际为准）；（3）简易结构拆除（工程量以结算实际为准）；（</w:t>
      </w:r>
      <w:r>
        <w:rPr>
          <w:rFonts w:ascii="仿宋_GB2312" w:hAnsi="仿宋_GB2312" w:cs="仿宋_GB2312" w:eastAsia="仿宋_GB2312"/>
          <w:sz w:val="32"/>
          <w:color w:val="000000"/>
        </w:rPr>
        <w:t>4</w:t>
      </w:r>
      <w:r>
        <w:rPr>
          <w:rFonts w:ascii="仿宋_GB2312" w:hAnsi="仿宋_GB2312" w:cs="仿宋_GB2312" w:eastAsia="仿宋_GB2312"/>
          <w:sz w:val="32"/>
          <w:color w:val="000000"/>
        </w:rPr>
        <w:t>）建筑垃圾清运（工程量以结算实际为准）；</w:t>
      </w:r>
      <w:r>
        <w:rPr>
          <w:rFonts w:ascii="仿宋_GB2312" w:hAnsi="仿宋_GB2312" w:cs="仿宋_GB2312" w:eastAsia="仿宋_GB2312"/>
          <w:sz w:val="32"/>
          <w:color w:val="000000"/>
        </w:rPr>
        <w:t>（</w:t>
      </w:r>
      <w:r>
        <w:rPr>
          <w:rFonts w:ascii="仿宋_GB2312" w:hAnsi="仿宋_GB2312" w:cs="仿宋_GB2312" w:eastAsia="仿宋_GB2312"/>
          <w:sz w:val="32"/>
          <w:color w:val="000000"/>
        </w:rPr>
        <w:t>5</w:t>
      </w:r>
      <w:r>
        <w:rPr>
          <w:rFonts w:ascii="仿宋_GB2312" w:hAnsi="仿宋_GB2312" w:cs="仿宋_GB2312" w:eastAsia="仿宋_GB2312"/>
          <w:sz w:val="32"/>
          <w:color w:val="000000"/>
        </w:rPr>
        <w:t>）大型机械设备进出场及安拆（工程量以结算实际为准），履带式挖掘机</w:t>
      </w:r>
      <w:r>
        <w:rPr>
          <w:rFonts w:ascii="仿宋_GB2312" w:hAnsi="仿宋_GB2312" w:cs="仿宋_GB2312" w:eastAsia="仿宋_GB2312"/>
          <w:sz w:val="32"/>
          <w:color w:val="000000"/>
        </w:rPr>
        <w:t>；（</w:t>
      </w:r>
      <w:r>
        <w:rPr>
          <w:rFonts w:ascii="仿宋_GB2312" w:hAnsi="仿宋_GB2312" w:cs="仿宋_GB2312" w:eastAsia="仿宋_GB2312"/>
          <w:sz w:val="32"/>
          <w:color w:val="000000"/>
        </w:rPr>
        <w:t>6</w:t>
      </w:r>
      <w:r>
        <w:rPr>
          <w:rFonts w:ascii="仿宋_GB2312" w:hAnsi="仿宋_GB2312" w:cs="仿宋_GB2312" w:eastAsia="仿宋_GB2312"/>
          <w:sz w:val="32"/>
          <w:color w:val="000000"/>
        </w:rPr>
        <w:t>）大型机械设备进出场及安拆（工程量以结算实际为准），履带式推土机。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15,000,000.00</w:t>
      </w:r>
    </w:p>
    <w:p>
      <w:pPr>
        <w:pStyle w:val="null3"/>
        <w:jc w:val="left"/>
      </w:pPr>
      <w:r>
        <w:rPr>
          <w:rFonts w:ascii="仿宋_GB2312" w:hAnsi="仿宋_GB2312" w:cs="仿宋_GB2312" w:eastAsia="仿宋_GB2312"/>
        </w:rPr>
        <w:t>采购包最高限价（元）: 15,000,000.00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崖州湾科教城A区(2025年-2027年）房屋拆除清表项目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标的名称：崖州湾科教城A区(2025年-2027年）房屋拆除清表项目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采购服务清单</w:t>
            </w:r>
          </w:p>
          <w:tbl>
            <w:tblPr>
              <w:tblInd w:type="dxa" w:w="135"/>
              <w:tblBorders>
                <w:top w:val="none" w:color="000000" w:sz="4"/>
                <w:left w:val="none" w:color="000000" w:sz="4"/>
                <w:bottom w:val="none" w:color="000000" w:sz="4"/>
                <w:right w:val="none" w:color="000000" w:sz="4"/>
                <w:insideH w:val="none"/>
                <w:insideV w:val="none"/>
              </w:tblBorders>
            </w:tblPr>
            <w:tblGrid>
              <w:gridCol w:w="186"/>
              <w:gridCol w:w="482"/>
              <w:gridCol w:w="736"/>
              <w:gridCol w:w="347"/>
              <w:gridCol w:w="560"/>
              <w:gridCol w:w="874"/>
            </w:tblGrid>
            <w:tr>
              <w:tc>
                <w:tcPr>
                  <w:tcW w:type="dxa" w:w="186"/>
                  <w:vMerge w:val="restart"/>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482"/>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项目名称</w:t>
                  </w:r>
                </w:p>
              </w:tc>
              <w:tc>
                <w:tcPr>
                  <w:tcW w:type="dxa" w:w="736"/>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项目特征描述</w:t>
                  </w:r>
                </w:p>
              </w:tc>
              <w:tc>
                <w:tcPr>
                  <w:tcW w:type="dxa" w:w="347"/>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计量单位</w:t>
                  </w:r>
                </w:p>
              </w:tc>
              <w:tc>
                <w:tcPr>
                  <w:tcW w:type="dxa" w:w="1434"/>
                  <w:gridSpan w:val="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金额（元）</w:t>
                  </w:r>
                </w:p>
              </w:tc>
            </w:tr>
            <w:tr>
              <w:tc>
                <w:tcPr>
                  <w:tcW w:type="dxa" w:w="186"/>
                  <w:vMerge/>
                  <w:tcBorders>
                    <w:top w:val="single" w:color="000000" w:sz="4"/>
                    <w:left w:val="single" w:color="000000" w:sz="4"/>
                    <w:bottom w:val="single" w:color="000000" w:sz="4"/>
                    <w:right w:val="single" w:color="000000" w:sz="4"/>
                  </w:tcBorders>
                </w:tcPr>
                <w:p/>
              </w:tc>
              <w:tc>
                <w:tcPr>
                  <w:tcW w:type="dxa" w:w="482"/>
                  <w:vMerge/>
                  <w:tcBorders>
                    <w:top w:val="single" w:color="000000" w:sz="4"/>
                    <w:left w:val="none" w:color="000000" w:sz="4"/>
                    <w:bottom w:val="single" w:color="000000" w:sz="4"/>
                    <w:right w:val="single" w:color="000000" w:sz="4"/>
                  </w:tcBorders>
                </w:tcPr>
                <w:p/>
              </w:tc>
              <w:tc>
                <w:tcPr>
                  <w:tcW w:type="dxa" w:w="736"/>
                  <w:vMerge/>
                  <w:tcBorders>
                    <w:top w:val="single" w:color="000000" w:sz="4"/>
                    <w:left w:val="none" w:color="000000" w:sz="4"/>
                    <w:bottom w:val="single" w:color="000000" w:sz="4"/>
                    <w:right w:val="single" w:color="000000" w:sz="4"/>
                  </w:tcBorders>
                </w:tcPr>
                <w:p/>
              </w:tc>
              <w:tc>
                <w:tcPr>
                  <w:tcW w:type="dxa" w:w="347"/>
                  <w:vMerge/>
                  <w:tcBorders>
                    <w:top w:val="single" w:color="000000" w:sz="4"/>
                    <w:left w:val="none" w:color="000000" w:sz="4"/>
                    <w:bottom w:val="single" w:color="000000" w:sz="4"/>
                    <w:right w:val="single" w:color="000000" w:sz="4"/>
                  </w:tcBorders>
                </w:tcPr>
                <w:p/>
              </w:tc>
              <w:tc>
                <w:tcPr>
                  <w:tcW w:type="dxa" w:w="56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含税最高单价</w:t>
                  </w:r>
                </w:p>
              </w:tc>
              <w:tc>
                <w:tcPr>
                  <w:tcW w:type="dxa" w:w="87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备注</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清理表土</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1.地表土层清理 机械清理 30cm以内</w:t>
                  </w:r>
                  <w:r>
                    <w:br/>
                  </w:r>
                  <w:r>
                    <w:rPr>
                      <w:rFonts w:ascii="仿宋_GB2312" w:hAnsi="仿宋_GB2312" w:cs="仿宋_GB2312" w:eastAsia="仿宋_GB2312"/>
                      <w:sz w:val="20"/>
                      <w:color w:val="000000"/>
                    </w:rPr>
                    <w:t>2.清表土方运输:投标人自行考虑</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亩</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3000.00</w:t>
                  </w:r>
                </w:p>
              </w:tc>
              <w:tc>
                <w:tcPr>
                  <w:tcW w:type="dxa" w:w="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框架、混合结构拆除</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1.拆除类型:框架、混合结构</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w:t>
                  </w:r>
                </w:p>
              </w:tc>
              <w:tc>
                <w:tcPr>
                  <w:tcW w:type="dxa" w:w="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简易结构拆除</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1.拆除类型:简易结构</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c>
                <w:tcPr>
                  <w:tcW w:type="dxa" w:w="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建筑垃圾清运</w:t>
                  </w:r>
                  <w:r>
                    <w:rPr>
                      <w:rFonts w:ascii="仿宋_GB2312" w:hAnsi="仿宋_GB2312" w:cs="仿宋_GB2312" w:eastAsia="仿宋_GB2312"/>
                      <w:sz w:val="20"/>
                      <w:color w:val="000000"/>
                    </w:rPr>
                    <w:t>4km以内（含4km）</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1.履带式单斗液压挖掘机挖石碴 装车 斗容1.0m3</w:t>
                  </w:r>
                  <w:r>
                    <w:br/>
                  </w:r>
                  <w:r>
                    <w:rPr>
                      <w:rFonts w:ascii="仿宋_GB2312" w:hAnsi="仿宋_GB2312" w:cs="仿宋_GB2312" w:eastAsia="仿宋_GB2312"/>
                      <w:sz w:val="20"/>
                      <w:color w:val="000000"/>
                    </w:rPr>
                    <w:t>2.垃圾运距:4km以内（含4km）</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27.70</w:t>
                  </w:r>
                </w:p>
              </w:tc>
              <w:tc>
                <w:tcPr>
                  <w:tcW w:type="dxa" w:w="874"/>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建筑垃圾清运4km以内（含4km）单价最高限价为：27.7元/m3；2.建筑垃圾清运4km~8km（含8km）单价最高限价为：43元/m3；3.建筑垃圾清运8km~12km（含12km）单价最高限价为：56元/m3；4.建筑垃圾清运12km以上单价最高限价为：65元/m3。</w:t>
                  </w: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建筑垃圾清运</w:t>
                  </w:r>
                  <w:r>
                    <w:rPr>
                      <w:rFonts w:ascii="仿宋_GB2312" w:hAnsi="仿宋_GB2312" w:cs="仿宋_GB2312" w:eastAsia="仿宋_GB2312"/>
                      <w:sz w:val="20"/>
                      <w:color w:val="000000"/>
                    </w:rPr>
                    <w:t>4km~8km（含8km）</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1.履带式单斗液压挖掘机挖石碴 装车 斗容1.0m3</w:t>
                  </w:r>
                  <w:r>
                    <w:br/>
                  </w:r>
                  <w:r>
                    <w:rPr>
                      <w:rFonts w:ascii="仿宋_GB2312" w:hAnsi="仿宋_GB2312" w:cs="仿宋_GB2312" w:eastAsia="仿宋_GB2312"/>
                      <w:sz w:val="20"/>
                      <w:color w:val="000000"/>
                    </w:rPr>
                    <w:t>2.垃圾运距:4km~8km（含8km）</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43.00</w:t>
                  </w:r>
                </w:p>
              </w:tc>
              <w:tc>
                <w:tcPr>
                  <w:tcW w:type="dxa" w:w="874"/>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建筑垃圾清运</w:t>
                  </w:r>
                  <w:r>
                    <w:rPr>
                      <w:rFonts w:ascii="仿宋_GB2312" w:hAnsi="仿宋_GB2312" w:cs="仿宋_GB2312" w:eastAsia="仿宋_GB2312"/>
                      <w:sz w:val="20"/>
                      <w:color w:val="000000"/>
                    </w:rPr>
                    <w:t>8km~12km（含12km）</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1.履带式单斗液压挖掘机挖石碴 装车 斗容1.0m3</w:t>
                  </w:r>
                  <w:r>
                    <w:br/>
                  </w:r>
                  <w:r>
                    <w:rPr>
                      <w:rFonts w:ascii="仿宋_GB2312" w:hAnsi="仿宋_GB2312" w:cs="仿宋_GB2312" w:eastAsia="仿宋_GB2312"/>
                      <w:sz w:val="20"/>
                      <w:color w:val="000000"/>
                    </w:rPr>
                    <w:t>2.垃圾运距:8km~12km（含12km）</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56.00</w:t>
                  </w:r>
                </w:p>
              </w:tc>
              <w:tc>
                <w:tcPr>
                  <w:tcW w:type="dxa" w:w="874"/>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建筑垃圾清运</w:t>
                  </w:r>
                  <w:r>
                    <w:rPr>
                      <w:rFonts w:ascii="仿宋_GB2312" w:hAnsi="仿宋_GB2312" w:cs="仿宋_GB2312" w:eastAsia="仿宋_GB2312"/>
                      <w:sz w:val="20"/>
                      <w:color w:val="000000"/>
                    </w:rPr>
                    <w:t>12km以上</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1.履带式单斗液压挖掘机挖石碴 装车 斗容1.0m3</w:t>
                  </w:r>
                  <w:r>
                    <w:br/>
                  </w:r>
                  <w:r>
                    <w:rPr>
                      <w:rFonts w:ascii="仿宋_GB2312" w:hAnsi="仿宋_GB2312" w:cs="仿宋_GB2312" w:eastAsia="仿宋_GB2312"/>
                      <w:sz w:val="20"/>
                      <w:color w:val="000000"/>
                    </w:rPr>
                    <w:t>2.垃圾运距:12km以上</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m³</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65.00</w:t>
                  </w:r>
                </w:p>
              </w:tc>
              <w:tc>
                <w:tcPr>
                  <w:tcW w:type="dxa" w:w="874"/>
                  <w:vMerge/>
                  <w:tcBorders>
                    <w:top w:val="none" w:color="000000" w:sz="4"/>
                    <w:left w:val="none" w:color="000000" w:sz="4"/>
                    <w:bottom w:val="single" w:color="000000" w:sz="4"/>
                    <w:right w:val="single" w:color="000000" w:sz="4"/>
                  </w:tcBorders>
                </w:tc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大型机械设备进出场及安拆</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1.场外运输 履带式挖掘机 1m3以内</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台．次</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3500.00</w:t>
                  </w:r>
                </w:p>
              </w:tc>
              <w:tc>
                <w:tcPr>
                  <w:tcW w:type="dxa" w:w="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r>
              <w:tc>
                <w:tcPr>
                  <w:tcW w:type="dxa" w:w="18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大型机械设备进出场及安拆</w:t>
                  </w:r>
                </w:p>
              </w:tc>
              <w:tc>
                <w:tcPr>
                  <w:tcW w:type="dxa" w:w="7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1.场外运输 履带式推土机 90kW以内</w:t>
                  </w:r>
                </w:p>
              </w:tc>
              <w:tc>
                <w:tcPr>
                  <w:tcW w:type="dxa" w:w="34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台．次</w:t>
                  </w:r>
                </w:p>
              </w:tc>
              <w:tc>
                <w:tcPr>
                  <w:tcW w:type="dxa" w:w="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4000.00</w:t>
                  </w:r>
                </w:p>
              </w:tc>
              <w:tc>
                <w:tcPr>
                  <w:tcW w:type="dxa" w:w="87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一、项目名称：崖州湾科教城</w:t>
            </w:r>
            <w:r>
              <w:rPr>
                <w:rFonts w:ascii="仿宋_GB2312" w:hAnsi="仿宋_GB2312" w:cs="仿宋_GB2312" w:eastAsia="仿宋_GB2312"/>
                <w:sz w:val="32"/>
              </w:rPr>
              <w:t>A区(2025年-2027年）房屋拆除清表项目</w:t>
            </w:r>
          </w:p>
          <w:p>
            <w:pPr>
              <w:pStyle w:val="null3"/>
              <w:ind w:firstLine="640"/>
              <w:jc w:val="left"/>
            </w:pPr>
            <w:r>
              <w:rPr>
                <w:rFonts w:ascii="仿宋_GB2312" w:hAnsi="仿宋_GB2312" w:cs="仿宋_GB2312" w:eastAsia="仿宋_GB2312"/>
                <w:sz w:val="32"/>
              </w:rPr>
              <w:t>二、服务内容概况：</w:t>
            </w:r>
          </w:p>
          <w:p>
            <w:pPr>
              <w:pStyle w:val="null3"/>
              <w:ind w:firstLine="640"/>
              <w:jc w:val="left"/>
            </w:pPr>
            <w:r>
              <w:rPr>
                <w:rFonts w:ascii="仿宋_GB2312" w:hAnsi="仿宋_GB2312" w:cs="仿宋_GB2312" w:eastAsia="仿宋_GB2312"/>
                <w:sz w:val="32"/>
              </w:rPr>
              <w:t>（一）项目地址：崖州湾科教城</w:t>
            </w:r>
            <w:r>
              <w:rPr>
                <w:rFonts w:ascii="仿宋_GB2312" w:hAnsi="仿宋_GB2312" w:cs="仿宋_GB2312" w:eastAsia="仿宋_GB2312"/>
                <w:sz w:val="32"/>
              </w:rPr>
              <w:t>A区</w:t>
            </w:r>
          </w:p>
          <w:p>
            <w:pPr>
              <w:pStyle w:val="null3"/>
              <w:jc w:val="both"/>
            </w:pPr>
            <w:r>
              <w:rPr>
                <w:rFonts w:ascii="仿宋_GB2312" w:hAnsi="仿宋_GB2312" w:cs="仿宋_GB2312" w:eastAsia="仿宋_GB2312"/>
                <w:sz w:val="32"/>
              </w:rPr>
              <w:t xml:space="preserve">    （二）项目范围：东至</w:t>
            </w:r>
            <w:r>
              <w:rPr>
                <w:rFonts w:ascii="仿宋_GB2312" w:hAnsi="仿宋_GB2312" w:cs="仿宋_GB2312" w:eastAsia="仿宋_GB2312"/>
                <w:sz w:val="32"/>
              </w:rPr>
              <w:t>G98环岛高速公路三亚崖州湾科技城段改建工程、西至崖州湾海岸线、南至科教城研学大道B段、北至宁远河。</w:t>
            </w:r>
          </w:p>
          <w:p>
            <w:pPr>
              <w:pStyle w:val="null3"/>
              <w:ind w:firstLine="643"/>
              <w:jc w:val="left"/>
            </w:pPr>
            <w:r>
              <w:rPr>
                <w:rFonts w:ascii="仿宋_GB2312" w:hAnsi="仿宋_GB2312" w:cs="仿宋_GB2312" w:eastAsia="仿宋_GB2312"/>
                <w:sz w:val="32"/>
                <w:b/>
              </w:rPr>
              <w:t>投标人需对所有子目报出相应的含税单价，总价只作为计算投标人的报价得分，最终结算以投标人的中标含税单价及实际完成的工作量进行结算。</w:t>
            </w:r>
          </w:p>
          <w:p>
            <w:pPr>
              <w:pStyle w:val="null3"/>
              <w:ind w:firstLine="640"/>
              <w:jc w:val="left"/>
            </w:pPr>
            <w:r>
              <w:rPr>
                <w:rFonts w:ascii="仿宋_GB2312" w:hAnsi="仿宋_GB2312" w:cs="仿宋_GB2312" w:eastAsia="仿宋_GB2312"/>
                <w:sz w:val="32"/>
              </w:rPr>
              <w:t>崖州湾科教城</w:t>
            </w:r>
            <w:r>
              <w:rPr>
                <w:rFonts w:ascii="仿宋_GB2312" w:hAnsi="仿宋_GB2312" w:cs="仿宋_GB2312" w:eastAsia="仿宋_GB2312"/>
                <w:sz w:val="32"/>
              </w:rPr>
              <w:t>A区(2025年-2027年）房屋拆除清表项目，框架、混合结构拆除、简易结构拆除、拆除及垃圾清运所有费用以实际完成的工作量进行结算。以上中标单价最终以施工现场机械设备出场台．次及实际施工内容为准，并按照现行《海南省市政工程计价定额通用册》（2017）相关定额子目计算。</w:t>
            </w:r>
          </w:p>
          <w:p>
            <w:pPr>
              <w:pStyle w:val="null3"/>
              <w:ind w:firstLine="640"/>
              <w:jc w:val="left"/>
            </w:pPr>
            <w:r>
              <w:rPr>
                <w:rFonts w:ascii="仿宋_GB2312" w:hAnsi="仿宋_GB2312" w:cs="仿宋_GB2312" w:eastAsia="仿宋_GB2312"/>
                <w:sz w:val="32"/>
              </w:rPr>
              <w:t>建筑垃圾清运量：按三府【</w:t>
            </w:r>
            <w:r>
              <w:rPr>
                <w:rFonts w:ascii="仿宋_GB2312" w:hAnsi="仿宋_GB2312" w:cs="仿宋_GB2312" w:eastAsia="仿宋_GB2312"/>
                <w:sz w:val="32"/>
              </w:rPr>
              <w:t>2016】226号文件有关规定，框架、混合结构0.75m³/㎡建筑面积折算成建筑垃圾，简易结构按（砖墙、石棉瓦顶或铁皮顶）0.45m³/㎡建筑面积折算，简易铁皮房（架）不计算建筑垃圾。</w:t>
            </w:r>
          </w:p>
          <w:p>
            <w:pPr>
              <w:pStyle w:val="null3"/>
              <w:ind w:firstLine="640"/>
              <w:jc w:val="left"/>
            </w:pPr>
            <w:r>
              <w:rPr>
                <w:rFonts w:ascii="仿宋_GB2312" w:hAnsi="仿宋_GB2312" w:cs="仿宋_GB2312" w:eastAsia="仿宋_GB2312"/>
                <w:sz w:val="32"/>
              </w:rPr>
              <w:t>房屋建筑（构筑）物拆除费用：框架、混合结构</w:t>
            </w:r>
            <w:r>
              <w:rPr>
                <w:rFonts w:ascii="仿宋_GB2312" w:hAnsi="仿宋_GB2312" w:cs="仿宋_GB2312" w:eastAsia="仿宋_GB2312"/>
                <w:sz w:val="32"/>
              </w:rPr>
              <w:t>40元/㎡，简易结构25元/㎡。</w:t>
            </w:r>
          </w:p>
          <w:p>
            <w:pPr>
              <w:pStyle w:val="null3"/>
              <w:ind w:firstLine="640"/>
              <w:jc w:val="left"/>
            </w:pPr>
            <w:r>
              <w:rPr>
                <w:rFonts w:ascii="仿宋_GB2312" w:hAnsi="仿宋_GB2312" w:cs="仿宋_GB2312" w:eastAsia="仿宋_GB2312"/>
                <w:sz w:val="32"/>
              </w:rPr>
              <w:t>建筑垃圾清运费：按照现行《海南省市政工程计价定额通用册》（</w:t>
            </w:r>
            <w:r>
              <w:rPr>
                <w:rFonts w:ascii="仿宋_GB2312" w:hAnsi="仿宋_GB2312" w:cs="仿宋_GB2312" w:eastAsia="仿宋_GB2312"/>
                <w:sz w:val="32"/>
              </w:rPr>
              <w:t>2017）相关定额子目计算：1.建筑垃圾清运4km以内（含4km）单价最高限价为：27.7元/m³；2.建筑垃圾清运4km~8km（含8km）单价最高限价为：43元/m³；3.建筑垃圾清运8km~12km（含12km）单价最高限价为：56元/m³；4.建筑垃圾清运12km以上单价最高限价为：65元/m³。运输距离以见证的实际距离为准，同时实施过程中按我市过程建设相关文件规定进行现场见证。</w:t>
            </w:r>
          </w:p>
          <w:p>
            <w:pPr>
              <w:pStyle w:val="null3"/>
              <w:ind w:firstLine="640"/>
              <w:jc w:val="left"/>
            </w:pPr>
            <w:r>
              <w:rPr>
                <w:rFonts w:ascii="仿宋_GB2312" w:hAnsi="仿宋_GB2312" w:cs="仿宋_GB2312" w:eastAsia="仿宋_GB2312"/>
                <w:sz w:val="32"/>
              </w:rPr>
              <w:t>（四）服务期限：本项目服务期限</w:t>
            </w:r>
            <w:r>
              <w:rPr>
                <w:rFonts w:ascii="仿宋_GB2312" w:hAnsi="仿宋_GB2312" w:cs="仿宋_GB2312" w:eastAsia="仿宋_GB2312"/>
                <w:sz w:val="32"/>
                <w:u w:val="single"/>
              </w:rPr>
              <w:t xml:space="preserve"> </w:t>
            </w:r>
            <w:r>
              <w:rPr>
                <w:rFonts w:ascii="仿宋_GB2312" w:hAnsi="仿宋_GB2312" w:cs="仿宋_GB2312" w:eastAsia="仿宋_GB2312"/>
                <w:sz w:val="32"/>
                <w:u w:val="single"/>
              </w:rPr>
              <w:t>三年</w:t>
            </w:r>
            <w:r>
              <w:rPr>
                <w:rFonts w:ascii="仿宋_GB2312" w:hAnsi="仿宋_GB2312" w:cs="仿宋_GB2312" w:eastAsia="仿宋_GB2312"/>
                <w:sz w:val="32"/>
              </w:rPr>
              <w:t>，即：</w:t>
            </w:r>
            <w:r>
              <w:rPr>
                <w:rFonts w:ascii="仿宋_GB2312" w:hAnsi="仿宋_GB2312" w:cs="仿宋_GB2312" w:eastAsia="仿宋_GB2312"/>
                <w:sz w:val="32"/>
              </w:rPr>
              <w:t xml:space="preserve">  </w:t>
            </w:r>
            <w:r>
              <w:rPr>
                <w:rFonts w:ascii="仿宋_GB2312" w:hAnsi="仿宋_GB2312" w:cs="仿宋_GB2312" w:eastAsia="仿宋_GB2312"/>
                <w:sz w:val="32"/>
              </w:rPr>
              <w:t>年／月／日至年／月／日，如因不可抗力的原因导致清理表土、拆除及垃圾清运工作无法按期完成，经甲乙双方协商，双方可签订补充合同，适当延长服务期限。</w:t>
            </w:r>
          </w:p>
          <w:p>
            <w:pPr>
              <w:pStyle w:val="null3"/>
              <w:ind w:firstLine="640"/>
              <w:jc w:val="left"/>
            </w:pPr>
            <w:r>
              <w:rPr>
                <w:rFonts w:ascii="仿宋_GB2312" w:hAnsi="仿宋_GB2312" w:cs="仿宋_GB2312" w:eastAsia="仿宋_GB2312"/>
                <w:sz w:val="32"/>
              </w:rPr>
              <w:t>三、双方义务</w:t>
            </w:r>
          </w:p>
          <w:p>
            <w:pPr>
              <w:pStyle w:val="null3"/>
              <w:ind w:firstLine="640"/>
              <w:jc w:val="left"/>
            </w:pPr>
            <w:r>
              <w:rPr>
                <w:rFonts w:ascii="仿宋_GB2312" w:hAnsi="仿宋_GB2312" w:cs="仿宋_GB2312" w:eastAsia="仿宋_GB2312"/>
                <w:sz w:val="32"/>
              </w:rPr>
              <w:t>（一）甲方义务</w:t>
            </w:r>
          </w:p>
          <w:p>
            <w:pPr>
              <w:pStyle w:val="null3"/>
              <w:ind w:firstLine="640"/>
              <w:jc w:val="left"/>
            </w:pPr>
            <w:r>
              <w:rPr>
                <w:rFonts w:ascii="仿宋_GB2312" w:hAnsi="仿宋_GB2312" w:cs="仿宋_GB2312" w:eastAsia="仿宋_GB2312"/>
                <w:sz w:val="32"/>
              </w:rPr>
              <w:t>1.甲方应在本项目开工前，协助乙方办理清理表土和拆除房屋的开工手续，应向乙方提供如下资料和情况：拆除工程的有关图纸和资料，拆除工程涉及区域内的地上、地下设施及隐蔽工程的分布情况资料。</w:t>
            </w:r>
          </w:p>
          <w:p>
            <w:pPr>
              <w:pStyle w:val="null3"/>
              <w:ind w:firstLine="640"/>
              <w:jc w:val="left"/>
            </w:pPr>
            <w:r>
              <w:rPr>
                <w:rFonts w:ascii="仿宋_GB2312" w:hAnsi="仿宋_GB2312" w:cs="仿宋_GB2312" w:eastAsia="仿宋_GB2312"/>
                <w:sz w:val="32"/>
              </w:rPr>
              <w:t>2.甲方协助乙方作好影响房屋拆除工程安全施工的各种管线（如水、电、煤）的切断、移位工作，并协助办理有关手续。</w:t>
            </w:r>
          </w:p>
          <w:p>
            <w:pPr>
              <w:pStyle w:val="null3"/>
              <w:ind w:firstLine="640"/>
              <w:jc w:val="left"/>
            </w:pPr>
            <w:r>
              <w:rPr>
                <w:rFonts w:ascii="仿宋_GB2312" w:hAnsi="仿宋_GB2312" w:cs="仿宋_GB2312" w:eastAsia="仿宋_GB2312"/>
                <w:sz w:val="32"/>
              </w:rPr>
              <w:t>3.按合同约定方式履行付款义务。</w:t>
            </w:r>
          </w:p>
          <w:p>
            <w:pPr>
              <w:pStyle w:val="null3"/>
              <w:ind w:firstLine="640"/>
              <w:jc w:val="left"/>
            </w:pPr>
            <w:r>
              <w:rPr>
                <w:rFonts w:ascii="仿宋_GB2312" w:hAnsi="仿宋_GB2312" w:cs="仿宋_GB2312" w:eastAsia="仿宋_GB2312"/>
                <w:sz w:val="32"/>
              </w:rPr>
              <w:t>（二）乙方义务</w:t>
            </w:r>
          </w:p>
          <w:p>
            <w:pPr>
              <w:pStyle w:val="null3"/>
              <w:ind w:firstLine="640"/>
              <w:jc w:val="left"/>
            </w:pPr>
            <w:r>
              <w:rPr>
                <w:rFonts w:ascii="仿宋_GB2312" w:hAnsi="仿宋_GB2312" w:cs="仿宋_GB2312" w:eastAsia="仿宋_GB2312"/>
                <w:sz w:val="32"/>
              </w:rPr>
              <w:t>1.项目开工前，乙方应全面了解拆除房屋工程的图纸和资料，对被拆除物进行现场查勘，编制拆除工程施工组织设计（包括施工方案及安全技术、文明施工等措施计划），井报甲方审批备案。</w:t>
            </w:r>
          </w:p>
          <w:p>
            <w:pPr>
              <w:pStyle w:val="null3"/>
              <w:ind w:firstLine="640"/>
              <w:jc w:val="left"/>
            </w:pPr>
            <w:r>
              <w:rPr>
                <w:rFonts w:ascii="仿宋_GB2312" w:hAnsi="仿宋_GB2312" w:cs="仿宋_GB2312" w:eastAsia="仿宋_GB2312"/>
                <w:sz w:val="32"/>
              </w:rPr>
              <w:t>2.乙方应严格按照施工组织设计落实项目负责人、技术负责人、安全管理人员等，并将施工人员花名册报业主单位备案；乙方在拆除现场必须设置现场办公室，并建立安全生产管理责任制，明确安全生产文明施工管理目标和安全职责。</w:t>
            </w:r>
          </w:p>
          <w:p>
            <w:pPr>
              <w:pStyle w:val="null3"/>
              <w:ind w:firstLine="640"/>
              <w:jc w:val="left"/>
            </w:pPr>
            <w:r>
              <w:rPr>
                <w:rFonts w:ascii="仿宋_GB2312" w:hAnsi="仿宋_GB2312" w:cs="仿宋_GB2312" w:eastAsia="仿宋_GB2312"/>
                <w:sz w:val="32"/>
              </w:rPr>
              <w:t>3.乙方需对现场施工人员进行安全教育；进入施工现场，必须头戴安全帽，脚穿劳保鞋，高空作业不准疲劳作业并应系好安全带；禁止冒险、违章、酒后作业，确保安全施工。</w:t>
            </w:r>
          </w:p>
          <w:p>
            <w:pPr>
              <w:pStyle w:val="null3"/>
              <w:ind w:firstLine="640"/>
              <w:jc w:val="left"/>
            </w:pPr>
            <w:r>
              <w:rPr>
                <w:rFonts w:ascii="仿宋_GB2312" w:hAnsi="仿宋_GB2312" w:cs="仿宋_GB2312" w:eastAsia="仿宋_GB2312"/>
                <w:sz w:val="32"/>
              </w:rPr>
              <w:t>4.乙方必须按规定为现场所有施工人员购买危险作业意外保险，并将保险单送甲方效验备案，无保险者一律不得参与该项目的拆除工作。</w:t>
            </w:r>
          </w:p>
          <w:p>
            <w:pPr>
              <w:pStyle w:val="null3"/>
              <w:ind w:firstLine="640"/>
              <w:jc w:val="left"/>
            </w:pPr>
            <w:r>
              <w:rPr>
                <w:rFonts w:ascii="仿宋_GB2312" w:hAnsi="仿宋_GB2312" w:cs="仿宋_GB2312" w:eastAsia="仿宋_GB2312"/>
                <w:sz w:val="32"/>
              </w:rPr>
              <w:t>5.乙方必须严格按照经批准的施工组织设计做好现场安全施工措施，杜绝一切事故发生：如发生任何事故，均由乙方承担一切法律、经济责任，与甲方无关，</w:t>
            </w:r>
          </w:p>
          <w:p>
            <w:pPr>
              <w:pStyle w:val="null3"/>
              <w:ind w:firstLine="640"/>
              <w:jc w:val="left"/>
            </w:pPr>
            <w:r>
              <w:rPr>
                <w:rFonts w:ascii="仿宋_GB2312" w:hAnsi="仿宋_GB2312" w:cs="仿宋_GB2312" w:eastAsia="仿宋_GB2312"/>
                <w:sz w:val="32"/>
              </w:rPr>
              <w:t>6.拆除及堆放工程现场必须设置围护封间，在主要路段、交通要道两侧，围护高度不得低于2.5米，围护应做到清洁整齐、无破损，不得有碍市容观瞻。如采取人工拆除，二层以上必须搭设脚手架，在主干道两侧和居民住宅周围实施拆除作业，必须采用钢脚手架和密闭式安全网封闭形式，必要时搭设防护隔离棚。</w:t>
            </w:r>
          </w:p>
          <w:p>
            <w:pPr>
              <w:pStyle w:val="null3"/>
              <w:ind w:firstLine="640"/>
              <w:jc w:val="left"/>
            </w:pPr>
            <w:r>
              <w:rPr>
                <w:rFonts w:ascii="仿宋_GB2312" w:hAnsi="仿宋_GB2312" w:cs="仿宋_GB2312" w:eastAsia="仿宋_GB2312"/>
                <w:sz w:val="32"/>
              </w:rPr>
              <w:t>7.乙方在拆除过程中对其它建筑物造成损坏和施工不当所造成其它损坏，则由乙方处理和负责赔偿。</w:t>
            </w:r>
          </w:p>
          <w:p>
            <w:pPr>
              <w:pStyle w:val="null3"/>
              <w:ind w:firstLine="640"/>
              <w:jc w:val="left"/>
            </w:pPr>
            <w:r>
              <w:rPr>
                <w:rFonts w:ascii="仿宋_GB2312" w:hAnsi="仿宋_GB2312" w:cs="仿宋_GB2312" w:eastAsia="仿宋_GB2312"/>
                <w:sz w:val="32"/>
              </w:rPr>
              <w:t>8.拆除现场做到文明施工，采取洒水等有效的降尘措施，材料堆放整齐，不乱占马路和人行道，当天拆除工作完成后应及时清理现场卫生。</w:t>
            </w:r>
          </w:p>
          <w:p>
            <w:pPr>
              <w:pStyle w:val="null3"/>
              <w:ind w:firstLine="640"/>
              <w:jc w:val="left"/>
            </w:pPr>
            <w:r>
              <w:rPr>
                <w:rFonts w:ascii="仿宋_GB2312" w:hAnsi="仿宋_GB2312" w:cs="仿宋_GB2312" w:eastAsia="仿宋_GB2312"/>
                <w:sz w:val="32"/>
              </w:rPr>
              <w:t>9.乙方应按照甲乙双方所协定的日期进场，并根据现场需要合理安排施工人员与机械设备，保证在合同工期内完成清理表土、拆除、清运工程任务。</w:t>
            </w:r>
          </w:p>
          <w:p>
            <w:pPr>
              <w:pStyle w:val="null3"/>
              <w:ind w:firstLine="640"/>
              <w:jc w:val="left"/>
            </w:pPr>
            <w:r>
              <w:rPr>
                <w:rFonts w:ascii="仿宋_GB2312" w:hAnsi="仿宋_GB2312" w:cs="仿宋_GB2312" w:eastAsia="仿宋_GB2312"/>
                <w:sz w:val="32"/>
              </w:rPr>
              <w:t>10.乙方应确保建筑垃圾运输车辆车容整洁，运输过程保证密闭，不沿路撒漏飞扬：建筑垃圾装运量以车辆的额定荷载和有效容积为限，不得超重：保持车况良好，证照齐全，车辆颜色标色和车身标识符合相关规定：驾驶员应安全文明驾驶，按规定着装，杜绝乱停放现象。</w:t>
            </w:r>
          </w:p>
          <w:p>
            <w:pPr>
              <w:pStyle w:val="null3"/>
              <w:ind w:firstLine="640"/>
              <w:jc w:val="left"/>
            </w:pPr>
            <w:r>
              <w:rPr>
                <w:rFonts w:ascii="仿宋_GB2312" w:hAnsi="仿宋_GB2312" w:cs="仿宋_GB2312" w:eastAsia="仿宋_GB2312"/>
                <w:sz w:val="32"/>
              </w:rPr>
              <w:t>11.建筑垃圾清运过程中的安全责任完全由乙方承担：在建筑垃圾清运过程中，如因乙方失误造成周围地面附属物损坏，或造成的第三方经济损失的，由乙方负责赔偿。</w:t>
            </w:r>
          </w:p>
          <w:p>
            <w:pPr>
              <w:pStyle w:val="null3"/>
              <w:ind w:firstLine="640"/>
              <w:jc w:val="left"/>
            </w:pPr>
            <w:r>
              <w:rPr>
                <w:rFonts w:ascii="仿宋_GB2312" w:hAnsi="仿宋_GB2312" w:cs="仿宋_GB2312" w:eastAsia="仿宋_GB2312"/>
                <w:sz w:val="32"/>
              </w:rPr>
              <w:t>四、验收要求（含地点和方式）</w:t>
            </w:r>
          </w:p>
          <w:p>
            <w:pPr>
              <w:pStyle w:val="null3"/>
              <w:ind w:firstLine="640"/>
              <w:jc w:val="left"/>
            </w:pPr>
            <w:r>
              <w:rPr>
                <w:rFonts w:ascii="仿宋_GB2312" w:hAnsi="仿宋_GB2312" w:cs="仿宋_GB2312" w:eastAsia="仿宋_GB2312"/>
                <w:sz w:val="32"/>
              </w:rPr>
              <w:t>（一）施工地点：崖州湾科教城</w:t>
            </w:r>
            <w:r>
              <w:rPr>
                <w:rFonts w:ascii="仿宋_GB2312" w:hAnsi="仿宋_GB2312" w:cs="仿宋_GB2312" w:eastAsia="仿宋_GB2312"/>
                <w:sz w:val="32"/>
              </w:rPr>
              <w:t>A区。</w:t>
            </w:r>
          </w:p>
          <w:p>
            <w:pPr>
              <w:pStyle w:val="null3"/>
              <w:ind w:firstLine="640"/>
              <w:jc w:val="left"/>
            </w:pPr>
            <w:r>
              <w:rPr>
                <w:rFonts w:ascii="仿宋_GB2312" w:hAnsi="仿宋_GB2312" w:cs="仿宋_GB2312" w:eastAsia="仿宋_GB2312"/>
                <w:sz w:val="32"/>
              </w:rPr>
              <w:t>（二）验收方式：甲方在收乙方竣工报告后，在</w:t>
            </w:r>
            <w:r>
              <w:rPr>
                <w:rFonts w:ascii="仿宋_GB2312" w:hAnsi="仿宋_GB2312" w:cs="仿宋_GB2312" w:eastAsia="仿宋_GB2312"/>
                <w:sz w:val="32"/>
              </w:rPr>
              <w:t>5天内组织相关人员进行验收。验收合格后，乙方应在5天内撤出施工现场。</w:t>
            </w:r>
          </w:p>
          <w:p>
            <w:pPr>
              <w:pStyle w:val="null3"/>
              <w:ind w:firstLine="640"/>
              <w:jc w:val="left"/>
            </w:pPr>
            <w:r>
              <w:rPr>
                <w:rFonts w:ascii="仿宋_GB2312" w:hAnsi="仿宋_GB2312" w:cs="仿宋_GB2312" w:eastAsia="仿宋_GB2312"/>
                <w:sz w:val="32"/>
              </w:rPr>
              <w:t>（三）验收标准：乙方将崖州湾科教城</w:t>
            </w:r>
            <w:r>
              <w:rPr>
                <w:rFonts w:ascii="仿宋_GB2312" w:hAnsi="仿宋_GB2312" w:cs="仿宋_GB2312" w:eastAsia="仿宋_GB2312"/>
                <w:sz w:val="32"/>
              </w:rPr>
              <w:t>A区(2025年-2027年）房屋拆除清表项目内所有建筑物拆除（且包含建筑物地基拆除）为止，农田清苗及附着物清理至0.3米以后（达到业主方净地交付标准），并将建筑垃圾清运至双方确认的地点。</w:t>
            </w:r>
          </w:p>
          <w:p>
            <w:pPr>
              <w:pStyle w:val="null3"/>
              <w:ind w:firstLine="640"/>
              <w:jc w:val="left"/>
            </w:pPr>
            <w:r>
              <w:rPr>
                <w:rFonts w:ascii="仿宋_GB2312" w:hAnsi="仿宋_GB2312" w:cs="仿宋_GB2312" w:eastAsia="仿宋_GB2312"/>
                <w:sz w:val="32"/>
              </w:rPr>
              <w:t>五、付款方式</w:t>
            </w:r>
          </w:p>
          <w:p>
            <w:pPr>
              <w:pStyle w:val="null3"/>
              <w:ind w:firstLine="640"/>
              <w:jc w:val="left"/>
            </w:pPr>
            <w:r>
              <w:rPr>
                <w:rFonts w:ascii="仿宋_GB2312" w:hAnsi="仿宋_GB2312" w:cs="仿宋_GB2312" w:eastAsia="仿宋_GB2312"/>
                <w:sz w:val="32"/>
              </w:rPr>
              <w:t>在甲方支付款项之前，乙方须向甲方提供请款函及合法有效等额发票。</w:t>
            </w:r>
          </w:p>
          <w:p>
            <w:pPr>
              <w:pStyle w:val="null3"/>
              <w:ind w:firstLine="640"/>
              <w:jc w:val="left"/>
            </w:pPr>
            <w:r>
              <w:rPr>
                <w:rFonts w:ascii="仿宋_GB2312" w:hAnsi="仿宋_GB2312" w:cs="仿宋_GB2312" w:eastAsia="仿宋_GB2312"/>
                <w:sz w:val="32"/>
              </w:rPr>
              <w:t>具体支付方式和时间如下：</w:t>
            </w:r>
          </w:p>
          <w:p>
            <w:pPr>
              <w:pStyle w:val="null3"/>
              <w:ind w:firstLine="640"/>
              <w:jc w:val="left"/>
            </w:pPr>
            <w:r>
              <w:rPr>
                <w:rFonts w:ascii="仿宋_GB2312" w:hAnsi="仿宋_GB2312" w:cs="仿宋_GB2312" w:eastAsia="仿宋_GB2312"/>
                <w:sz w:val="32"/>
              </w:rPr>
              <w:t>1.项目进度款采用按季度支付方式，每次按审核后的应付项目款额乘以60％，作为当季度实际支付的项目进度款。甲方收到进度付款申请单后的28天内，将项目进度款支付给承包人。</w:t>
            </w:r>
          </w:p>
          <w:p>
            <w:pPr>
              <w:pStyle w:val="null3"/>
              <w:ind w:firstLine="640"/>
              <w:jc w:val="left"/>
            </w:pPr>
            <w:r>
              <w:rPr>
                <w:rFonts w:ascii="仿宋_GB2312" w:hAnsi="仿宋_GB2312" w:cs="仿宋_GB2312" w:eastAsia="仿宋_GB2312"/>
                <w:sz w:val="32"/>
              </w:rPr>
              <w:t>2.项目完工经验收合格后28天内付至合同价的70％：余额待工程造价咨询机构完成结算审核后30个工作日内给予支付。</w:t>
            </w:r>
          </w:p>
          <w:p>
            <w:pPr>
              <w:pStyle w:val="null3"/>
              <w:jc w:val="both"/>
            </w:pPr>
            <w:r>
              <w:rPr>
                <w:rFonts w:ascii="仿宋_GB2312" w:hAnsi="仿宋_GB2312" w:cs="仿宋_GB2312" w:eastAsia="仿宋_GB2312"/>
                <w:sz w:val="32"/>
              </w:rPr>
              <w:t xml:space="preserve">    3.因政府有关部门履行管理程序等原因导致支付款到位迟延时，付款时间可相应顺延。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 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投标人资质要求</w:t>
            </w:r>
          </w:p>
        </w:tc>
        <w:tc>
          <w:tcPr>
            <w:tcW w:type="dxa" w:w="3322"/>
          </w:tcPr>
          <w:p>
            <w:pPr>
              <w:pStyle w:val="null3"/>
              <w:jc w:val="left"/>
            </w:pPr>
            <w:r>
              <w:rPr>
                <w:rFonts w:ascii="仿宋_GB2312" w:hAnsi="仿宋_GB2312" w:cs="仿宋_GB2312" w:eastAsia="仿宋_GB2312"/>
              </w:rPr>
              <w:t>投标人具备有效的安全生产许可证，具备建筑工程施工总承包叁级（含）或以上级资质或根据《住房和城乡建设部关于印发建设工程企业资质管理制度改革方案的通知（建市〔2020 〕94 号）的规定已换发新证取得相应资质（提供安全生产许可证及资质证书复印件加盖单位公章)，并在人员、设备、资金等方面具有相应的施工能力，其中，拟派项目经理具备在本单位注册的建筑工程贰级（含）以上注册建造师执业资格，且未担任其他在施建设工程项目的项目经理（提供无在建承诺函，格式自拟和2025年任意一个月社保凭证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参加政府采购活动前三年内，在经营活动中没有环保类行政处罚记录</w:t>
            </w:r>
          </w:p>
        </w:tc>
        <w:tc>
          <w:tcPr>
            <w:tcW w:type="dxa" w:w="3322"/>
          </w:tcPr>
          <w:p>
            <w:pPr>
              <w:pStyle w:val="null3"/>
              <w:jc w:val="left"/>
            </w:pPr>
            <w:r>
              <w:rPr>
                <w:rFonts w:ascii="仿宋_GB2312" w:hAnsi="仿宋_GB2312" w:cs="仿宋_GB2312" w:eastAsia="仿宋_GB2312"/>
              </w:rPr>
              <w:t>提供参加政府采购活动前三年内，在经营活动中没有环保类行政处罚记录的承诺函</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jc w:val="left"/>
            </w:pPr>
            <w:r>
              <w:rPr>
                <w:rFonts w:ascii="仿宋_GB2312" w:hAnsi="仿宋_GB2312" w:cs="仿宋_GB2312" w:eastAsia="仿宋_GB2312"/>
              </w:rPr>
              <w:t>提供单位负责人为同一人或者存在直接控股、管理关系的不同供应商，不得参加同一合同项下的政府采购活动的承诺函</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政府采购供应商信用承诺书 技术方案 自觉抵制政府采购领域商业贿赂行为承诺书 封面 商业信誉、财务会计制度、缴纳税收和社保的承诺函 信用承诺书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施工方案与技术措施</w:t>
            </w:r>
          </w:p>
        </w:tc>
        <w:tc>
          <w:tcPr>
            <w:tcW w:type="dxa" w:w="2492"/>
          </w:tcPr>
          <w:p>
            <w:pPr>
              <w:pStyle w:val="null3"/>
              <w:jc w:val="both"/>
            </w:pPr>
            <w:r>
              <w:rPr>
                <w:rFonts w:ascii="仿宋_GB2312" w:hAnsi="仿宋_GB2312" w:cs="仿宋_GB2312" w:eastAsia="仿宋_GB2312"/>
              </w:rPr>
              <w:t>1.投标人须提供包括但不限于以下方案：（1）拆除文案；（2）建筑垃圾清运；（3）工程施工部署；（4）详细步骤（包括运输、现场管理）；提供上述内容的，每项得1分，每缺少一项扣1分，本项满分4分； 2.根据投标人提供的施工方案与技术措施进行比较赋分： A.施工方案与技术措施科学合理，适用性强，思路清晰，内容全面，能够根据实际情况制订，满足采购人的需要，考虑问题周全，实施过程务实，各项指标均能完成；6.1-8分 B.施工方案与技术措施较科学合理，适用性较强，思路较清晰，内容全面，能够根据实际情况制订，满足采购人的需要，考虑问题较周全，实施过程较务实，各项指标能完成；4.1-6分 C.施工方案与技术措施较科学合理，适用性一般，思路较清晰，内容全面，考虑问题一般，实施过程务实性一般，基本满足采购人的需要；2.1-4分 D.施工方案与技术措施存在缺陷，适用性、思路、内容基本符合实际情况;0.1-2分 E.不提供者得0分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质量管理体系与措施</w:t>
            </w:r>
          </w:p>
        </w:tc>
        <w:tc>
          <w:tcPr>
            <w:tcW w:type="dxa" w:w="2492"/>
          </w:tcPr>
          <w:p>
            <w:pPr>
              <w:pStyle w:val="null3"/>
              <w:jc w:val="both"/>
            </w:pPr>
            <w:r>
              <w:rPr>
                <w:rFonts w:ascii="仿宋_GB2312" w:hAnsi="仿宋_GB2312" w:cs="仿宋_GB2312" w:eastAsia="仿宋_GB2312"/>
              </w:rPr>
              <w:t>1.投标人须提供包括但不限于以下内容：（1）提供质量承诺函并加盖公章；（2）质量保证措施；（3）质量控制制度；提供上述内容的，每项得1分，每缺少一项扣1分，本项满分3分； 2.根据投标人提供的质量管理体系与措施进行比较赋分: A.质量管理体系与措施科学合理，适用性强，思路清晰，内容全面，能够根据实际情况制订，满足采购人的需要，考虑问题周全，实施过程务实，各项指标均能完成；6.1-9分 B.质量管理体系与措施较科学合理，适用性较强，思路较清晰，内容全面，能够根据实际情况制订，满足采购人的需要，考虑问题较周全，实施过程较务实，各项指标能完成；4.1-6分 C.质量管理体系与措施较科学合理，适用性一般，思路较清晰，内容全面，考虑问题一般，实施过程务实性一般，基本满足采购人的需要；2.1-4分 D.质量管理体系与措施存在缺陷，适用性、思路、内容基本符合实际情况;0.1-2分 E.不提供者得0分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安全管理体系与措施</w:t>
            </w:r>
          </w:p>
        </w:tc>
        <w:tc>
          <w:tcPr>
            <w:tcW w:type="dxa" w:w="2492"/>
          </w:tcPr>
          <w:p>
            <w:pPr>
              <w:pStyle w:val="null3"/>
              <w:jc w:val="both"/>
            </w:pPr>
            <w:r>
              <w:rPr>
                <w:rFonts w:ascii="仿宋_GB2312" w:hAnsi="仿宋_GB2312" w:cs="仿宋_GB2312" w:eastAsia="仿宋_GB2312"/>
              </w:rPr>
              <w:t>1.投标人须提供包括但不限于以下内容：（1）提供安全生产管理制度；（2）安全检查制度；（3）安全教育制度；（4）安全技术交底制度；提供上述内容的，每项得1分，每缺少一项扣1分，本项满分4分； 2.根据投标人提供的安全管理体系与措施进行比较赋分： A.安全管理体系与措施科学合理，适用性强，思路清晰，内容全面，能够根据实际情况制订，满足采购人的需要，考虑问题周全，实施过程务实，各项指标均能完成；6.1-8分 B.安全管理体系与措施较科学合理，适用性较强，思路较清晰，内容全面，能够根据实际情况制订，满足采购人的需要，考虑问题较周全，实施过程较务实，各项指标能完成；4.1-6分 C.安全管理体系与措施较科学合理，适用性一般，思路较清晰，内容全面，考虑问题一般，实施过程务实性一般，基本满足采购人的需要；2.1-4分 D.安全管理体系与措施存在缺陷，适用性、思路、内容基本符合实际情况;0.1-2分 E.不提供者得0分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环保管理体系与措施</w:t>
            </w:r>
          </w:p>
        </w:tc>
        <w:tc>
          <w:tcPr>
            <w:tcW w:type="dxa" w:w="2492"/>
          </w:tcPr>
          <w:p>
            <w:pPr>
              <w:pStyle w:val="null3"/>
              <w:jc w:val="both"/>
            </w:pPr>
            <w:r>
              <w:rPr>
                <w:rFonts w:ascii="仿宋_GB2312" w:hAnsi="仿宋_GB2312" w:cs="仿宋_GB2312" w:eastAsia="仿宋_GB2312"/>
              </w:rPr>
              <w:t>1.投标人须提供包括但不限于以下内容：（1）提供绿色施工方案；（2）降噪防尘措施；（3）环保技术交底制度；提供上述内容的，每项得1分，每缺少一项扣1分，本项满分3分； 2.根据投标人提供的环保管理体系与措施进行比较赋分： A.环保管理体系与措施科学合理，适用性强，思路清晰，内容全面，能够根据实际情况制订，满足采购人的需要，考虑问题周全，实施过程务实，各项指标均能完成；6.1-9分 B.环保管理体系与措施较科学合理，适用性较强，思路较清晰，内容全面，能够根据实际情况制订，满足采购人的需要，考虑问题较周全，实施过程较务实，各项指标能完成；4.1-6分 C.环保管理体系与措施较科学合理，适用性一般，思路较清晰，内容全面，考虑问题一般，实施过程务实性一般，基本满足采购人的需要；2.1-4分 D.环保管理体系与措施存在缺陷，适用性、思路、内容基本符合实际情况;0.1-2分 E.不提供者得0分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tcPr>
          <w:p/>
        </w:tc>
        <w:tc>
          <w:tcPr>
            <w:tcW w:type="dxa" w:w="1661"/>
          </w:tcPr>
          <w:p>
            <w:pPr>
              <w:pStyle w:val="null3"/>
              <w:jc w:val="both"/>
            </w:pPr>
            <w:r>
              <w:rPr>
                <w:rFonts w:ascii="仿宋_GB2312" w:hAnsi="仿宋_GB2312" w:cs="仿宋_GB2312" w:eastAsia="仿宋_GB2312"/>
              </w:rPr>
              <w:t>工程进度计划与措施</w:t>
            </w:r>
          </w:p>
        </w:tc>
        <w:tc>
          <w:tcPr>
            <w:tcW w:type="dxa" w:w="2492"/>
          </w:tcPr>
          <w:p>
            <w:pPr>
              <w:pStyle w:val="null3"/>
              <w:jc w:val="both"/>
            </w:pPr>
            <w:r>
              <w:rPr>
                <w:rFonts w:ascii="仿宋_GB2312" w:hAnsi="仿宋_GB2312" w:cs="仿宋_GB2312" w:eastAsia="仿宋_GB2312"/>
              </w:rPr>
              <w:t>1.投标人须提供包括但不限于以下内容：（1）工程进度保证措施；（2）资源优化措施；（3）人员保证措施；提供上述内容的，每项得1分，每缺少一项扣1分，本项满分3分； 2.根据投标人提供的工程进度计划与措施进行比较赋分： A.工程进度计划与措施科学合理，适用性强，思路清晰，内容全面，能够根据实际情况制订，满足采购人的需要，考虑问题周全，实施过程务实，各项指标均能完成；6.1-9分 B.工程进度计划与措施较科学合理，适用性较强，思路较清晰，内容全面，能够根据实际情况制订，满足采购人的需要，考虑问题较周全，实施过程较务实，各项指标能完成；4.1-6分 C.工程进度计划与措施较科学合理，适用性一般，思路较清晰，内容全面，考虑问题一般，实施过程务实性一般，基本满足采购人的需要；2.1-4分 D.工程进度计划与措施存在缺陷，适用性、思路、内容基本符合实际情况;0.1-2分 E.不提供者得0分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技术方案</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1）技术负责人要求：技术负责人1名（具备建筑工程类相关专业中级或以上职称得5分）满分5分。（提供职称证和本单位社保缴纳凭证（2025年1月至今任意一个月）复印件加盖公章，否则不得分）；（2）其他岗位人员须配备：施工员1名（具备施工员岗位证），安全员1名（具备安全员岗位资格证书或C类安全生产考核合格证），质量员（质检员）1名（具备质量员岗位证书），资料员（资料员可以由其他岗位人员兼任，但应取得资料员岗位证书）1名，劳资专管员1名（提供任命书及身份证复印件，已开展劳资专管员岗位证书的身份，以颁发的证书为准），配备齐全得15分，缺少一名扣3分。（满分15分）（提供岗位证书和本单位社保缴纳凭证（2025年任意一个月）复印件加盖公章，否则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2022年至今供应商承担的类似项目业绩，每提供一项得5分，满分10分。（以提供合同复印件加盖公章作为得分依据，时间以签订合同时间为准，否则不得分）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[HNZHG]20250600001[GK]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崖州湾科教城A区(2025年-2027年）房屋拆除清表项目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崖州湾科教城A区(2025年-2027年）房屋拆除清表项目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详见附件：技术方案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