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官沟南路中段和农牧东路中段及甘农北路南滨段道路红线内电力设施迁改工程项目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[XTHN]20250600002[CS]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三亚市崖州区项目推进服务中心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旭特（海南）项目管理有限公司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三亚市崖州区项目推进服务中心</w:t>
      </w:r>
      <w:r>
        <w:rPr>
          <w:rFonts w:ascii="仿宋_GB2312" w:hAnsi="仿宋_GB2312" w:cs="仿宋_GB2312" w:eastAsia="仿宋_GB2312"/>
        </w:rPr>
        <w:t xml:space="preserve"> 的委托， </w:t>
      </w:r>
      <w:r>
        <w:rPr>
          <w:rFonts w:ascii="仿宋_GB2312" w:hAnsi="仿宋_GB2312" w:cs="仿宋_GB2312" w:eastAsia="仿宋_GB2312"/>
        </w:rPr>
        <w:t>旭特（海南）项目管理有限公司</w:t>
      </w:r>
      <w:r>
        <w:rPr>
          <w:rFonts w:ascii="仿宋_GB2312" w:hAnsi="仿宋_GB2312" w:cs="仿宋_GB2312" w:eastAsia="仿宋_GB2312"/>
        </w:rPr>
        <w:t xml:space="preserve"> 对 </w:t>
      </w:r>
      <w:r>
        <w:rPr>
          <w:rFonts w:ascii="仿宋_GB2312" w:hAnsi="仿宋_GB2312" w:cs="仿宋_GB2312" w:eastAsia="仿宋_GB2312"/>
        </w:rPr>
        <w:t>官沟南路中段和农牧东路中段及甘农北路南滨段道路红线内电力设施迁改工程项目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[XTHN]20250600002[CS]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官沟南路中段和农牧东路中段及甘农北路南滨段道路红线内电力设施迁改工程项目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3,419,072.72元</w:t>
      </w:r>
      <w:r>
        <w:rPr>
          <w:rFonts w:ascii="仿宋_GB2312" w:hAnsi="仿宋_GB2312" w:cs="仿宋_GB2312" w:eastAsia="仿宋_GB2312"/>
        </w:rPr>
        <w:t>叁佰肆拾壹万玖仟零柒拾贰元柒角贰分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120日历天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资质要求：本次招标要求供应商须具备有效的安全生产许可证，且具备建设行政主管部门颁发的电力工程施工总承包三级（含）或输变电工程专业承包三级（含）以上资质（或根据《住房和城乡建设部关于印发建设工程企业资质管理制度改革方案的通知》（[建市〔2020〕94号]）的规定已换发新证取得相应的资质，并在人员、设备、资金等方面具有相应的施工能力，且具备国家电力监管委员会颁发的《承装（修、试）电力设施许可证》承装、承修、承试类五级（或以上）资质；其中拟派项目负责人（项目经理）须具备机电工程专业二级（或以上）注册建造师执业资格，注册在本单位同时未担任其他正在施工建设工程项目的项目经理；（提供相关证书复印件并加盖公章及2025年至今任意一个月由本单位购买的社保缴纳证明）</w:t>
      </w:r>
    </w:p>
    <w:p>
      <w:pPr>
        <w:pStyle w:val="null3"/>
        <w:jc w:val="left"/>
      </w:pPr>
      <w:r>
        <w:rPr>
          <w:rFonts w:ascii="仿宋_GB2312" w:hAnsi="仿宋_GB2312" w:cs="仿宋_GB2312" w:eastAsia="仿宋_GB2312"/>
        </w:rPr>
        <w:t>2、参加政府采购活动前三年内，无环保类行政处罚记录：提供参加政府采购活动前三年内，无环保类行政处罚记录的承诺函</w:t>
      </w:r>
    </w:p>
    <w:p>
      <w:pPr>
        <w:pStyle w:val="null3"/>
        <w:jc w:val="left"/>
      </w:pPr>
      <w:r>
        <w:rPr>
          <w:rFonts w:ascii="仿宋_GB2312" w:hAnsi="仿宋_GB2312" w:cs="仿宋_GB2312" w:eastAsia="仿宋_GB2312"/>
        </w:rPr>
        <w:t>3、单位负责人为同一人或者存在直接控股、管理关系的不同供应商，不得参加同一合同项下的政府采购活动：提供单位负责人为同一人或者存在直接控股、管理关系的不同供应商，不得参加同一合同项下的政府采购活动的承诺函</w:t>
      </w:r>
    </w:p>
    <w:p>
      <w:pPr>
        <w:pStyle w:val="null3"/>
        <w:jc w:val="left"/>
      </w:pPr>
      <w:r>
        <w:rPr>
          <w:rFonts w:ascii="仿宋_GB2312" w:hAnsi="仿宋_GB2312" w:cs="仿宋_GB2312" w:eastAsia="仿宋_GB2312"/>
        </w:rPr>
        <w:t>4、政府采购供应商信用承诺书：提供政府采购供应商信用承诺书</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1、根据《三亚市人民政府办公室关于印发&lt;三亚市创建一流营商环境2021年实施方案&gt;的通知》（三府办〔2021〕44 号）和《三亚市金融发展局关于印发&lt;创建一流营商环境“获得信贷”指标2021年专项行动方案&gt;的通知》，三亚市在探索开展“政采贷”业务，中标或成交供应商可凭借与采购单位签订的政府采购合同向开展政府采购合同融资业务的3家银行（中信银行三亚分行、兴业银行三亚分行和浦发银行三亚分行）的公司业务部申请信用贷款。 2、本项目采用远程不见面方式（供应商无需到现场）。 供应商使用“投标客户端”编制、签章、生成加密响应文件，同时生成（同一版的备用响应文件），供应商自行留存，涉及“加盖公章”的内容应使用单位电子公章完成。开启时，供应商应当使用数字证书在解密时限内完成全部已响应采购包的响应文件在线解密，若出现系统异常情况，工作人员可适当延长解密时长。不接受备用标书导入。</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三亚市崖州区项目推进服务中心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三亚市崖州区政府原文化中心二楼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572024</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陈声晓</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18889796956</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旭特（海南）项目管理有限公司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海南省海口市龙华区金贸西路1号富丽花园丽景阁322号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572145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张宁</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18876689286</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采购包1：3,419,072.72元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自响应文件开启之日起90日历天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有关收费标准（琼价费管[2011]225号文）收费标准的优惠计取，即招标代理服务费人民币（大写）贰万贰仟捌佰捌拾元整（¥22880.00元）。成交供应商应在领取成交通知书的同时缴纳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1、参照《政府采购促进中小企业发展管理办法》（财库〔2020〕46号）相关规定 ， 发挥政府采购的政策功能，促进中小企业健康发展。本项目为专门面向中小企业采 购 的采购项目，供应商应为中小微企业、监狱企业、残疾人福利性单位。不再执行价 格 评审优惠的扶持政策。 2、根据国家统计局关于印发《统计上大中小微型企业划分 办 法（2017）》 的通知，本项目所属行业： 建筑业。 3、各投标供应商的相关证 明材 料必须在响应文件内提供加盖公章扫描件； 4、响应文件中所附的有关证明、证 书、 证件等材料均为真实有效的，采购人在开标结束后有权对投标提交的证明、证书 、证 件等原件材料进行核实。经核实若虚假材料的，若为成交供应商的还将取消其成 交资格，若已签订合同则取消合同并同时上报主管部门进行处罚。 5、本项目采用远 程不见面方式（供应商无需到现场）。 供应商使用“投标客户端”编制、签章、生成 加密响 应文件，同时生成（同一版的备用响应文件），供应商自行留存，涉及“加盖 公章”的内容应使用单位电子公章完成。 开启时，供应商应当使用数字证书在解密时 限内完成全部已响应采购包的响应文件在线解密，若出现系统异常情况，工作人员可 适当延长解密时长。 6、不接受供应商的备用标书上传。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联系人：陈声晓</w:t>
      </w:r>
    </w:p>
    <w:p>
      <w:pPr>
        <w:pStyle w:val="null3"/>
        <w:jc w:val="left"/>
      </w:pPr>
      <w:r>
        <w:rPr>
          <w:rFonts w:ascii="仿宋_GB2312" w:hAnsi="仿宋_GB2312" w:cs="仿宋_GB2312" w:eastAsia="仿宋_GB2312"/>
        </w:rPr>
        <w:t>联系电话：18889796956</w:t>
      </w:r>
    </w:p>
    <w:p>
      <w:pPr>
        <w:pStyle w:val="null3"/>
        <w:jc w:val="left"/>
      </w:pPr>
      <w:r>
        <w:rPr>
          <w:rFonts w:ascii="仿宋_GB2312" w:hAnsi="仿宋_GB2312" w:cs="仿宋_GB2312" w:eastAsia="仿宋_GB2312"/>
        </w:rPr>
        <w:t>地址：三亚市崖州区政府原文化中心二楼</w:t>
      </w:r>
    </w:p>
    <w:p>
      <w:pPr>
        <w:pStyle w:val="null3"/>
        <w:jc w:val="left"/>
      </w:pPr>
      <w:r>
        <w:rPr>
          <w:rFonts w:ascii="仿宋_GB2312" w:hAnsi="仿宋_GB2312" w:cs="仿宋_GB2312" w:eastAsia="仿宋_GB2312"/>
        </w:rPr>
        <w:t>邮编：572024</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2"/>
          <w:u w:val="single"/>
        </w:rPr>
        <w:t>该项目将道路红线范围内架空导线及电力电缆临时迁改至其他路径敷设，分别有</w:t>
      </w:r>
      <w:r>
        <w:rPr>
          <w:rFonts w:ascii="仿宋_GB2312" w:hAnsi="仿宋_GB2312" w:cs="仿宋_GB2312" w:eastAsia="仿宋_GB2312"/>
          <w:sz w:val="32"/>
          <w:u w:val="single"/>
        </w:rPr>
        <w:t>10kV部分、0.4kVA 部分和配电房部分</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3,419,072.72</w:t>
      </w:r>
    </w:p>
    <w:p>
      <w:pPr>
        <w:pStyle w:val="null3"/>
        <w:jc w:val="left"/>
      </w:pPr>
      <w:r>
        <w:rPr>
          <w:rFonts w:ascii="仿宋_GB2312" w:hAnsi="仿宋_GB2312" w:cs="仿宋_GB2312" w:eastAsia="仿宋_GB2312"/>
        </w:rPr>
        <w:t>采购包最高限价（元）: 3,419,072.72</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官沟南路中段和农牧东路中段及甘农北路南滨段道路红线内电力设施迁改工程项目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3,419,072.72</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B02130302-长距离电力线路（电缆）铺设</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3,419,072.72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标的名称：官沟南路中段和农牧东路中段及甘农北路南滨段道路红线内电力设施迁改工程项目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rPr>
              <w:t>详见</w:t>
            </w:r>
            <w:r>
              <w:rPr>
                <w:rFonts w:ascii="仿宋_GB2312" w:hAnsi="仿宋_GB2312" w:cs="仿宋_GB2312" w:eastAsia="仿宋_GB2312"/>
                <w:sz w:val="32"/>
              </w:rPr>
              <w:t>官沟南路中段和农牧东路中段及甘农北路南滨段道路红线内电力设施迁改工程项目</w:t>
            </w:r>
            <w:r>
              <w:rPr>
                <w:rFonts w:ascii="仿宋_GB2312" w:hAnsi="仿宋_GB2312" w:cs="仿宋_GB2312" w:eastAsia="仿宋_GB2312"/>
                <w:sz w:val="32"/>
              </w:rPr>
              <w:t>施工图纸</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19"/>
                <w:color w:val="000000"/>
              </w:rPr>
              <w:t>工期：</w:t>
            </w:r>
            <w:r>
              <w:rPr>
                <w:rFonts w:ascii="仿宋_GB2312" w:hAnsi="仿宋_GB2312" w:cs="仿宋_GB2312" w:eastAsia="仿宋_GB2312"/>
                <w:sz w:val="19"/>
                <w:color w:val="000000"/>
              </w:rPr>
              <w:t>120</w:t>
            </w:r>
            <w:r>
              <w:rPr>
                <w:rFonts w:ascii="仿宋_GB2312" w:hAnsi="仿宋_GB2312" w:cs="仿宋_GB2312" w:eastAsia="仿宋_GB2312"/>
                <w:sz w:val="19"/>
                <w:color w:val="000000"/>
              </w:rPr>
              <w:t>日历天；质量要求：合格；工程验收：成交供应商与采购人应严格按照《海南省政府采购履约验</w:t>
            </w:r>
            <w:r>
              <w:rPr>
                <w:rFonts w:ascii="仿宋_GB2312" w:hAnsi="仿宋_GB2312" w:cs="仿宋_GB2312" w:eastAsia="仿宋_GB2312"/>
                <w:sz w:val="19"/>
                <w:color w:val="000000"/>
              </w:rPr>
              <w:t>收管理暂行办法》的通知（琼财采规〔</w:t>
            </w:r>
            <w:r>
              <w:rPr>
                <w:rFonts w:ascii="仿宋_GB2312" w:hAnsi="仿宋_GB2312" w:cs="仿宋_GB2312" w:eastAsia="仿宋_GB2312"/>
                <w:sz w:val="19"/>
                <w:color w:val="000000"/>
              </w:rPr>
              <w:t>2023</w:t>
            </w:r>
            <w:r>
              <w:rPr>
                <w:rFonts w:ascii="仿宋_GB2312" w:hAnsi="仿宋_GB2312" w:cs="仿宋_GB2312" w:eastAsia="仿宋_GB2312"/>
                <w:sz w:val="19"/>
                <w:color w:val="000000"/>
              </w:rPr>
              <w:t>〕</w:t>
            </w:r>
            <w:r>
              <w:rPr>
                <w:rFonts w:ascii="仿宋_GB2312" w:hAnsi="仿宋_GB2312" w:cs="仿宋_GB2312" w:eastAsia="仿宋_GB2312"/>
                <w:sz w:val="19"/>
                <w:color w:val="000000"/>
              </w:rPr>
              <w:t>16</w:t>
            </w:r>
            <w:r>
              <w:rPr>
                <w:rFonts w:ascii="仿宋_GB2312" w:hAnsi="仿宋_GB2312" w:cs="仿宋_GB2312" w:eastAsia="仿宋_GB2312"/>
                <w:sz w:val="19"/>
                <w:color w:val="000000"/>
              </w:rPr>
              <w:t>号）文件及相关法律法规规定、磋商文件的技术服务要</w:t>
            </w:r>
            <w:r>
              <w:rPr>
                <w:rFonts w:ascii="仿宋_GB2312" w:hAnsi="仿宋_GB2312" w:cs="仿宋_GB2312" w:eastAsia="仿宋_GB2312"/>
                <w:sz w:val="19"/>
                <w:color w:val="000000"/>
              </w:rPr>
              <w:t>求、成交供应商的响应文件以及合同约定标准进行验收；项目地点：采购人指定地点；付款方式：根据双</w:t>
            </w:r>
            <w:r>
              <w:rPr>
                <w:rFonts w:ascii="仿宋_GB2312" w:hAnsi="仿宋_GB2312" w:cs="仿宋_GB2312" w:eastAsia="仿宋_GB2312"/>
                <w:sz w:val="19"/>
                <w:color w:val="000000"/>
              </w:rPr>
              <w:t>方签订的合同约定执行。</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供应商资质要求</w:t>
            </w:r>
          </w:p>
        </w:tc>
        <w:tc>
          <w:tcPr>
            <w:tcW w:type="dxa" w:w="3322"/>
          </w:tcPr>
          <w:p>
            <w:pPr>
              <w:pStyle w:val="null3"/>
              <w:jc w:val="left"/>
            </w:pPr>
            <w:r>
              <w:rPr>
                <w:rFonts w:ascii="仿宋_GB2312" w:hAnsi="仿宋_GB2312" w:cs="仿宋_GB2312" w:eastAsia="仿宋_GB2312"/>
              </w:rPr>
              <w:t>本次招标要求供应商须具备有效的安全生产许可证，且具备建设行政主管部门颁发的电力工程施工总承包三级（含）或输变电工程专业承包三级（含）以上资质（或根据《住房和城乡建设部关于印发建设工程企业资质管理制度改革方案的通知》（[建市〔2020〕94号]）的规定已换发新证取得相应的资质，并在人员、设备、资金等方面具有相应的施工能力，且具备国家电力监管委员会颁发的《承装（修、试）电力设施许可证》承装、承修、承试类五级（或以上）资质；其中拟派项目负责人（项目经理）须具备机电工程专业二级（或以上）注册建造师执业资格，注册在本单位同时未担任其他正在施工建设工程项目的项目经理；（提供相关证书复印件并加盖公章及2025年至今任意一个月由本单位购买的社保缴纳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提供参加政府采购活动前三年内，无环保类行政处罚记录的承诺函</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提供单位负责人为同一人或者存在直接控股、管理关系的不同供应商，不得参加同一合同项下的政府采购活动的承诺函</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项目管理人员情况表 开标（报价）一览表 中小企业声明函 商务应答表 政府采购供应商信用承诺书 自觉抵制政府采购领域商业贿赂行为承诺书 封面 商业信誉、财务会计制度、缴纳税收和社保的承诺函 信用承诺书 具有独立承担民事责任的能力证明文件 供应商承诺函 投标（响应）报价明细表 其他材料 残疾人福利性单位声明函 供应商应提交的相关证明材料 无重大违法记录声明函 施工组织设计方案 法定代表人资格证明书或法定代表人授权委托书 监狱企业的证明文件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供应商须提供包括但不限于以下方案：拆除文案；建筑垃圾清运；电缆及导线铺设施工技术措施；提供上述内容的，每项得0.5分，每缺少一项扣0.5分，本项满分1.5分； 根据供应商提供的施工方案与技术措施进行比较赋分： A.施工方案与技术措施科学合理，适用性强，思路清晰，内容全面，能够根据实际情况制订，满足采购人的需要，考虑问题周全，实施过程务实，各项指标均能完成；5.1-8.5分 B.施工方案与技术措施基本能够满足采购需要，操作性不强；3.1-5分 C.施工方案与技术措施不合理；1-3分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施工组织设计方案</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供应商须提供包括但不限于以下内容：提供质量承诺函并加盖公章；质量保证措施；质量控制制度；提供上述内容的，每项得0.5分，每缺少一项扣0.5分，本项满分1.5分； 根据供应商提供的质量管理体系与措施进行比较赋分: A.质量管理体系与措施科学合理，适用性强，思路清晰，内容全面，能够根据实际情况制订，满足采购人的需要，考虑问题周全，实施过程务实，各项指标均能完成；5.1-8.5分 B.质量管理体系与措施基本能够满足采购需要，操作性不强；3.1-5分 C.质量管理体系与措施不合理；1-3分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施工组织设计方案</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供应商须提供包括但不限于以下内容：提供安全生产管理制度；安全检查制度；安全教育制度；安全技术交底制度；提供上述内容的，每项得0.5分，每缺少一项扣0.5分，本项满分2分； 根据供应商提供的安全管理体系与措施进行比较赋分： A.安全管理体系与措施科学合理，适用性强，思路清晰，内容全面，能够根据实际情况制订，满足采购人的需要，考虑问题周全，实施过程务实，各项指标均能完成；5.1-8分 B.安全管理体系与措施基本能够满足采购需要，操作性不强；3.1-5分 C.安全管理体系与措施不合理；1-3分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施工组织设计方案</w:t>
            </w:r>
          </w:p>
        </w:tc>
      </w:tr>
      <w:tr>
        <w:tc>
          <w:tcPr>
            <w:tcW w:type="dxa" w:w="831"/>
            <w:vMerge/>
          </w:tcPr>
          <w:p/>
        </w:tc>
        <w:tc>
          <w:tcPr>
            <w:tcW w:type="dxa" w:w="1661"/>
          </w:tcPr>
          <w:p>
            <w:pPr>
              <w:pStyle w:val="null3"/>
              <w:jc w:val="left"/>
            </w:pPr>
            <w:r>
              <w:rPr>
                <w:rFonts w:ascii="仿宋_GB2312" w:hAnsi="仿宋_GB2312" w:cs="仿宋_GB2312" w:eastAsia="仿宋_GB2312"/>
              </w:rPr>
              <w:t>环保管理体系与措施</w:t>
            </w:r>
          </w:p>
        </w:tc>
        <w:tc>
          <w:tcPr>
            <w:tcW w:type="dxa" w:w="2492"/>
          </w:tcPr>
          <w:p>
            <w:pPr>
              <w:pStyle w:val="null3"/>
              <w:jc w:val="left"/>
            </w:pPr>
            <w:r>
              <w:rPr>
                <w:rFonts w:ascii="仿宋_GB2312" w:hAnsi="仿宋_GB2312" w:cs="仿宋_GB2312" w:eastAsia="仿宋_GB2312"/>
              </w:rPr>
              <w:t>供应商须提供包括但不限于以下内容：提供绿色施工方案；降噪防尘措施；环保技术交底制度；提供上述内容的，每项得0.5分，每缺少一项扣0.5分，本项满分1.5分； 根据供应商提供的环保管理体系与措施进行比较赋分： A.环保管理体系与措施科学合理，适用性强，思路清晰，内容全面，能够根据实际情况制订，满足采购人的需要，考虑问题周全，实施过程务实，各项指标均能完成；5.1-8.5分 B.环保管理体系与措施基本能够满足采购需要，操作性不强；3.1-5分 C.环保管理体系与措施不合理；1-3分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施工组织设计方案</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供应商须提供包括但不限于以下内容：工程进度保证措施；资源优化措施；人员保证措施；提供上述内容的，每项得0.5分，每缺少一项扣0.5分，本项满分1.5分； 根据供应商提供的工程进度计划与措施进行比较赋分： A.工程进度计划与措施科学合理，适用性强，思路清晰，内容全面，能够根据实际情况制订，满足采购人的需要，考虑问题周全，实施过程务实，各项指标均能完成；5.1-8.5分 B.工程进度计划与措施基本能够满足采购需要，操作性不强；3.1-5分 C.工程进度计划与措施不合理；1-3分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施工组织设计方案</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人员实力</w:t>
            </w:r>
          </w:p>
        </w:tc>
        <w:tc>
          <w:tcPr>
            <w:tcW w:type="dxa" w:w="2492"/>
          </w:tcPr>
          <w:p>
            <w:pPr>
              <w:pStyle w:val="null3"/>
              <w:jc w:val="left"/>
            </w:pPr>
            <w:r>
              <w:rPr>
                <w:rFonts w:ascii="仿宋_GB2312" w:hAnsi="仿宋_GB2312" w:cs="仿宋_GB2312" w:eastAsia="仿宋_GB2312"/>
              </w:rPr>
              <w:t>（1）技术负责人要求：技术负责人1名（具备电力工程类相关专业中级或以上职称得2分）满分2分。（提供职称证和本单位社保缴纳凭证（2025年至今任意一个月）复印件加盖公章，否则不得分）；（2）其他岗位人员须配备：施工员1名（具备施工员岗位证），安全员1名（具备安全员岗位资格证书或C类安全生产考核合格证），质量员（质检员）1名（具备质量员岗位证书），资料员（资料员可以由其他岗位人员兼任，但应取得资料员岗位证书）1名，劳资专管员1名（提供任命书及身份证复印件），配备齐全得10分，缺少一名扣2分，直至扣完为止。（满分10分）（提供岗位证书和本单位社保缴纳凭证（2025年至今任意一个月）复印件加盖公章，否则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项目管理人员情况表</w:t>
            </w:r>
          </w:p>
        </w:tc>
      </w:tr>
      <w:tr>
        <w:tc>
          <w:tcPr>
            <w:tcW w:type="dxa" w:w="831"/>
            <w:vMerge/>
          </w:tcP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2021年至今，供应商承担的类似项目业绩，每提供一项得4分，满分8分。（以提供合同复印件加盖公章作为得分依据，时间以合同签订时间为准）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详见附件：官沟南路中段和农牧东路中段及甘农北路南滨段道路红线内电力设施迁改工程项目-施工合同.docx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[XTHN]20250600002[CS]</w:t>
      </w:r>
    </w:p>
    <w:p>
      <w:pPr>
        <w:pStyle w:val="null3"/>
        <w:jc w:val="left"/>
      </w:pPr>
      <w:r>
        <w:rPr>
          <w:rFonts w:ascii="仿宋_GB2312" w:hAnsi="仿宋_GB2312" w:cs="仿宋_GB2312" w:eastAsia="仿宋_GB2312"/>
        </w:rPr>
        <w:t>项目名称：</w:t>
      </w:r>
      <w:r>
        <w:rPr>
          <w:rFonts w:ascii="仿宋_GB2312" w:hAnsi="仿宋_GB2312" w:cs="仿宋_GB2312" w:eastAsia="仿宋_GB2312"/>
        </w:rPr>
        <w:t>官沟南路中段和农牧东路中段及甘农北路南滨段道路红线内电力设施迁改工程项目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官沟南路中段和农牧东路中段及甘农北路南滨段道路红线内电力设施迁改工程项目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B02130302-长距离电力线路（电缆）铺设</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3419072.72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详见附件：商务应答表</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详见附件：施工组织设计方案</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