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40D800">
      <w:pPr>
        <w:jc w:val="center"/>
        <w:rPr>
          <w:rFonts w:hint="eastAsia"/>
          <w:b/>
          <w:sz w:val="72"/>
          <w:szCs w:val="72"/>
        </w:rPr>
      </w:pPr>
    </w:p>
    <w:p w14:paraId="6B137A62">
      <w:pPr>
        <w:jc w:val="center"/>
        <w:rPr>
          <w:rFonts w:hint="eastAsia"/>
          <w:b/>
          <w:sz w:val="72"/>
          <w:szCs w:val="72"/>
        </w:rPr>
      </w:pPr>
    </w:p>
    <w:p w14:paraId="70EA5974">
      <w:pPr>
        <w:jc w:val="center"/>
        <w:rPr>
          <w:rFonts w:hint="eastAsia"/>
          <w:b/>
          <w:sz w:val="96"/>
          <w:szCs w:val="96"/>
        </w:rPr>
      </w:pPr>
      <w:r>
        <w:rPr>
          <w:rFonts w:hint="eastAsia"/>
          <w:b/>
          <w:sz w:val="52"/>
          <w:szCs w:val="52"/>
          <w:lang w:eastAsia="zh-CN"/>
        </w:rPr>
        <w:t>病媒生物防制服务</w:t>
      </w:r>
      <w:r>
        <w:rPr>
          <w:rFonts w:hint="eastAsia"/>
          <w:b/>
          <w:sz w:val="52"/>
          <w:szCs w:val="52"/>
        </w:rPr>
        <w:t>合同书</w:t>
      </w:r>
    </w:p>
    <w:p w14:paraId="505D4AC0">
      <w:pPr>
        <w:rPr>
          <w:rFonts w:hint="eastAsia"/>
          <w:sz w:val="44"/>
          <w:szCs w:val="44"/>
        </w:rPr>
      </w:pPr>
    </w:p>
    <w:p w14:paraId="11C18914">
      <w:pPr>
        <w:rPr>
          <w:rFonts w:hint="eastAsia"/>
          <w:sz w:val="44"/>
          <w:szCs w:val="44"/>
        </w:rPr>
      </w:pPr>
    </w:p>
    <w:p w14:paraId="02341C8B">
      <w:pPr>
        <w:rPr>
          <w:rFonts w:hint="eastAsia"/>
          <w:sz w:val="44"/>
          <w:szCs w:val="44"/>
        </w:rPr>
      </w:pPr>
    </w:p>
    <w:p w14:paraId="17B0913C">
      <w:pPr>
        <w:rPr>
          <w:rFonts w:hint="eastAsia"/>
          <w:sz w:val="44"/>
          <w:szCs w:val="44"/>
        </w:rPr>
      </w:pPr>
    </w:p>
    <w:p w14:paraId="0F83ECB1">
      <w:pPr>
        <w:ind w:left="1980" w:hanging="1446" w:hangingChars="450"/>
        <w:rPr>
          <w:rFonts w:hint="eastAsia" w:ascii="宋体" w:hAnsi="宋体" w:eastAsia="仿宋_GB2312" w:cs="宋体"/>
          <w:color w:val="000000"/>
          <w:sz w:val="32"/>
          <w:szCs w:val="32"/>
          <w:lang w:eastAsia="zh-CN"/>
        </w:rPr>
      </w:pPr>
      <w:r>
        <w:rPr>
          <w:rFonts w:hint="eastAsia"/>
          <w:b/>
          <w:bCs/>
          <w:color w:val="000000"/>
          <w:sz w:val="32"/>
          <w:szCs w:val="32"/>
        </w:rPr>
        <w:t>项目名称：</w:t>
      </w:r>
      <w:r>
        <w:rPr>
          <w:rFonts w:hint="eastAsia"/>
          <w:color w:val="000000"/>
          <w:sz w:val="32"/>
          <w:szCs w:val="32"/>
          <w:lang w:eastAsia="zh-CN"/>
        </w:rPr>
        <w:t>病媒防制及应急消杀</w:t>
      </w:r>
    </w:p>
    <w:p w14:paraId="0E310864">
      <w:pPr>
        <w:rPr>
          <w:rFonts w:hint="eastAsia"/>
          <w:b/>
          <w:bCs/>
          <w:color w:val="000000"/>
          <w:sz w:val="32"/>
          <w:szCs w:val="32"/>
        </w:rPr>
      </w:pPr>
    </w:p>
    <w:p w14:paraId="07FA5B9E">
      <w:pPr>
        <w:rPr>
          <w:rFonts w:hint="default" w:eastAsia="宋体"/>
          <w:color w:val="000000"/>
          <w:sz w:val="32"/>
          <w:szCs w:val="32"/>
          <w:lang w:val="en-US" w:eastAsia="zh-CN"/>
        </w:rPr>
      </w:pPr>
      <w:r>
        <w:rPr>
          <w:rFonts w:hint="eastAsia"/>
          <w:b/>
          <w:bCs/>
          <w:color w:val="000000"/>
          <w:sz w:val="32"/>
          <w:szCs w:val="32"/>
        </w:rPr>
        <w:t>项目编号：</w:t>
      </w:r>
      <w:r>
        <w:rPr>
          <w:rFonts w:hint="eastAsia" w:ascii="宋体" w:hAnsi="宋体" w:cs="宋体"/>
          <w:color w:val="000000"/>
          <w:sz w:val="32"/>
          <w:szCs w:val="32"/>
          <w:lang w:val="en-US" w:eastAsia="zh-CN"/>
        </w:rPr>
        <w:t>HX2025-102</w:t>
      </w:r>
    </w:p>
    <w:p w14:paraId="5AD8DA14">
      <w:pPr>
        <w:spacing w:before="0"/>
        <w:ind w:left="500" w:right="0" w:firstLine="0"/>
        <w:jc w:val="left"/>
        <w:rPr>
          <w:rFonts w:hint="eastAsia"/>
          <w:b/>
          <w:color w:val="000000"/>
          <w:sz w:val="31"/>
          <w:lang w:val="en-US" w:eastAsia="zh-CN"/>
        </w:rPr>
      </w:pPr>
    </w:p>
    <w:p w14:paraId="6763519E">
      <w:pPr>
        <w:spacing w:before="0"/>
        <w:ind w:right="0"/>
        <w:jc w:val="left"/>
        <w:rPr>
          <w:rFonts w:hint="eastAsia" w:eastAsia="宋体"/>
          <w:b/>
          <w:color w:val="000000"/>
          <w:sz w:val="31"/>
          <w:lang w:val="en-US" w:eastAsia="zh-CN"/>
        </w:rPr>
      </w:pPr>
      <w:r>
        <w:rPr>
          <w:rFonts w:hint="eastAsia"/>
          <w:b/>
          <w:color w:val="000000"/>
          <w:sz w:val="31"/>
          <w:lang w:val="en-US" w:eastAsia="zh-CN"/>
        </w:rPr>
        <w:t>标包名称：</w:t>
      </w:r>
      <w:bookmarkStart w:id="0" w:name="_GoBack"/>
      <w:bookmarkEnd w:id="0"/>
      <w:r>
        <w:rPr>
          <w:rFonts w:hint="eastAsia"/>
          <w:color w:val="000000"/>
          <w:sz w:val="32"/>
          <w:szCs w:val="32"/>
          <w:lang w:eastAsia="zh-CN"/>
        </w:rPr>
        <w:t>病媒防制及应急消杀（</w:t>
      </w:r>
      <w:r>
        <w:rPr>
          <w:rFonts w:hint="eastAsia"/>
          <w:color w:val="000000"/>
          <w:sz w:val="32"/>
          <w:szCs w:val="32"/>
          <w:lang w:val="en-US" w:eastAsia="zh-CN"/>
        </w:rPr>
        <w:t xml:space="preserve">  包   </w:t>
      </w:r>
      <w:r>
        <w:rPr>
          <w:rFonts w:hint="eastAsia"/>
          <w:color w:val="000000"/>
          <w:sz w:val="32"/>
          <w:szCs w:val="32"/>
          <w:lang w:eastAsia="zh-CN"/>
        </w:rPr>
        <w:t>）</w:t>
      </w:r>
    </w:p>
    <w:p w14:paraId="1EE3FC18">
      <w:pPr>
        <w:spacing w:before="0"/>
        <w:ind w:left="500" w:right="0" w:firstLine="0"/>
        <w:jc w:val="left"/>
        <w:rPr>
          <w:rFonts w:hint="eastAsia"/>
          <w:b/>
          <w:color w:val="000000"/>
          <w:sz w:val="31"/>
          <w:lang w:val="en-US" w:eastAsia="zh-CN"/>
        </w:rPr>
      </w:pPr>
    </w:p>
    <w:p w14:paraId="183626CD">
      <w:pPr>
        <w:rPr>
          <w:rFonts w:hint="default"/>
          <w:color w:val="000000"/>
          <w:sz w:val="36"/>
          <w:szCs w:val="36"/>
          <w:lang w:val="en-US"/>
        </w:rPr>
      </w:pPr>
      <w:r>
        <w:rPr>
          <w:rFonts w:hint="eastAsia"/>
          <w:b/>
          <w:color w:val="000000"/>
          <w:sz w:val="31"/>
          <w:lang w:val="en-US" w:eastAsia="zh-CN"/>
        </w:rPr>
        <w:t>标包编号：</w:t>
      </w:r>
      <w:r>
        <w:rPr>
          <w:rFonts w:hint="eastAsia" w:ascii="宋体" w:hAnsi="宋体" w:cs="宋体"/>
          <w:color w:val="000000"/>
          <w:sz w:val="32"/>
          <w:szCs w:val="32"/>
          <w:lang w:val="en-US" w:eastAsia="zh-CN"/>
        </w:rPr>
        <w:t>HX2025-102(  包  )</w:t>
      </w:r>
    </w:p>
    <w:p w14:paraId="107BAF4C">
      <w:pPr>
        <w:rPr>
          <w:rFonts w:hint="eastAsia"/>
          <w:color w:val="000000"/>
          <w:sz w:val="36"/>
          <w:szCs w:val="36"/>
        </w:rPr>
      </w:pPr>
    </w:p>
    <w:p w14:paraId="2474B82B">
      <w:pPr>
        <w:rPr>
          <w:rFonts w:hint="eastAsia"/>
          <w:sz w:val="32"/>
          <w:szCs w:val="32"/>
        </w:rPr>
      </w:pPr>
      <w:r>
        <w:rPr>
          <w:rFonts w:hint="eastAsia"/>
          <w:b/>
          <w:bCs/>
          <w:sz w:val="32"/>
          <w:szCs w:val="32"/>
        </w:rPr>
        <w:t>甲  方：</w:t>
      </w:r>
      <w:r>
        <w:rPr>
          <w:rFonts w:hint="eastAsia"/>
          <w:sz w:val="32"/>
          <w:szCs w:val="32"/>
        </w:rPr>
        <w:t>三亚市崖州区卫</w:t>
      </w:r>
      <w:r>
        <w:rPr>
          <w:rFonts w:hint="eastAsia"/>
          <w:sz w:val="32"/>
          <w:szCs w:val="32"/>
          <w:lang w:eastAsia="zh-CN"/>
        </w:rPr>
        <w:t>生健康委员会</w:t>
      </w:r>
    </w:p>
    <w:p w14:paraId="4724B069">
      <w:pPr>
        <w:rPr>
          <w:rFonts w:hint="eastAsia"/>
          <w:sz w:val="32"/>
          <w:szCs w:val="32"/>
        </w:rPr>
      </w:pPr>
    </w:p>
    <w:p w14:paraId="5FC84E08">
      <w:pPr>
        <w:rPr>
          <w:rFonts w:hint="default" w:eastAsia="宋体"/>
          <w:sz w:val="32"/>
          <w:szCs w:val="32"/>
          <w:lang w:val="en-US" w:eastAsia="zh-CN"/>
        </w:rPr>
      </w:pPr>
      <w:r>
        <w:rPr>
          <w:rFonts w:hint="eastAsia"/>
          <w:b/>
          <w:bCs/>
          <w:sz w:val="32"/>
          <w:szCs w:val="32"/>
        </w:rPr>
        <w:t>乙  方：</w:t>
      </w:r>
    </w:p>
    <w:p w14:paraId="5C815219">
      <w:pPr>
        <w:rPr>
          <w:rFonts w:hint="eastAsia"/>
          <w:sz w:val="32"/>
          <w:szCs w:val="32"/>
        </w:rPr>
      </w:pPr>
    </w:p>
    <w:p w14:paraId="787333DE">
      <w:pPr>
        <w:ind w:firstLine="640" w:firstLineChars="200"/>
        <w:rPr>
          <w:rFonts w:hint="eastAsia"/>
          <w:sz w:val="32"/>
          <w:szCs w:val="32"/>
        </w:rPr>
      </w:pPr>
    </w:p>
    <w:p w14:paraId="758D0187">
      <w:pPr>
        <w:jc w:val="center"/>
        <w:rPr>
          <w:rFonts w:hint="eastAsia"/>
          <w:sz w:val="32"/>
          <w:szCs w:val="32"/>
        </w:rPr>
      </w:pPr>
      <w:r>
        <w:rPr>
          <w:rFonts w:hint="eastAsia"/>
          <w:sz w:val="32"/>
          <w:szCs w:val="32"/>
        </w:rPr>
        <w:t>签署日期：</w:t>
      </w:r>
      <w:r>
        <w:rPr>
          <w:rFonts w:hint="eastAsia"/>
          <w:sz w:val="32"/>
          <w:szCs w:val="32"/>
          <w:u w:val="single"/>
        </w:rPr>
        <w:t xml:space="preserve">     </w:t>
      </w:r>
      <w:r>
        <w:rPr>
          <w:rFonts w:hint="eastAsia"/>
          <w:sz w:val="32"/>
          <w:szCs w:val="32"/>
        </w:rPr>
        <w:t>年</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rPr>
        <w:t>月</w:t>
      </w:r>
      <w:r>
        <w:rPr>
          <w:rFonts w:hint="eastAsia"/>
          <w:sz w:val="32"/>
          <w:szCs w:val="32"/>
          <w:u w:val="single"/>
        </w:rPr>
        <w:t xml:space="preserve">   </w:t>
      </w:r>
      <w:r>
        <w:rPr>
          <w:rFonts w:hint="eastAsia"/>
          <w:sz w:val="32"/>
          <w:szCs w:val="32"/>
          <w:u w:val="single"/>
          <w:lang w:val="en-US" w:eastAsia="zh-CN"/>
        </w:rPr>
        <w:t xml:space="preserve"> </w:t>
      </w:r>
      <w:r>
        <w:rPr>
          <w:rFonts w:hint="eastAsia"/>
          <w:sz w:val="32"/>
          <w:szCs w:val="32"/>
        </w:rPr>
        <w:t>日</w:t>
      </w:r>
    </w:p>
    <w:p w14:paraId="4668B079">
      <w:pPr>
        <w:numPr>
          <w:ilvl w:val="0"/>
          <w:numId w:val="0"/>
        </w:numPr>
        <w:spacing w:line="360" w:lineRule="auto"/>
        <w:ind w:firstLine="720" w:firstLineChars="300"/>
        <w:rPr>
          <w:rFonts w:hint="eastAsia" w:ascii="宋体" w:hAnsi="宋体" w:eastAsia="宋体" w:cs="宋体"/>
          <w:b w:val="0"/>
          <w:bCs w:val="0"/>
          <w:color w:val="auto"/>
          <w:sz w:val="24"/>
          <w:szCs w:val="24"/>
          <w:lang w:val="en-US" w:eastAsia="zh-CN"/>
        </w:rPr>
      </w:pPr>
    </w:p>
    <w:p w14:paraId="223EAA9E">
      <w:pPr>
        <w:numPr>
          <w:ilvl w:val="0"/>
          <w:numId w:val="0"/>
        </w:num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甲方：三亚市崖州区卫生健康委员会</w:t>
      </w:r>
    </w:p>
    <w:p w14:paraId="3FEEACBA">
      <w:pPr>
        <w:numPr>
          <w:ilvl w:val="0"/>
          <w:numId w:val="0"/>
        </w:num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地址：三亚市崖州区万通路</w:t>
      </w:r>
    </w:p>
    <w:p w14:paraId="12D9098F">
      <w:pPr>
        <w:numPr>
          <w:ilvl w:val="0"/>
          <w:numId w:val="0"/>
        </w:numPr>
        <w:spacing w:line="360" w:lineRule="auto"/>
        <w:ind w:firstLine="720" w:firstLineChars="300"/>
        <w:rPr>
          <w:rFonts w:hint="eastAsia" w:ascii="宋体" w:hAnsi="宋体" w:eastAsia="宋体" w:cs="宋体"/>
          <w:b w:val="0"/>
          <w:bCs w:val="0"/>
          <w:color w:val="auto"/>
          <w:sz w:val="24"/>
          <w:szCs w:val="24"/>
          <w:lang w:val="en-US" w:eastAsia="zh-CN"/>
        </w:rPr>
      </w:pPr>
    </w:p>
    <w:p w14:paraId="40D83925">
      <w:pPr>
        <w:numPr>
          <w:ilvl w:val="0"/>
          <w:numId w:val="0"/>
        </w:numPr>
        <w:spacing w:line="360" w:lineRule="auto"/>
        <w:rPr>
          <w:rFonts w:hint="default"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乙方：</w:t>
      </w:r>
    </w:p>
    <w:p w14:paraId="14E14DCF">
      <w:pPr>
        <w:numPr>
          <w:ilvl w:val="0"/>
          <w:numId w:val="0"/>
        </w:numPr>
        <w:spacing w:line="360" w:lineRule="auto"/>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地址：</w:t>
      </w:r>
    </w:p>
    <w:p w14:paraId="36D5A55E">
      <w:pPr>
        <w:pStyle w:val="2"/>
        <w:rPr>
          <w:rFonts w:hint="default"/>
          <w:lang w:val="en-US"/>
        </w:rPr>
      </w:pPr>
    </w:p>
    <w:p w14:paraId="18489C80">
      <w:pPr>
        <w:spacing w:line="360" w:lineRule="auto"/>
        <w:ind w:firstLine="482" w:firstLineChars="200"/>
        <w:rPr>
          <w:rFonts w:hint="eastAsia"/>
        </w:rPr>
      </w:pPr>
      <w:r>
        <w:rPr>
          <w:rFonts w:hint="eastAsia" w:ascii="宋体" w:hAnsi="宋体" w:eastAsia="宋体" w:cs="宋体"/>
          <w:b/>
          <w:bCs/>
          <w:color w:val="auto"/>
          <w:sz w:val="24"/>
          <w:szCs w:val="24"/>
        </w:rPr>
        <w:t>根据国家有关政策法规，经甲、乙双方协商，在平等、自愿、公平和诚实信用基础上，就甲方委托乙方提供</w:t>
      </w:r>
      <w:r>
        <w:rPr>
          <w:rFonts w:hint="eastAsia" w:ascii="宋体" w:hAnsi="宋体" w:eastAsia="宋体" w:cs="宋体"/>
          <w:b/>
          <w:bCs/>
          <w:color w:val="auto"/>
          <w:sz w:val="24"/>
          <w:szCs w:val="24"/>
          <w:u w:val="single"/>
          <w:lang w:eastAsia="zh-CN"/>
        </w:rPr>
        <w:t>病媒防制及应急消杀</w:t>
      </w:r>
      <w:r>
        <w:rPr>
          <w:rFonts w:hint="eastAsia" w:ascii="宋体" w:hAnsi="宋体" w:eastAsia="宋体" w:cs="宋体"/>
          <w:b/>
          <w:bCs/>
          <w:color w:val="000000"/>
          <w:sz w:val="24"/>
          <w:szCs w:val="24"/>
          <w:u w:val="single"/>
          <w:lang w:eastAsia="zh-CN"/>
        </w:rPr>
        <w:t>（</w:t>
      </w:r>
      <w:r>
        <w:rPr>
          <w:rFonts w:hint="eastAsia" w:ascii="宋体" w:hAnsi="宋体" w:cs="宋体"/>
          <w:b/>
          <w:bCs/>
          <w:color w:val="000000"/>
          <w:sz w:val="24"/>
          <w:szCs w:val="24"/>
          <w:u w:val="single"/>
          <w:lang w:val="en-US" w:eastAsia="zh-CN"/>
        </w:rPr>
        <w:t xml:space="preserve"> </w:t>
      </w:r>
      <w:r>
        <w:rPr>
          <w:rFonts w:hint="eastAsia" w:ascii="宋体" w:hAnsi="宋体" w:eastAsia="宋体" w:cs="宋体"/>
          <w:b/>
          <w:bCs/>
          <w:color w:val="000000"/>
          <w:sz w:val="24"/>
          <w:szCs w:val="24"/>
          <w:u w:val="single"/>
          <w:lang w:eastAsia="zh-CN"/>
        </w:rPr>
        <w:t>包</w:t>
      </w:r>
      <w:r>
        <w:rPr>
          <w:rFonts w:hint="eastAsia" w:ascii="宋体" w:hAnsi="宋体" w:eastAsia="宋体" w:cs="宋体"/>
          <w:b/>
          <w:bCs/>
          <w:color w:val="000000"/>
          <w:sz w:val="24"/>
          <w:szCs w:val="24"/>
          <w:u w:val="single"/>
          <w:lang w:val="en-US" w:eastAsia="zh-CN"/>
        </w:rPr>
        <w:t xml:space="preserve"> </w:t>
      </w:r>
      <w:r>
        <w:rPr>
          <w:rFonts w:hint="eastAsia" w:ascii="宋体" w:hAnsi="宋体" w:eastAsia="宋体" w:cs="宋体"/>
          <w:b/>
          <w:bCs/>
          <w:color w:val="000000"/>
          <w:sz w:val="24"/>
          <w:szCs w:val="24"/>
          <w:u w:val="single"/>
          <w:lang w:eastAsia="zh-CN"/>
        </w:rPr>
        <w:t>）</w:t>
      </w:r>
      <w:r>
        <w:rPr>
          <w:rFonts w:hint="eastAsia" w:ascii="宋体" w:hAnsi="宋体" w:eastAsia="宋体" w:cs="宋体"/>
          <w:b/>
          <w:bCs/>
          <w:color w:val="auto"/>
          <w:sz w:val="24"/>
          <w:szCs w:val="24"/>
        </w:rPr>
        <w:t>服务事宜，自愿签订本协议，共同遵守本协议所列条款。</w:t>
      </w:r>
    </w:p>
    <w:p w14:paraId="32D6157F">
      <w:pPr>
        <w:numPr>
          <w:ilvl w:val="0"/>
          <w:numId w:val="0"/>
        </w:numPr>
        <w:spacing w:line="360" w:lineRule="auto"/>
        <w:rPr>
          <w:rFonts w:hint="eastAsia" w:ascii="宋体" w:hAnsi="宋体" w:eastAsia="宋体" w:cs="宋体"/>
          <w:b/>
          <w:bCs/>
          <w:color w:val="auto"/>
          <w:sz w:val="24"/>
          <w:szCs w:val="24"/>
          <w:lang w:val="en-US" w:eastAsia="zh-CN"/>
        </w:rPr>
      </w:pPr>
    </w:p>
    <w:p w14:paraId="35475A26">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一、承包项目</w:t>
      </w:r>
    </w:p>
    <w:p w14:paraId="0EA573C2">
      <w:pPr>
        <w:numPr>
          <w:ilvl w:val="0"/>
          <w:numId w:val="0"/>
        </w:numPr>
        <w:spacing w:line="360" w:lineRule="auto"/>
        <w:ind w:firstLine="720" w:firstLineChars="3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1、承包项目：病媒防制及应急消杀（ 包 ）。</w:t>
      </w:r>
    </w:p>
    <w:p w14:paraId="0D32736D">
      <w:pPr>
        <w:numPr>
          <w:ilvl w:val="0"/>
          <w:numId w:val="0"/>
        </w:numPr>
        <w:spacing w:line="360" w:lineRule="auto"/>
        <w:ind w:firstLine="720" w:firstLineChars="3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2、防制区域：</w:t>
      </w:r>
    </w:p>
    <w:p w14:paraId="397AAFCA">
      <w:pPr>
        <w:numPr>
          <w:ilvl w:val="0"/>
          <w:numId w:val="0"/>
        </w:numPr>
        <w:spacing w:line="360" w:lineRule="auto"/>
        <w:ind w:firstLine="720" w:firstLineChars="300"/>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3、防制对象:老鼠、蚊子、苍蝇、蟑螂。</w:t>
      </w:r>
    </w:p>
    <w:p w14:paraId="27DD5DD1">
      <w:pPr>
        <w:numPr>
          <w:ilvl w:val="0"/>
          <w:numId w:val="0"/>
        </w:numPr>
        <w:spacing w:line="360" w:lineRule="auto"/>
        <w:ind w:firstLine="482" w:firstLineChars="200"/>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二、具体服务内容及标准要求</w:t>
      </w:r>
    </w:p>
    <w:p w14:paraId="3D040C7E">
      <w:pPr>
        <w:pStyle w:val="6"/>
        <w:keepNext w:val="0"/>
        <w:keepLines w:val="0"/>
        <w:pageBreakBefore w:val="0"/>
        <w:kinsoku/>
        <w:wordWrap/>
        <w:overflowPunct/>
        <w:topLinePunct w:val="0"/>
        <w:autoSpaceDE/>
        <w:autoSpaceDN/>
        <w:bidi w:val="0"/>
        <w:spacing w:after="0" w:line="480" w:lineRule="exact"/>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病媒生物防制宣传</w:t>
      </w:r>
    </w:p>
    <w:p w14:paraId="0D264F67">
      <w:pPr>
        <w:pStyle w:val="6"/>
        <w:keepNext w:val="0"/>
        <w:keepLines w:val="0"/>
        <w:pageBreakBefore w:val="0"/>
        <w:kinsoku/>
        <w:wordWrap/>
        <w:overflowPunct/>
        <w:topLinePunct w:val="0"/>
        <w:autoSpaceDE/>
        <w:autoSpaceDN/>
        <w:bidi w:val="0"/>
        <w:spacing w:after="0" w:line="480" w:lineRule="exact"/>
        <w:ind w:left="0" w:leftChars="0" w:right="0" w:rightChars="0" w:firstLine="480" w:firstLineChars="200"/>
        <w:jc w:val="both"/>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为更好地营造崖州区病媒生物防制氛围，提高病媒生物防制工作参与面，使各部门单位与广大群众更加熟悉了解病媒生物危害与防制知识，更加积极地参与到日常病媒生物防制工作中来，专业消杀公司应在全面开展病媒生物防制工作前和工作中，在人口集中的广场、公园、社区开展每年不少于四次的大型病媒生物防制知识宣传活动。宣传采取搭建宣传拱门、悬挂宣传横幅、展出宣传展板、发放“除四害”手册和药品等多种形式向广大群众灌输病媒生物防制知识，提高人民群众除害防病意识。</w:t>
      </w:r>
    </w:p>
    <w:p w14:paraId="7802AB2E">
      <w:pPr>
        <w:pStyle w:val="6"/>
        <w:keepNext w:val="0"/>
        <w:keepLines w:val="0"/>
        <w:pageBreakBefore w:val="0"/>
        <w:kinsoku/>
        <w:wordWrap/>
        <w:overflowPunct/>
        <w:topLinePunct w:val="0"/>
        <w:autoSpaceDE/>
        <w:autoSpaceDN/>
        <w:bidi w:val="0"/>
        <w:spacing w:after="0" w:line="480" w:lineRule="exact"/>
        <w:ind w:left="0" w:leftChars="0" w:right="0" w:rightChars="0" w:firstLine="480" w:firstLineChars="200"/>
        <w:jc w:val="both"/>
        <w:textAlignment w:val="auto"/>
        <w:outlineLvl w:val="9"/>
        <w:rPr>
          <w:rFonts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病媒生物防制知识培训</w:t>
      </w:r>
    </w:p>
    <w:p w14:paraId="722B067D">
      <w:pPr>
        <w:pStyle w:val="6"/>
        <w:keepNext w:val="0"/>
        <w:keepLines w:val="0"/>
        <w:pageBreakBefore w:val="0"/>
        <w:kinsoku/>
        <w:wordWrap/>
        <w:overflowPunct/>
        <w:topLinePunct w:val="0"/>
        <w:autoSpaceDE/>
        <w:autoSpaceDN/>
        <w:bidi w:val="0"/>
        <w:spacing w:after="0" w:line="480" w:lineRule="exact"/>
        <w:ind w:left="0" w:leftChars="0" w:right="0" w:rightChars="0" w:firstLine="480" w:firstLineChars="200"/>
        <w:jc w:val="both"/>
        <w:textAlignment w:val="auto"/>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为不断提高崖州区病媒生物防控技术和管理水平，专业</w:t>
      </w:r>
      <w:r>
        <w:rPr>
          <w:rFonts w:hint="eastAsia" w:ascii="宋体" w:hAnsi="宋体" w:eastAsia="宋体" w:cs="宋体"/>
          <w:b w:val="0"/>
          <w:bCs w:val="0"/>
          <w:color w:val="auto"/>
          <w:sz w:val="24"/>
          <w:szCs w:val="24"/>
          <w:lang w:eastAsia="zh-CN"/>
        </w:rPr>
        <w:t>防制</w:t>
      </w:r>
      <w:r>
        <w:rPr>
          <w:rFonts w:hint="eastAsia" w:ascii="宋体" w:hAnsi="宋体" w:eastAsia="宋体" w:cs="宋体"/>
          <w:b w:val="0"/>
          <w:bCs w:val="0"/>
          <w:color w:val="auto"/>
          <w:sz w:val="24"/>
          <w:szCs w:val="24"/>
        </w:rPr>
        <w:t>公司应对崖州区政府机关相关工作人员、各社区爱卫专干每年至少组织两次病媒生物防制知识培训。通过培训使得各爱卫工作人员对病媒生物防制知识和病媒生物防制监理、监测、考核验收工作有更深入的了解，为在监督专业公司病媒生物防制工作过程中打下坚实技术基础和提高管理水平。</w:t>
      </w:r>
    </w:p>
    <w:p w14:paraId="2DBD22DA">
      <w:pPr>
        <w:pStyle w:val="7"/>
        <w:spacing w:after="0" w:line="480" w:lineRule="exact"/>
        <w:jc w:val="both"/>
        <w:rPr>
          <w:rFonts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病媒生物防制措施要求</w:t>
      </w:r>
    </w:p>
    <w:p w14:paraId="16EBDCB9">
      <w:pPr>
        <w:numPr>
          <w:ilvl w:val="0"/>
          <w:numId w:val="0"/>
        </w:num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rPr>
        <w:t>作业要求：</w:t>
      </w:r>
    </w:p>
    <w:p w14:paraId="34AD7B63">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lang w:val="en-US" w:eastAsia="zh-CN"/>
        </w:rPr>
        <w:t>.1、</w:t>
      </w:r>
      <w:r>
        <w:rPr>
          <w:rFonts w:hint="eastAsia" w:ascii="宋体" w:hAnsi="宋体" w:eastAsia="宋体" w:cs="宋体"/>
          <w:color w:val="auto"/>
          <w:sz w:val="24"/>
          <w:szCs w:val="24"/>
        </w:rPr>
        <w:t>实施杀灭作业前，必须先到现场调查病媒生物的基本情况、记录详细，对病媒生物的种类、栖息部位、密度状况及孳生环境等情况有全面的了解，因地制宜地制定合理的害虫综合控制方案。</w:t>
      </w:r>
    </w:p>
    <w:p w14:paraId="6B021EFF">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lang w:val="en-US" w:eastAsia="zh-CN"/>
        </w:rPr>
        <w:t>.2、</w:t>
      </w:r>
      <w:r>
        <w:rPr>
          <w:rFonts w:hint="eastAsia" w:ascii="宋体" w:hAnsi="宋体" w:eastAsia="宋体" w:cs="宋体"/>
          <w:color w:val="auto"/>
          <w:sz w:val="24"/>
          <w:szCs w:val="24"/>
        </w:rPr>
        <w:t>根据控制方案备好药品器械和个人防护用品。</w:t>
      </w:r>
    </w:p>
    <w:p w14:paraId="325D5531">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lang w:val="en-US" w:eastAsia="zh-CN"/>
        </w:rPr>
        <w:t>.3、</w:t>
      </w:r>
      <w:r>
        <w:rPr>
          <w:rFonts w:hint="eastAsia" w:ascii="宋体" w:hAnsi="宋体" w:eastAsia="宋体" w:cs="宋体"/>
          <w:color w:val="auto"/>
          <w:sz w:val="24"/>
          <w:szCs w:val="24"/>
        </w:rPr>
        <w:t>实施防制作业，应遵守安全操作规定，合理用药，施药到位，保证防制效果，并防止药品污染环境。</w:t>
      </w:r>
    </w:p>
    <w:p w14:paraId="038FEDB4">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lang w:val="en-US" w:eastAsia="zh-CN"/>
        </w:rPr>
        <w:t>.4、</w:t>
      </w:r>
      <w:r>
        <w:rPr>
          <w:rFonts w:hint="eastAsia" w:ascii="宋体" w:hAnsi="宋体" w:eastAsia="宋体" w:cs="宋体"/>
          <w:color w:val="auto"/>
          <w:sz w:val="24"/>
          <w:szCs w:val="24"/>
        </w:rPr>
        <w:t>作业完成后应认真填写《灭鼠杀虫服务记录卡》并交由采购人签认，保存备查。</w:t>
      </w:r>
    </w:p>
    <w:p w14:paraId="798A1189">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lang w:val="en-US" w:eastAsia="zh-CN"/>
        </w:rPr>
        <w:t>.5、</w:t>
      </w:r>
      <w:r>
        <w:rPr>
          <w:rFonts w:hint="eastAsia" w:ascii="宋体" w:hAnsi="宋体" w:eastAsia="宋体" w:cs="宋体"/>
          <w:color w:val="auto"/>
          <w:sz w:val="24"/>
          <w:szCs w:val="24"/>
        </w:rPr>
        <w:t>根据卫生害虫种类和有关规定，定期进行虫害密度监测和防制效果监测，监测资料及时统计、分析上报区相关科室，并归档保存。</w:t>
      </w:r>
    </w:p>
    <w:p w14:paraId="7C44162B">
      <w:pPr>
        <w:keepNext w:val="0"/>
        <w:keepLines w:val="0"/>
        <w:pageBreakBefore w:val="0"/>
        <w:widowControl/>
        <w:kinsoku/>
        <w:wordWrap/>
        <w:overflowPunct/>
        <w:topLinePunct w:val="0"/>
        <w:autoSpaceDE/>
        <w:autoSpaceDN/>
        <w:bidi w:val="0"/>
        <w:adjustRightInd w:val="0"/>
        <w:snapToGrid w:val="0"/>
        <w:spacing w:line="360" w:lineRule="auto"/>
        <w:ind w:right="0" w:rightChars="0" w:firstLine="480" w:firstLineChars="200"/>
        <w:jc w:val="left"/>
        <w:textAlignment w:val="auto"/>
        <w:outlineLvl w:val="9"/>
        <w:rPr>
          <w:rFonts w:hint="eastAsia" w:ascii="宋体" w:hAnsi="宋体" w:eastAsia="宋体" w:cs="宋体"/>
          <w:color w:val="auto"/>
          <w:kern w:val="0"/>
          <w:sz w:val="24"/>
          <w:szCs w:val="24"/>
          <w:lang w:eastAsia="zh-CN"/>
        </w:rPr>
      </w:pPr>
      <w:r>
        <w:rPr>
          <w:rFonts w:hint="eastAsia" w:ascii="宋体" w:hAnsi="宋体" w:eastAsia="宋体" w:cs="宋体"/>
          <w:b w:val="0"/>
          <w:bCs w:val="0"/>
          <w:color w:val="auto"/>
          <w:sz w:val="24"/>
          <w:szCs w:val="24"/>
          <w:lang w:val="en-US" w:eastAsia="zh-CN"/>
        </w:rPr>
        <w:t>3.1</w:t>
      </w:r>
      <w:r>
        <w:rPr>
          <w:rFonts w:hint="eastAsia" w:ascii="宋体" w:hAnsi="宋体" w:eastAsia="宋体" w:cs="宋体"/>
          <w:color w:val="auto"/>
          <w:sz w:val="24"/>
          <w:szCs w:val="24"/>
          <w:lang w:val="en-US" w:eastAsia="zh-CN"/>
        </w:rPr>
        <w:t>.</w:t>
      </w:r>
      <w:r>
        <w:rPr>
          <w:rFonts w:hint="eastAsia" w:ascii="宋体" w:hAnsi="宋体" w:eastAsia="宋体" w:cs="宋体"/>
          <w:color w:val="auto"/>
          <w:kern w:val="0"/>
          <w:sz w:val="24"/>
          <w:szCs w:val="24"/>
          <w:lang w:val="en-US" w:eastAsia="zh-CN"/>
        </w:rPr>
        <w:t>6、</w:t>
      </w:r>
      <w:r>
        <w:rPr>
          <w:rFonts w:hint="eastAsia" w:ascii="宋体" w:hAnsi="宋体" w:eastAsia="宋体" w:cs="宋体"/>
          <w:color w:val="auto"/>
          <w:kern w:val="0"/>
          <w:sz w:val="24"/>
          <w:szCs w:val="24"/>
        </w:rPr>
        <w:t>消杀次数要求</w:t>
      </w:r>
      <w:r>
        <w:rPr>
          <w:rFonts w:hint="eastAsia" w:ascii="宋体" w:hAnsi="宋体" w:eastAsia="宋体" w:cs="宋体"/>
          <w:color w:val="auto"/>
          <w:kern w:val="0"/>
          <w:sz w:val="24"/>
          <w:szCs w:val="24"/>
          <w:lang w:eastAsia="zh-CN"/>
        </w:rPr>
        <w:t>：</w:t>
      </w:r>
      <w:r>
        <w:rPr>
          <w:rFonts w:hint="eastAsia" w:ascii="宋体" w:hAnsi="宋体" w:eastAsia="宋体" w:cs="宋体"/>
          <w:color w:val="auto"/>
          <w:kern w:val="0"/>
          <w:sz w:val="24"/>
          <w:szCs w:val="24"/>
        </w:rPr>
        <w:t>每月对防制范围组织全面消杀两次，逢3、5、7、9、10月份，每月消杀三次；</w:t>
      </w:r>
      <w:r>
        <w:rPr>
          <w:rFonts w:hint="eastAsia" w:ascii="宋体" w:hAnsi="宋体" w:eastAsia="宋体" w:cs="宋体"/>
          <w:color w:val="auto"/>
          <w:kern w:val="0"/>
          <w:sz w:val="24"/>
          <w:szCs w:val="24"/>
          <w:lang w:eastAsia="zh-CN"/>
        </w:rPr>
        <w:t>节假日重点安排消杀。</w:t>
      </w:r>
    </w:p>
    <w:p w14:paraId="595E4922">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lang w:eastAsia="zh-CN"/>
        </w:rPr>
      </w:pPr>
      <w:r>
        <w:rPr>
          <w:rFonts w:hint="eastAsia" w:ascii="宋体" w:hAnsi="宋体" w:eastAsia="宋体" w:cs="宋体"/>
          <w:b w:val="0"/>
          <w:bCs w:val="0"/>
          <w:color w:val="auto"/>
          <w:sz w:val="24"/>
          <w:szCs w:val="24"/>
          <w:lang w:val="en-US" w:eastAsia="zh-CN"/>
        </w:rPr>
        <w:t>3.</w:t>
      </w:r>
      <w:r>
        <w:rPr>
          <w:rFonts w:hint="eastAsia" w:ascii="宋体" w:hAnsi="宋体" w:cs="宋体"/>
          <w:b w:val="0"/>
          <w:bCs w:val="0"/>
          <w:color w:val="auto"/>
          <w:sz w:val="24"/>
          <w:szCs w:val="24"/>
          <w:lang w:val="en-US" w:eastAsia="zh-CN"/>
        </w:rPr>
        <w:t>2</w:t>
      </w:r>
      <w:r>
        <w:rPr>
          <w:rFonts w:hint="eastAsia" w:ascii="宋体" w:hAnsi="宋体" w:eastAsia="宋体" w:cs="宋体"/>
          <w:b w:val="0"/>
          <w:bCs w:val="0"/>
          <w:color w:val="auto"/>
          <w:sz w:val="24"/>
          <w:szCs w:val="24"/>
          <w:lang w:val="en-US" w:eastAsia="zh-CN"/>
        </w:rPr>
        <w:t>、</w:t>
      </w:r>
      <w:r>
        <w:rPr>
          <w:rFonts w:hint="eastAsia" w:ascii="宋体" w:hAnsi="宋体" w:eastAsia="宋体" w:cs="宋体"/>
          <w:color w:val="auto"/>
          <w:sz w:val="24"/>
          <w:szCs w:val="24"/>
        </w:rPr>
        <w:t>药品要求：崖州区病媒生物防制所用药物必须是国家有关主管部门批准生产（具有三证）的卫生杀虫剂的合格产品。严禁使用农用杀虫剂、国家违禁药品等用于病媒生物防制工作。</w:t>
      </w:r>
    </w:p>
    <w:p w14:paraId="7A75866D">
      <w:pPr>
        <w:pStyle w:val="6"/>
        <w:keepNext w:val="0"/>
        <w:keepLines w:val="0"/>
        <w:pageBreakBefore w:val="0"/>
        <w:kinsoku/>
        <w:wordWrap/>
        <w:overflowPunct/>
        <w:topLinePunct w:val="0"/>
        <w:autoSpaceDE/>
        <w:autoSpaceDN/>
        <w:bidi w:val="0"/>
        <w:spacing w:after="0" w:line="360" w:lineRule="auto"/>
        <w:ind w:left="0" w:leftChars="0" w:right="0" w:rightChars="0" w:firstLine="480" w:firstLineChars="20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cs="宋体"/>
          <w:b w:val="0"/>
          <w:bCs w:val="0"/>
          <w:color w:val="auto"/>
          <w:sz w:val="24"/>
          <w:szCs w:val="24"/>
          <w:lang w:val="en-US" w:eastAsia="zh-CN"/>
        </w:rPr>
        <w:t>3</w:t>
      </w:r>
      <w:r>
        <w:rPr>
          <w:rFonts w:hint="eastAsia" w:ascii="宋体" w:hAnsi="宋体" w:eastAsia="宋体" w:cs="宋体"/>
          <w:b w:val="0"/>
          <w:bCs w:val="0"/>
          <w:color w:val="auto"/>
          <w:sz w:val="24"/>
          <w:szCs w:val="24"/>
          <w:lang w:val="en-US" w:eastAsia="zh-CN"/>
        </w:rPr>
        <w:t>、</w:t>
      </w:r>
      <w:r>
        <w:rPr>
          <w:rFonts w:hint="eastAsia" w:ascii="宋体" w:hAnsi="宋体" w:eastAsia="宋体" w:cs="宋体"/>
          <w:color w:val="auto"/>
          <w:sz w:val="24"/>
          <w:szCs w:val="24"/>
        </w:rPr>
        <w:t>人员要求：专业公司应配备足额的防制技术人员，满足日常病媒生物防制工作需求，重点防制区域应有专人负责，且从事“四害”消杀服务的从业人员应取得《有害防制工职业上岗证书》，并统一着装，持证上岗，文明服务。</w:t>
      </w:r>
    </w:p>
    <w:p w14:paraId="41FA4B07">
      <w:pPr>
        <w:pStyle w:val="6"/>
        <w:keepNext w:val="0"/>
        <w:keepLines w:val="0"/>
        <w:pageBreakBefore w:val="0"/>
        <w:kinsoku/>
        <w:wordWrap/>
        <w:overflowPunct/>
        <w:topLinePunct w:val="0"/>
        <w:autoSpaceDE/>
        <w:autoSpaceDN/>
        <w:bidi w:val="0"/>
        <w:spacing w:after="0" w:line="360" w:lineRule="auto"/>
        <w:ind w:right="0" w:rightChars="0"/>
        <w:jc w:val="both"/>
        <w:textAlignment w:val="auto"/>
        <w:outlineLvl w:val="9"/>
        <w:rPr>
          <w:rFonts w:hint="eastAsia" w:ascii="宋体" w:hAnsi="宋体" w:eastAsia="宋体" w:cs="宋体"/>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cs="宋体"/>
          <w:b w:val="0"/>
          <w:bCs w:val="0"/>
          <w:color w:val="auto"/>
          <w:sz w:val="24"/>
          <w:szCs w:val="24"/>
          <w:lang w:val="en-US" w:eastAsia="zh-CN"/>
        </w:rPr>
        <w:t>4</w:t>
      </w:r>
      <w:r>
        <w:rPr>
          <w:rFonts w:hint="eastAsia" w:ascii="宋体" w:hAnsi="宋体" w:eastAsia="宋体" w:cs="宋体"/>
          <w:b w:val="0"/>
          <w:bCs w:val="0"/>
          <w:color w:val="auto"/>
          <w:sz w:val="24"/>
          <w:szCs w:val="24"/>
          <w:lang w:val="en-US" w:eastAsia="zh-CN"/>
        </w:rPr>
        <w:t>、</w:t>
      </w:r>
      <w:r>
        <w:rPr>
          <w:rFonts w:hint="eastAsia" w:ascii="宋体" w:hAnsi="宋体" w:eastAsia="宋体" w:cs="宋体"/>
          <w:color w:val="auto"/>
          <w:sz w:val="24"/>
          <w:szCs w:val="24"/>
        </w:rPr>
        <w:t>防制方法要求：专业公司在防制方法上应坚持“环境治理为主，化学和物理防制方法为辅的综合防制”方针，按照专业防制和群众防制相结合、日常防制和集中防制相结合的原则，发动广大群众搞好室内外卫生，及时清除卫生死角和病媒生物孳生地，科学开展病媒生物防制工作。</w:t>
      </w:r>
    </w:p>
    <w:p w14:paraId="653C0B98">
      <w:pPr>
        <w:pStyle w:val="6"/>
        <w:keepNext w:val="0"/>
        <w:keepLines w:val="0"/>
        <w:pageBreakBefore w:val="0"/>
        <w:kinsoku/>
        <w:wordWrap/>
        <w:overflowPunct/>
        <w:topLinePunct w:val="0"/>
        <w:autoSpaceDE/>
        <w:autoSpaceDN/>
        <w:bidi w:val="0"/>
        <w:spacing w:after="0" w:line="360" w:lineRule="auto"/>
        <w:ind w:right="0" w:rightChars="0"/>
        <w:jc w:val="both"/>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3.5、</w:t>
      </w:r>
      <w:r>
        <w:rPr>
          <w:rFonts w:hint="eastAsia" w:ascii="宋体" w:hAnsi="宋体" w:eastAsia="宋体" w:cs="宋体"/>
          <w:color w:val="auto"/>
          <w:sz w:val="24"/>
          <w:szCs w:val="24"/>
        </w:rPr>
        <w:t>资料整理要求：专业公司每月工作结束前，及时应将下月病媒生物防制工作计划报送区爱卫办，在区爱卫办的监督、指导下，认真开展下月病媒生物防制工作。专业公司的防制技术人员每天的防制工作结束后应认真填写《病媒生物防制施工记录单》交由甲方签字确认，记录单一式三份，社区、专业公司、区爱卫办各一份，保存备查。</w:t>
      </w:r>
    </w:p>
    <w:p w14:paraId="719F14DA">
      <w:pPr>
        <w:pStyle w:val="6"/>
        <w:keepNext w:val="0"/>
        <w:keepLines w:val="0"/>
        <w:pageBreakBefore w:val="0"/>
        <w:kinsoku/>
        <w:wordWrap/>
        <w:overflowPunct/>
        <w:topLinePunct w:val="0"/>
        <w:autoSpaceDE/>
        <w:autoSpaceDN/>
        <w:bidi w:val="0"/>
        <w:spacing w:after="0" w:line="360" w:lineRule="auto"/>
        <w:ind w:right="0" w:rightChars="0"/>
        <w:jc w:val="both"/>
        <w:textAlignment w:val="auto"/>
        <w:outlineLvl w:val="9"/>
        <w:rPr>
          <w:rFonts w:hint="eastAsia" w:ascii="宋体" w:hAnsi="宋体" w:eastAsia="宋体" w:cs="宋体"/>
          <w:color w:val="auto"/>
          <w:sz w:val="24"/>
          <w:szCs w:val="24"/>
        </w:rPr>
      </w:pPr>
      <w:r>
        <w:rPr>
          <w:rFonts w:hint="eastAsia" w:ascii="宋体" w:hAnsi="宋体" w:cs="宋体"/>
          <w:color w:val="auto"/>
          <w:sz w:val="24"/>
          <w:szCs w:val="24"/>
          <w:lang w:val="en-US" w:eastAsia="zh-CN"/>
        </w:rPr>
        <w:t>3.6、</w:t>
      </w:r>
      <w:r>
        <w:rPr>
          <w:rFonts w:hint="eastAsia" w:ascii="宋体" w:hAnsi="宋体" w:eastAsia="宋体" w:cs="宋体"/>
          <w:color w:val="auto"/>
          <w:sz w:val="24"/>
          <w:szCs w:val="24"/>
        </w:rPr>
        <w:t>“四防”设施建设要求：各机关、企事业单位、生产经营单位、商铺店铺在专业公司防制技术人员的指导下，积极维护和建设好本单位的“四防”设施。</w:t>
      </w:r>
    </w:p>
    <w:p w14:paraId="0810825A">
      <w:pPr>
        <w:keepNext w:val="0"/>
        <w:keepLines w:val="0"/>
        <w:pageBreakBefore w:val="0"/>
        <w:kinsoku/>
        <w:wordWrap/>
        <w:overflowPunct/>
        <w:topLinePunct w:val="0"/>
        <w:autoSpaceDE/>
        <w:autoSpaceDN/>
        <w:bidi w:val="0"/>
        <w:spacing w:line="480" w:lineRule="exact"/>
        <w:ind w:right="0" w:rightChars="0" w:firstLine="482" w:firstLineChars="200"/>
        <w:textAlignment w:val="auto"/>
        <w:outlineLvl w:val="9"/>
        <w:rPr>
          <w:rFonts w:hint="eastAsia" w:ascii="宋体" w:hAnsi="宋体" w:eastAsia="宋体" w:cs="宋体"/>
          <w:b/>
          <w:bCs/>
          <w:color w:val="auto"/>
          <w:sz w:val="24"/>
          <w:szCs w:val="24"/>
          <w:lang w:val="en-US" w:eastAsia="zh-CN"/>
        </w:rPr>
      </w:pPr>
      <w:r>
        <w:rPr>
          <w:rFonts w:hint="eastAsia" w:ascii="宋体" w:hAnsi="宋体" w:eastAsia="宋体" w:cs="宋体"/>
          <w:b/>
          <w:bCs/>
          <w:color w:val="auto"/>
          <w:sz w:val="24"/>
          <w:szCs w:val="24"/>
          <w:lang w:val="en-US" w:eastAsia="zh-CN"/>
        </w:rPr>
        <w:t>三、服务期限及服务费用</w:t>
      </w:r>
    </w:p>
    <w:p w14:paraId="25054A12">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1、服务期限：本合同承包服务期限壹年，起止时间为：自2025年1月1日起至 2025年 12 月 31 日止。</w:t>
      </w:r>
    </w:p>
    <w:p w14:paraId="6746EBA7">
      <w:pPr>
        <w:widowControl/>
        <w:adjustRightInd w:val="0"/>
        <w:snapToGrid w:val="0"/>
        <w:spacing w:line="480" w:lineRule="exact"/>
        <w:ind w:firstLine="480" w:firstLineChars="200"/>
        <w:jc w:val="left"/>
        <w:rPr>
          <w:rFonts w:hint="default"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2、服务费用：合同总价为</w:t>
      </w:r>
      <w:r>
        <w:rPr>
          <w:rFonts w:hint="eastAsia" w:ascii="宋体" w:hAnsi="宋体" w:eastAsia="宋体" w:cs="宋体"/>
          <w:color w:val="auto"/>
          <w:sz w:val="24"/>
          <w:szCs w:val="24"/>
          <w:u w:val="single"/>
          <w:lang w:val="en-US" w:eastAsia="zh-CN"/>
        </w:rPr>
        <w:t>￥   元（大写：人民币   ）</w:t>
      </w:r>
      <w:r>
        <w:rPr>
          <w:rFonts w:hint="eastAsia" w:ascii="宋体" w:hAnsi="宋体" w:eastAsia="宋体" w:cs="宋体"/>
          <w:color w:val="auto"/>
          <w:sz w:val="24"/>
          <w:szCs w:val="24"/>
          <w:lang w:val="en-US" w:eastAsia="zh-CN"/>
        </w:rPr>
        <w:t>。合同总价包括管理费、人员费用（含工资、奖金、社保及教育培训、暂住费用、处理一切伤亡事故等费用）、税收、生产资料（各种消杀器械及其耗损）等一切费用。采用全包干形式，即业务包干、经费包干。</w:t>
      </w:r>
    </w:p>
    <w:p w14:paraId="25D798C1">
      <w:pPr>
        <w:widowControl/>
        <w:adjustRightInd w:val="0"/>
        <w:snapToGrid w:val="0"/>
        <w:spacing w:line="480" w:lineRule="exact"/>
        <w:ind w:firstLine="482" w:firstLineChars="200"/>
        <w:jc w:val="left"/>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四、付款方式</w:t>
      </w:r>
    </w:p>
    <w:p w14:paraId="1B10459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480" w:firstLineChars="200"/>
        <w:textAlignment w:val="auto"/>
        <w:rPr>
          <w:rFonts w:ascii="宋体" w:hAnsi="宋体" w:eastAsia="宋体" w:cs="宋体"/>
          <w:sz w:val="24"/>
          <w:szCs w:val="24"/>
          <w:highlight w:val="none"/>
        </w:rPr>
      </w:pPr>
      <w:r>
        <w:rPr>
          <w:rFonts w:ascii="宋体" w:hAnsi="宋体" w:eastAsia="宋体" w:cs="宋体"/>
          <w:sz w:val="24"/>
          <w:szCs w:val="24"/>
          <w:highlight w:val="none"/>
        </w:rPr>
        <w:t>项目</w:t>
      </w:r>
      <w:r>
        <w:rPr>
          <w:rFonts w:hint="eastAsia" w:ascii="宋体" w:hAnsi="宋体" w:eastAsia="宋体" w:cs="宋体"/>
          <w:sz w:val="24"/>
          <w:szCs w:val="24"/>
          <w:highlight w:val="none"/>
          <w:lang w:val="en-US" w:eastAsia="zh-CN"/>
        </w:rPr>
        <w:t>承包付款</w:t>
      </w:r>
      <w:r>
        <w:rPr>
          <w:rFonts w:ascii="宋体" w:hAnsi="宋体" w:eastAsia="宋体" w:cs="宋体"/>
          <w:sz w:val="24"/>
          <w:szCs w:val="24"/>
          <w:highlight w:val="none"/>
        </w:rPr>
        <w:t>，</w:t>
      </w:r>
      <w:r>
        <w:rPr>
          <w:rFonts w:hint="eastAsia" w:ascii="宋体" w:hAnsi="宋体" w:eastAsia="宋体" w:cs="宋体"/>
          <w:sz w:val="24"/>
          <w:szCs w:val="24"/>
          <w:highlight w:val="none"/>
          <w:lang w:val="en-US" w:eastAsia="zh-CN"/>
        </w:rPr>
        <w:t>第一阶段，项目进场后支付第一阶段预付款，预付款为项目金额的30%</w:t>
      </w:r>
      <w:r>
        <w:rPr>
          <w:rFonts w:ascii="宋体" w:hAnsi="宋体" w:eastAsia="宋体" w:cs="宋体"/>
          <w:sz w:val="24"/>
          <w:szCs w:val="24"/>
          <w:highlight w:val="none"/>
        </w:rPr>
        <w:t>；第二阶段病媒生物防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20%；第三阶段病媒生物防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20%；第四阶段病媒生物防</w:t>
      </w:r>
      <w:r>
        <w:rPr>
          <w:rFonts w:hint="eastAsia" w:ascii="宋体" w:hAnsi="宋体" w:eastAsia="宋体" w:cs="宋体"/>
          <w:sz w:val="24"/>
          <w:szCs w:val="24"/>
          <w:highlight w:val="none"/>
          <w:lang w:val="en-US" w:eastAsia="zh-CN"/>
        </w:rPr>
        <w:t>制</w:t>
      </w:r>
      <w:r>
        <w:rPr>
          <w:rFonts w:ascii="宋体" w:hAnsi="宋体" w:eastAsia="宋体" w:cs="宋体"/>
          <w:sz w:val="24"/>
          <w:szCs w:val="24"/>
          <w:highlight w:val="none"/>
        </w:rPr>
        <w:t>效果考核合格后支付承包服务项目款 30%；若每个阶段病媒生物密度未达到国家规定</w:t>
      </w:r>
      <w:r>
        <w:rPr>
          <w:rFonts w:hint="eastAsia" w:ascii="宋体" w:hAnsi="宋体" w:eastAsia="宋体" w:cs="宋体"/>
          <w:sz w:val="24"/>
          <w:szCs w:val="24"/>
          <w:highlight w:val="none"/>
          <w:lang w:val="en-US" w:eastAsia="zh-CN"/>
        </w:rPr>
        <w:t>控制</w:t>
      </w:r>
      <w:r>
        <w:rPr>
          <w:rFonts w:ascii="宋体" w:hAnsi="宋体" w:eastAsia="宋体" w:cs="宋体"/>
          <w:sz w:val="24"/>
          <w:szCs w:val="24"/>
          <w:highlight w:val="none"/>
        </w:rPr>
        <w:t>标准，按照防制承包服务项目</w:t>
      </w:r>
      <w:r>
        <w:rPr>
          <w:rFonts w:hint="eastAsia" w:ascii="宋体" w:hAnsi="宋体" w:eastAsia="宋体" w:cs="宋体"/>
          <w:sz w:val="24"/>
          <w:szCs w:val="24"/>
          <w:highlight w:val="none"/>
          <w:lang w:val="en-US" w:eastAsia="zh-CN"/>
        </w:rPr>
        <w:t>阶段</w:t>
      </w:r>
      <w:r>
        <w:rPr>
          <w:rFonts w:ascii="宋体" w:hAnsi="宋体" w:eastAsia="宋体" w:cs="宋体"/>
          <w:sz w:val="24"/>
          <w:szCs w:val="24"/>
          <w:highlight w:val="none"/>
        </w:rPr>
        <w:t>款比例5%</w:t>
      </w:r>
      <w:r>
        <w:rPr>
          <w:rFonts w:hint="eastAsia" w:ascii="宋体" w:hAnsi="宋体" w:eastAsia="宋体" w:cs="宋体"/>
          <w:sz w:val="24"/>
          <w:szCs w:val="24"/>
          <w:highlight w:val="none"/>
          <w:lang w:val="en-US" w:eastAsia="zh-CN"/>
        </w:rPr>
        <w:t>从下一阶段付款中</w:t>
      </w:r>
      <w:r>
        <w:rPr>
          <w:rFonts w:ascii="宋体" w:hAnsi="宋体" w:eastAsia="宋体" w:cs="宋体"/>
          <w:sz w:val="24"/>
          <w:szCs w:val="24"/>
          <w:highlight w:val="none"/>
        </w:rPr>
        <w:t>扣除。</w:t>
      </w:r>
    </w:p>
    <w:p w14:paraId="4F972089">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sz w:val="24"/>
          <w:szCs w:val="24"/>
          <w:highlight w:val="none"/>
          <w:lang w:val="en-US" w:eastAsia="zh-CN"/>
        </w:rPr>
        <w:t>在</w:t>
      </w:r>
      <w:r>
        <w:rPr>
          <w:rFonts w:hint="eastAsia" w:ascii="宋体" w:hAnsi="宋体" w:eastAsia="宋体" w:cs="宋体"/>
          <w:sz w:val="24"/>
          <w:szCs w:val="24"/>
          <w:highlight w:val="none"/>
        </w:rPr>
        <w:t>满足合同约定支付条件</w:t>
      </w:r>
      <w:r>
        <w:rPr>
          <w:rFonts w:hint="eastAsia" w:ascii="宋体" w:hAnsi="宋体" w:eastAsia="宋体" w:cs="宋体"/>
          <w:sz w:val="24"/>
          <w:szCs w:val="24"/>
          <w:highlight w:val="none"/>
          <w:lang w:eastAsia="zh-CN"/>
        </w:rPr>
        <w:t>的</w:t>
      </w:r>
      <w:r>
        <w:rPr>
          <w:rFonts w:hint="eastAsia" w:ascii="宋体" w:hAnsi="宋体" w:eastAsia="宋体" w:cs="宋体"/>
          <w:sz w:val="24"/>
          <w:szCs w:val="24"/>
          <w:highlight w:val="none"/>
          <w:lang w:val="en-US" w:eastAsia="zh-CN"/>
        </w:rPr>
        <w:t>情况下</w:t>
      </w:r>
      <w:r>
        <w:rPr>
          <w:rFonts w:hint="eastAsia" w:ascii="宋体" w:hAnsi="宋体" w:eastAsia="宋体" w:cs="宋体"/>
          <w:sz w:val="24"/>
          <w:szCs w:val="24"/>
          <w:highlight w:val="none"/>
        </w:rPr>
        <w:t>，</w:t>
      </w:r>
      <w:r>
        <w:rPr>
          <w:rFonts w:hint="eastAsia" w:ascii="宋体" w:hAnsi="宋体" w:eastAsia="宋体" w:cs="宋体"/>
          <w:sz w:val="24"/>
          <w:szCs w:val="24"/>
          <w:highlight w:val="none"/>
          <w:lang w:val="en-US" w:eastAsia="zh-CN"/>
        </w:rPr>
        <w:t>采购单位</w:t>
      </w:r>
      <w:r>
        <w:rPr>
          <w:rFonts w:hint="eastAsia" w:ascii="宋体" w:hAnsi="宋体" w:eastAsia="宋体" w:cs="宋体"/>
          <w:sz w:val="24"/>
          <w:szCs w:val="24"/>
          <w:highlight w:val="none"/>
        </w:rPr>
        <w:t xml:space="preserve">应当自收到发票后 </w:t>
      </w: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 xml:space="preserve"> 个工作日内将资金支付到</w:t>
      </w:r>
      <w:r>
        <w:rPr>
          <w:rFonts w:hint="eastAsia" w:ascii="宋体" w:hAnsi="宋体" w:eastAsia="宋体" w:cs="宋体"/>
          <w:sz w:val="24"/>
          <w:szCs w:val="24"/>
          <w:highlight w:val="none"/>
          <w:lang w:val="en-US" w:eastAsia="zh-CN"/>
        </w:rPr>
        <w:t>中标人</w:t>
      </w:r>
      <w:r>
        <w:rPr>
          <w:rFonts w:hint="eastAsia" w:ascii="宋体" w:hAnsi="宋体" w:eastAsia="宋体" w:cs="宋体"/>
          <w:sz w:val="24"/>
          <w:szCs w:val="24"/>
          <w:highlight w:val="none"/>
        </w:rPr>
        <w:t>账户</w:t>
      </w:r>
      <w:r>
        <w:rPr>
          <w:rFonts w:hint="eastAsia" w:ascii="宋体" w:hAnsi="宋体" w:eastAsia="宋体" w:cs="宋体"/>
          <w:sz w:val="24"/>
          <w:szCs w:val="24"/>
          <w:highlight w:val="none"/>
          <w:lang w:eastAsia="zh-CN"/>
        </w:rPr>
        <w:t>。</w:t>
      </w:r>
    </w:p>
    <w:p w14:paraId="1CFC7316">
      <w:pPr>
        <w:widowControl/>
        <w:adjustRightInd w:val="0"/>
        <w:snapToGrid w:val="0"/>
        <w:spacing w:line="480" w:lineRule="exact"/>
        <w:ind w:firstLine="482" w:firstLineChars="200"/>
        <w:jc w:val="left"/>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eastAsia="zh-CN"/>
        </w:rPr>
        <w:t>五、双方责任约定</w:t>
      </w:r>
    </w:p>
    <w:p w14:paraId="7F6A0460">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1、采购人和中标人应当按照中标通知书规定的期限签订合同。中标通知书规定的期限最长不得超过30 天。</w:t>
      </w:r>
    </w:p>
    <w:p w14:paraId="6E4CED95">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2、中标人拒签合同，或不能在规定的期限内与采购人签订合同，采购人有权取消其中标资格，其投标保证金不予退还。</w:t>
      </w:r>
    </w:p>
    <w:p w14:paraId="21FF66D3">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中标人放弃中标或被取消中标资格后，采购人有权按评审委员会推荐的顺序确定备选中标候选人中标并与之签订合同。所有被确定中标的候选中标人均放弃中标或被取消中标资格，采购人应当重新组织招标。弃标或被取消中标资格的供应商不得参加重新招标。</w:t>
      </w:r>
    </w:p>
    <w:p w14:paraId="1F69A5E2">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4、中标人拒签合同或放弃中标是违约行为，应当依法赔偿违约行为给采购人造成的实际损失。</w:t>
      </w:r>
    </w:p>
    <w:p w14:paraId="6669EFDD">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5、招标文件、中标通知书、中标人的投标文件及其澄清文件，均为签订合同的依据。</w:t>
      </w:r>
    </w:p>
    <w:p w14:paraId="32D27BA8">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6、采购人与中标人应当根据合同的约定依法履行合同义务。政府采购合同的履行、违约责任和解决争议的方法等适用《中华人民共和国合同法》。</w:t>
      </w:r>
    </w:p>
    <w:p w14:paraId="20A05D1E">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7、对于中标人违反采购合同约定的行为，采购人应当及时处理，依法追究其违约责任。</w:t>
      </w:r>
    </w:p>
    <w:p w14:paraId="153D4984">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8、政府采购当事人违反本办法规定，给他人造成损失的，依法承担民事责任。</w:t>
      </w:r>
    </w:p>
    <w:p w14:paraId="3F7B82BD">
      <w:pPr>
        <w:widowControl/>
        <w:adjustRightInd w:val="0"/>
        <w:snapToGrid w:val="0"/>
        <w:spacing w:line="480" w:lineRule="exact"/>
        <w:ind w:firstLine="482" w:firstLineChars="200"/>
        <w:jc w:val="left"/>
        <w:rPr>
          <w:rFonts w:hint="eastAsia" w:ascii="宋体" w:hAnsi="宋体" w:eastAsia="宋体" w:cs="宋体"/>
          <w:b/>
          <w:bCs/>
          <w:color w:val="auto"/>
          <w:sz w:val="24"/>
          <w:szCs w:val="24"/>
          <w:lang w:eastAsia="zh-CN"/>
        </w:rPr>
      </w:pPr>
      <w:r>
        <w:rPr>
          <w:rFonts w:hint="eastAsia" w:ascii="宋体" w:hAnsi="宋体" w:eastAsia="宋体" w:cs="宋体"/>
          <w:b/>
          <w:bCs/>
          <w:color w:val="auto"/>
          <w:sz w:val="24"/>
          <w:szCs w:val="24"/>
          <w:lang w:val="en-US" w:eastAsia="zh-CN"/>
        </w:rPr>
        <w:t>六、争议的</w:t>
      </w:r>
      <w:r>
        <w:rPr>
          <w:rFonts w:hint="eastAsia" w:ascii="宋体" w:hAnsi="宋体" w:eastAsia="宋体" w:cs="宋体"/>
          <w:b/>
          <w:bCs/>
          <w:color w:val="auto"/>
          <w:sz w:val="24"/>
          <w:szCs w:val="24"/>
          <w:lang w:eastAsia="zh-CN"/>
        </w:rPr>
        <w:t xml:space="preserve">解决方式 </w:t>
      </w:r>
    </w:p>
    <w:p w14:paraId="4B2EE69B">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1、在解释或者执行本合同的过程中出现疑问或发生争议时，双方应通过协商方式解决。</w:t>
      </w:r>
    </w:p>
    <w:p w14:paraId="3DDDF145">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2、经协商不能解决的争议，可向三亚市有管辖权的人民法院提起诉讼。</w:t>
      </w:r>
    </w:p>
    <w:p w14:paraId="761C4D21">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3、除有争议部分外，本合同其他部分仍应按合同条款继续履行。 </w:t>
      </w:r>
    </w:p>
    <w:p w14:paraId="70148320">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 xml:space="preserve">七、本合同未尽事宜，经双方协商后可签订补充协议，所签订的补充协议与本合同具有同等的法律效力。 </w:t>
      </w:r>
    </w:p>
    <w:p w14:paraId="07D67365">
      <w:pPr>
        <w:widowControl/>
        <w:adjustRightInd w:val="0"/>
        <w:snapToGrid w:val="0"/>
        <w:spacing w:line="480" w:lineRule="exact"/>
        <w:ind w:firstLine="480" w:firstLineChars="200"/>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八、本协议一式捌份，甲、乙双方各留存叁份，报财政主管部门壹份，送采购代理机构壹份。本协议自甲、乙双方签字之日起生效。本协议未尽事宜协商解决。</w:t>
      </w:r>
    </w:p>
    <w:p w14:paraId="2188C517">
      <w:pPr>
        <w:spacing w:line="480" w:lineRule="exact"/>
        <w:rPr>
          <w:rFonts w:hint="eastAsia" w:ascii="宋体" w:hAnsi="宋体" w:eastAsia="宋体" w:cs="宋体"/>
          <w:color w:val="auto"/>
          <w:sz w:val="24"/>
          <w:lang w:eastAsia="zh-CN"/>
        </w:rPr>
      </w:pPr>
      <w:r>
        <w:rPr>
          <w:rFonts w:hint="eastAsia" w:ascii="宋体" w:hAnsi="宋体" w:cs="宋体"/>
          <w:color w:val="auto"/>
          <w:sz w:val="24"/>
          <w:lang w:eastAsia="zh-CN"/>
        </w:rPr>
        <w:t>（以下无正文）</w:t>
      </w:r>
    </w:p>
    <w:p w14:paraId="4FD28703">
      <w:pPr>
        <w:spacing w:line="4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br w:type="page"/>
      </w:r>
      <w:r>
        <w:rPr>
          <w:rFonts w:hint="eastAsia" w:ascii="宋体" w:hAnsi="宋体" w:eastAsia="宋体" w:cs="宋体"/>
          <w:color w:val="auto"/>
          <w:sz w:val="24"/>
        </w:rPr>
        <w:t xml:space="preserve">甲方签章：                       </w:t>
      </w:r>
      <w:r>
        <w:rPr>
          <w:rFonts w:hint="eastAsia" w:ascii="宋体" w:hAnsi="宋体" w:eastAsia="宋体" w:cs="宋体"/>
          <w:color w:val="auto"/>
          <w:sz w:val="24"/>
          <w:lang w:val="en-US" w:eastAsia="zh-CN"/>
        </w:rPr>
        <w:t xml:space="preserve">     </w:t>
      </w:r>
    </w:p>
    <w:p w14:paraId="292B8F21">
      <w:pPr>
        <w:spacing w:line="48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rPr>
        <w:t xml:space="preserve">法定代表人：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p>
    <w:p w14:paraId="22E749C8">
      <w:pPr>
        <w:spacing w:line="4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委托代理人：</w:t>
      </w:r>
    </w:p>
    <w:p w14:paraId="3840AF07">
      <w:pPr>
        <w:spacing w:line="480" w:lineRule="exact"/>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rPr>
        <w:t xml:space="preserve">开户行：                         </w:t>
      </w:r>
      <w:r>
        <w:rPr>
          <w:rFonts w:hint="eastAsia" w:ascii="宋体" w:hAnsi="宋体" w:eastAsia="宋体" w:cs="宋体"/>
          <w:color w:val="auto"/>
          <w:sz w:val="24"/>
          <w:lang w:val="en-US" w:eastAsia="zh-CN"/>
        </w:rPr>
        <w:t xml:space="preserve">   </w:t>
      </w:r>
      <w:r>
        <w:rPr>
          <w:rFonts w:hint="eastAsia" w:ascii="宋体" w:hAnsi="宋体" w:eastAsia="宋体" w:cs="宋体"/>
          <w:color w:val="auto"/>
          <w:sz w:val="24"/>
        </w:rPr>
        <w:t xml:space="preserve">                       </w:t>
      </w:r>
      <w:r>
        <w:rPr>
          <w:rFonts w:hint="eastAsia" w:ascii="宋体" w:hAnsi="宋体" w:eastAsia="宋体" w:cs="宋体"/>
          <w:color w:val="auto"/>
          <w:sz w:val="24"/>
          <w:lang w:val="en-US" w:eastAsia="zh-CN"/>
        </w:rPr>
        <w:t xml:space="preserve">           </w:t>
      </w:r>
    </w:p>
    <w:p w14:paraId="594A4864">
      <w:pPr>
        <w:spacing w:line="480" w:lineRule="exact"/>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rPr>
        <w:t>账  号：</w:t>
      </w:r>
    </w:p>
    <w:p w14:paraId="2AFDD7C9">
      <w:pPr>
        <w:spacing w:line="480" w:lineRule="exact"/>
        <w:rPr>
          <w:rFonts w:hint="eastAsia" w:ascii="宋体" w:hAnsi="宋体" w:eastAsia="宋体" w:cs="宋体"/>
          <w:color w:val="auto"/>
          <w:sz w:val="24"/>
        </w:rPr>
      </w:pPr>
    </w:p>
    <w:p w14:paraId="2B8D071E">
      <w:pPr>
        <w:spacing w:line="360" w:lineRule="auto"/>
        <w:ind w:firstLine="480" w:firstLineChars="200"/>
        <w:rPr>
          <w:rFonts w:hint="eastAsia" w:ascii="宋体" w:hAnsi="宋体" w:eastAsia="宋体" w:cs="宋体"/>
          <w:color w:val="auto"/>
          <w:sz w:val="24"/>
          <w:lang w:eastAsia="zh-CN"/>
        </w:rPr>
      </w:pPr>
      <w:r>
        <w:rPr>
          <w:rFonts w:hint="eastAsia" w:ascii="宋体" w:hAnsi="宋体" w:eastAsia="宋体" w:cs="宋体"/>
          <w:color w:val="auto"/>
          <w:sz w:val="24"/>
        </w:rPr>
        <w:t>乙方签章</w:t>
      </w:r>
      <w:r>
        <w:rPr>
          <w:rFonts w:hint="eastAsia" w:ascii="宋体" w:hAnsi="宋体" w:eastAsia="宋体" w:cs="宋体"/>
          <w:color w:val="auto"/>
          <w:sz w:val="24"/>
          <w:lang w:eastAsia="zh-CN"/>
        </w:rPr>
        <w:t>：</w:t>
      </w:r>
    </w:p>
    <w:p w14:paraId="1D708D8D">
      <w:pPr>
        <w:spacing w:line="360" w:lineRule="auto"/>
        <w:ind w:firstLine="480" w:firstLineChars="200"/>
        <w:rPr>
          <w:rFonts w:hint="eastAsia" w:ascii="宋体" w:hAnsi="宋体" w:eastAsia="宋体" w:cs="宋体"/>
          <w:color w:val="auto"/>
          <w:sz w:val="24"/>
        </w:rPr>
      </w:pPr>
      <w:r>
        <w:rPr>
          <w:rFonts w:hint="eastAsia" w:ascii="宋体" w:hAnsi="宋体" w:eastAsia="宋体" w:cs="宋体"/>
          <w:color w:val="auto"/>
          <w:sz w:val="24"/>
        </w:rPr>
        <w:t>法定代表人：</w:t>
      </w:r>
    </w:p>
    <w:p w14:paraId="7ECFED6F">
      <w:pPr>
        <w:spacing w:line="360" w:lineRule="auto"/>
        <w:ind w:firstLine="480" w:firstLineChars="200"/>
        <w:rPr>
          <w:rFonts w:hint="eastAsia" w:ascii="宋体" w:hAnsi="宋体" w:eastAsia="宋体" w:cs="宋体"/>
          <w:color w:val="auto"/>
          <w:sz w:val="24"/>
          <w:lang w:val="en-US" w:eastAsia="zh-CN"/>
        </w:rPr>
      </w:pPr>
      <w:r>
        <w:rPr>
          <w:rFonts w:hint="eastAsia" w:ascii="宋体" w:hAnsi="宋体" w:eastAsia="宋体" w:cs="宋体"/>
          <w:color w:val="auto"/>
          <w:sz w:val="24"/>
        </w:rPr>
        <w:t>委托代理人：</w:t>
      </w:r>
      <w:r>
        <w:rPr>
          <w:rFonts w:hint="eastAsia" w:ascii="宋体" w:hAnsi="宋体" w:eastAsia="宋体" w:cs="宋体"/>
          <w:color w:val="auto"/>
          <w:sz w:val="24"/>
          <w:lang w:val="en-US" w:eastAsia="zh-CN"/>
        </w:rPr>
        <w:t xml:space="preserve"> </w:t>
      </w:r>
    </w:p>
    <w:p w14:paraId="51608DC5">
      <w:pPr>
        <w:spacing w:line="360" w:lineRule="auto"/>
        <w:ind w:firstLine="480" w:firstLineChars="200"/>
        <w:jc w:val="both"/>
        <w:rPr>
          <w:rFonts w:hint="eastAsia" w:ascii="宋体" w:hAnsi="宋体" w:eastAsia="宋体" w:cs="宋体"/>
          <w:color w:val="auto"/>
          <w:sz w:val="24"/>
          <w:lang w:val="en-US" w:eastAsia="zh-CN"/>
        </w:rPr>
      </w:pPr>
      <w:r>
        <w:rPr>
          <w:rFonts w:hint="eastAsia" w:ascii="宋体" w:hAnsi="宋体" w:eastAsia="宋体" w:cs="宋体"/>
          <w:color w:val="auto"/>
          <w:sz w:val="24"/>
        </w:rPr>
        <w:t>开户行：</w:t>
      </w:r>
    </w:p>
    <w:p w14:paraId="46D9894B">
      <w:pPr>
        <w:spacing w:line="360" w:lineRule="auto"/>
        <w:ind w:firstLine="480" w:firstLineChars="200"/>
        <w:rPr>
          <w:rFonts w:hint="eastAsia" w:ascii="宋体" w:hAnsi="宋体" w:eastAsia="宋体" w:cs="宋体"/>
          <w:b w:val="0"/>
          <w:bCs w:val="0"/>
          <w:color w:val="auto"/>
          <w:sz w:val="24"/>
        </w:rPr>
      </w:pPr>
      <w:r>
        <w:rPr>
          <w:rFonts w:hint="eastAsia" w:ascii="宋体" w:hAnsi="宋体" w:eastAsia="宋体" w:cs="宋体"/>
          <w:b w:val="0"/>
          <w:bCs w:val="0"/>
          <w:color w:val="auto"/>
          <w:sz w:val="24"/>
        </w:rPr>
        <w:t>账  号：</w:t>
      </w:r>
    </w:p>
    <w:p w14:paraId="139D4719">
      <w:pPr>
        <w:spacing w:line="480" w:lineRule="exact"/>
        <w:rPr>
          <w:rFonts w:hint="eastAsia" w:ascii="宋体" w:hAnsi="宋体" w:eastAsia="宋体" w:cs="宋体"/>
          <w:color w:val="auto"/>
          <w:sz w:val="24"/>
        </w:rPr>
      </w:pPr>
    </w:p>
    <w:p w14:paraId="5CACAA6B">
      <w:pPr>
        <w:spacing w:line="480" w:lineRule="exact"/>
        <w:ind w:firstLine="480" w:firstLineChars="200"/>
        <w:rPr>
          <w:rFonts w:hint="eastAsia" w:ascii="宋体" w:hAnsi="宋体" w:eastAsia="宋体" w:cs="宋体"/>
          <w:color w:val="auto"/>
          <w:sz w:val="24"/>
        </w:rPr>
      </w:pPr>
      <w:r>
        <w:rPr>
          <w:rFonts w:hint="eastAsia" w:ascii="宋体" w:hAnsi="宋体" w:eastAsia="宋体" w:cs="宋体"/>
          <w:color w:val="auto"/>
          <w:sz w:val="24"/>
        </w:rPr>
        <w:t>合同签订时间：</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0605EDCB">
      <w:pPr>
        <w:spacing w:line="360" w:lineRule="exact"/>
        <w:rPr>
          <w:rFonts w:hint="eastAsia" w:ascii="宋体" w:hAnsi="宋体" w:eastAsia="宋体" w:cs="宋体"/>
          <w:color w:val="auto"/>
          <w:sz w:val="24"/>
          <w:highlight w:val="none"/>
          <w:lang w:eastAsia="zh-CN"/>
        </w:rPr>
      </w:pPr>
    </w:p>
    <w:p w14:paraId="03C0D2BB">
      <w:pPr>
        <w:spacing w:line="360" w:lineRule="exact"/>
        <w:rPr>
          <w:rFonts w:hint="eastAsia" w:ascii="宋体" w:hAnsi="宋体" w:eastAsia="宋体" w:cs="宋体"/>
          <w:color w:val="auto"/>
          <w:sz w:val="24"/>
          <w:highlight w:val="none"/>
          <w:lang w:eastAsia="zh-CN"/>
        </w:rPr>
      </w:pPr>
    </w:p>
    <w:p w14:paraId="411D5B13">
      <w:pPr>
        <w:spacing w:line="360" w:lineRule="exact"/>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lang w:eastAsia="zh-CN"/>
        </w:rPr>
        <w:t>声明：本合同标的经</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u w:val="single"/>
          <w:lang w:val="en-US" w:eastAsia="zh-CN"/>
        </w:rPr>
        <w:t xml:space="preserve">华兴天成项目咨询有限公司 </w:t>
      </w:r>
      <w:r>
        <w:rPr>
          <w:rFonts w:hint="eastAsia" w:ascii="宋体" w:hAnsi="宋体" w:eastAsia="宋体" w:cs="宋体"/>
          <w:color w:val="auto"/>
          <w:sz w:val="24"/>
          <w:highlight w:val="none"/>
          <w:lang w:eastAsia="zh-CN"/>
        </w:rPr>
        <w:t>依法定程序采购，合同内容与招投标文件内容一致</w:t>
      </w:r>
    </w:p>
    <w:p w14:paraId="5B0A6225">
      <w:pPr>
        <w:spacing w:line="360" w:lineRule="exact"/>
        <w:ind w:firstLine="480" w:firstLineChars="200"/>
        <w:rPr>
          <w:rFonts w:hint="eastAsia" w:ascii="宋体" w:hAnsi="宋体" w:eastAsia="宋体" w:cs="宋体"/>
          <w:color w:val="auto"/>
          <w:sz w:val="24"/>
          <w:highlight w:val="none"/>
          <w:lang w:eastAsia="zh-CN"/>
        </w:rPr>
      </w:pPr>
    </w:p>
    <w:p w14:paraId="3BCD6B06">
      <w:pPr>
        <w:spacing w:line="480" w:lineRule="exact"/>
        <w:ind w:firstLine="480" w:firstLineChars="200"/>
        <w:rPr>
          <w:rFonts w:hint="eastAsia" w:ascii="宋体" w:hAnsi="宋体" w:eastAsia="宋体" w:cs="宋体"/>
          <w:color w:val="auto"/>
          <w:sz w:val="24"/>
          <w:lang w:eastAsia="zh-CN"/>
        </w:rPr>
      </w:pPr>
    </w:p>
    <w:p w14:paraId="30412B99">
      <w:pPr>
        <w:spacing w:line="480" w:lineRule="exact"/>
        <w:ind w:firstLine="480" w:firstLineChars="200"/>
        <w:rPr>
          <w:rFonts w:hint="default" w:ascii="宋体" w:hAnsi="宋体" w:eastAsia="宋体" w:cs="宋体"/>
          <w:color w:val="auto"/>
          <w:sz w:val="24"/>
          <w:lang w:val="en-US" w:eastAsia="zh-CN"/>
        </w:rPr>
      </w:pPr>
      <w:r>
        <w:rPr>
          <w:rFonts w:hint="eastAsia" w:ascii="宋体" w:hAnsi="宋体" w:eastAsia="宋体" w:cs="宋体"/>
          <w:color w:val="auto"/>
          <w:sz w:val="24"/>
          <w:lang w:eastAsia="zh-CN"/>
        </w:rPr>
        <w:t>鉴证方</w:t>
      </w:r>
      <w:r>
        <w:rPr>
          <w:rFonts w:hint="eastAsia" w:ascii="宋体" w:hAnsi="宋体" w:eastAsia="宋体" w:cs="宋体"/>
          <w:color w:val="auto"/>
          <w:sz w:val="24"/>
        </w:rPr>
        <w:t>：</w:t>
      </w:r>
      <w:r>
        <w:rPr>
          <w:rFonts w:hint="eastAsia" w:ascii="宋体" w:hAnsi="宋体" w:eastAsia="宋体" w:cs="宋体"/>
          <w:color w:val="auto"/>
          <w:sz w:val="24"/>
          <w:lang w:val="en-US" w:eastAsia="zh-CN"/>
        </w:rPr>
        <w:t>华兴天成项目咨询有限公司</w:t>
      </w:r>
    </w:p>
    <w:p w14:paraId="29F5B74D">
      <w:pPr>
        <w:spacing w:line="480" w:lineRule="exact"/>
        <w:ind w:firstLine="5280" w:firstLineChars="2200"/>
        <w:rPr>
          <w:rFonts w:hint="eastAsia" w:ascii="宋体" w:hAnsi="宋体" w:eastAsia="宋体" w:cs="宋体"/>
          <w:color w:val="auto"/>
          <w:sz w:val="24"/>
        </w:rPr>
      </w:pPr>
    </w:p>
    <w:p w14:paraId="1C7534CC">
      <w:pPr>
        <w:spacing w:line="480" w:lineRule="exact"/>
        <w:ind w:firstLine="4800" w:firstLineChars="2000"/>
        <w:rPr>
          <w:rFonts w:hint="eastAsia"/>
          <w:lang w:val="en-US" w:eastAsia="zh-CN"/>
        </w:rPr>
      </w:pP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lang w:val="en-US" w:eastAsia="zh-CN"/>
        </w:rPr>
        <w:t xml:space="preserve"> </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0ACDF1BE">
      <w:pPr>
        <w:rPr>
          <w:rFonts w:hint="eastAsia" w:hAnsi="仿宋" w:cs="Times New Roman"/>
          <w:sz w:val="32"/>
          <w:szCs w:val="32"/>
          <w:u w:val="none"/>
          <w:lang w:val="en-US" w:eastAsia="zh-CN"/>
        </w:rPr>
      </w:pPr>
    </w:p>
    <w:p w14:paraId="4469E21F">
      <w:pPr>
        <w:rPr>
          <w:rFonts w:hint="default" w:hAnsi="仿宋" w:cs="Times New Roman"/>
          <w:sz w:val="32"/>
          <w:szCs w:val="32"/>
          <w:u w:val="none"/>
          <w:lang w:val="en-US" w:eastAsia="zh-CN"/>
        </w:rPr>
      </w:pPr>
    </w:p>
    <w:p w14:paraId="079BC873"/>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roma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Tahoma">
    <w:panose1 w:val="020B0604030504040204"/>
    <w:charset w:val="00"/>
    <w:family w:val="auto"/>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6B1B23">
    <w:pPr>
      <w:pStyle w:val="3"/>
      <w:wordWrap w:val="0"/>
      <w:jc w:val="right"/>
      <w:rPr>
        <w:rFonts w:ascii="宋体" w:hAnsi="宋体"/>
        <w:sz w:val="28"/>
        <w:szCs w:val="28"/>
        <w:lang w:eastAsia="zh-CN"/>
      </w:rPr>
    </w:pPr>
    <w:r>
      <w:rPr>
        <w:rFonts w:hint="eastAsia" w:ascii="宋体" w:hAnsi="宋体"/>
        <w:sz w:val="28"/>
        <w:szCs w:val="28"/>
      </w:rPr>
      <w:t>—</w:t>
    </w:r>
    <w:r>
      <w:rPr>
        <w:rFonts w:ascii="宋体" w:hAnsi="宋体"/>
        <w:sz w:val="28"/>
        <w:szCs w:val="28"/>
      </w:rPr>
      <w:fldChar w:fldCharType="begin"/>
    </w:r>
    <w:r>
      <w:rPr>
        <w:rFonts w:ascii="宋体" w:hAnsi="宋体"/>
        <w:sz w:val="28"/>
        <w:szCs w:val="28"/>
      </w:rPr>
      <w:instrText xml:space="preserve"> PAGE   \* MERGEFORMAT </w:instrText>
    </w:r>
    <w:r>
      <w:rPr>
        <w:rFonts w:ascii="宋体" w:hAnsi="宋体"/>
        <w:sz w:val="28"/>
        <w:szCs w:val="28"/>
      </w:rPr>
      <w:fldChar w:fldCharType="separate"/>
    </w:r>
    <w:r>
      <w:rPr>
        <w:rFonts w:ascii="宋体" w:hAnsi="宋体"/>
        <w:sz w:val="28"/>
        <w:szCs w:val="28"/>
        <w:lang w:val="zh-CN"/>
      </w:rPr>
      <w:t>23</w:t>
    </w:r>
    <w:r>
      <w:rPr>
        <w:rFonts w:ascii="宋体" w:hAnsi="宋体"/>
        <w:sz w:val="28"/>
        <w:szCs w:val="28"/>
      </w:rPr>
      <w:fldChar w:fldCharType="end"/>
    </w:r>
    <w:r>
      <w:rPr>
        <w:rFonts w:hint="eastAsia" w:ascii="宋体" w:hAnsi="宋体"/>
        <w:sz w:val="28"/>
        <w:szCs w:val="28"/>
      </w:rPr>
      <w:t>—</w:t>
    </w:r>
    <w:r>
      <w:rPr>
        <w:rFonts w:hint="eastAsia" w:ascii="宋体" w:hAnsi="宋体"/>
        <w:sz w:val="28"/>
        <w:szCs w:val="28"/>
        <w:lang w:eastAsia="zh-CN"/>
      </w:rPr>
      <w:t xml:space="preserve">  </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3B68AF"/>
    <w:rsid w:val="2D1C1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style>
  <w:style w:type="paragraph" w:styleId="3">
    <w:name w:val="footer"/>
    <w:basedOn w:val="1"/>
    <w:qFormat/>
    <w:uiPriority w:val="99"/>
    <w:pPr>
      <w:tabs>
        <w:tab w:val="center" w:pos="4153"/>
        <w:tab w:val="right" w:pos="8306"/>
      </w:tabs>
      <w:snapToGrid w:val="0"/>
      <w:jc w:val="left"/>
    </w:pPr>
    <w:rPr>
      <w:sz w:val="18"/>
      <w:szCs w:val="18"/>
    </w:rPr>
  </w:style>
  <w:style w:type="paragraph" w:customStyle="1" w:styleId="6">
    <w:name w:val="List Paragraph"/>
    <w:basedOn w:val="1"/>
    <w:qFormat/>
    <w:uiPriority w:val="34"/>
    <w:pPr>
      <w:ind w:firstLine="420" w:firstLineChars="200"/>
    </w:pPr>
  </w:style>
  <w:style w:type="paragraph" w:customStyle="1" w:styleId="7">
    <w:name w:val="列表段落1"/>
    <w:basedOn w:val="1"/>
    <w:qFormat/>
    <w:uiPriority w:val="0"/>
    <w:pPr>
      <w:widowControl/>
      <w:adjustRightInd w:val="0"/>
      <w:snapToGrid w:val="0"/>
      <w:spacing w:after="200"/>
      <w:ind w:firstLine="420" w:firstLineChars="200"/>
      <w:jc w:val="left"/>
    </w:pPr>
    <w:rPr>
      <w:rFonts w:ascii="Tahoma" w:hAnsi="Tahoma" w:eastAsia="微软雅黑"/>
      <w:kern w:val="0"/>
      <w:sz w:val="22"/>
      <w:szCs w:val="2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2699</Words>
  <Characters>2785</Characters>
  <Lines>0</Lines>
  <Paragraphs>0</Paragraphs>
  <TotalTime>1</TotalTime>
  <ScaleCrop>false</ScaleCrop>
  <LinksUpToDate>false</LinksUpToDate>
  <CharactersWithSpaces>3012</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2025-02-20T08:27:00Z</dcterms:created>
  <dc:creator>Administrator</dc:creator>
  <cp:lastModifiedBy>胡高旗</cp:lastModifiedBy>
  <dcterms:modified xsi:type="dcterms:W3CDTF">2025-02-26T06:20:13Z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eyJoZGlkIjoiMmQ3YTU3MjE5OTJjMmFhYmFmNDU5YjJiZjY2NWMxYzUiLCJ1c2VySWQiOiIyNDY3MDU1NTAifQ==</vt:lpwstr>
  </property>
  <property fmtid="{D5CDD505-2E9C-101B-9397-08002B2CF9AE}" pid="4" name="ICV">
    <vt:lpwstr>260E28D7995C49A791B6E82F277D0D8F_12</vt:lpwstr>
  </property>
</Properties>
</file>