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01FF9">
      <w:pPr>
        <w:snapToGrid w:val="0"/>
        <w:jc w:val="center"/>
        <w:rPr>
          <w:rFonts w:ascii="宋体" w:hAnsi="宋体" w:cs="Lucida Sans Unicode"/>
          <w:b/>
          <w:sz w:val="44"/>
          <w:szCs w:val="44"/>
        </w:rPr>
      </w:pPr>
      <w:r>
        <w:rPr>
          <w:rFonts w:hint="eastAsia" w:ascii="宋体" w:hAnsi="宋体" w:cs="Lucida Sans Unicode"/>
          <w:b/>
          <w:sz w:val="44"/>
          <w:szCs w:val="44"/>
        </w:rPr>
        <w:t>技术响应表</w:t>
      </w:r>
    </w:p>
    <w:p w14:paraId="51A06BC8">
      <w:pPr>
        <w:snapToGrid w:val="0"/>
        <w:ind w:firstLine="446" w:firstLineChars="148"/>
        <w:jc w:val="center"/>
        <w:rPr>
          <w:rFonts w:ascii="宋体" w:hAnsi="宋体"/>
          <w:b/>
          <w:sz w:val="30"/>
          <w:szCs w:val="30"/>
        </w:rPr>
      </w:pPr>
    </w:p>
    <w:p w14:paraId="4405EA7D">
      <w:pPr>
        <w:spacing w:line="360" w:lineRule="auto"/>
        <w:ind w:firstLine="480" w:firstLineChars="200"/>
        <w:rPr>
          <w:rFonts w:hint="eastAsia" w:ascii="宋体" w:hAnsi="宋体"/>
          <w:sz w:val="24"/>
          <w:szCs w:val="24"/>
        </w:rPr>
      </w:pPr>
      <w:r>
        <w:rPr>
          <w:rFonts w:hint="eastAsia" w:ascii="宋体" w:hAnsi="宋体"/>
          <w:sz w:val="24"/>
          <w:szCs w:val="24"/>
        </w:rPr>
        <w:t>说明：</w:t>
      </w:r>
      <w:r>
        <w:rPr>
          <w:rFonts w:hint="eastAsia" w:ascii="宋体" w:hAnsi="宋体"/>
          <w:sz w:val="24"/>
          <w:szCs w:val="24"/>
          <w:lang w:eastAsia="zh-CN"/>
        </w:rPr>
        <w:t>供应商</w:t>
      </w:r>
      <w:r>
        <w:rPr>
          <w:rFonts w:hint="eastAsia" w:ascii="宋体" w:hAnsi="宋体"/>
          <w:sz w:val="24"/>
          <w:szCs w:val="24"/>
        </w:rPr>
        <w:t>必须仔细阅读</w:t>
      </w:r>
      <w:r>
        <w:rPr>
          <w:rFonts w:hint="eastAsia" w:ascii="宋体" w:hAnsi="宋体"/>
          <w:sz w:val="24"/>
          <w:szCs w:val="24"/>
          <w:lang w:eastAsia="zh-CN"/>
        </w:rPr>
        <w:t>竞争性磋商文件“第三章</w:t>
      </w:r>
      <w:r>
        <w:rPr>
          <w:rFonts w:hint="eastAsia" w:ascii="宋体" w:hAnsi="宋体"/>
          <w:sz w:val="24"/>
          <w:szCs w:val="24"/>
          <w:lang w:val="en-US" w:eastAsia="zh-CN"/>
        </w:rPr>
        <w:t xml:space="preserve"> 采购需求</w:t>
      </w:r>
      <w:r>
        <w:rPr>
          <w:rFonts w:hint="eastAsia" w:ascii="宋体" w:hAnsi="宋体"/>
          <w:sz w:val="24"/>
          <w:szCs w:val="24"/>
          <w:lang w:eastAsia="zh-CN"/>
        </w:rPr>
        <w:t>”要求在《</w:t>
      </w:r>
      <w:r>
        <w:rPr>
          <w:rFonts w:hint="eastAsia" w:ascii="宋体" w:hAnsi="宋体"/>
          <w:sz w:val="24"/>
          <w:szCs w:val="24"/>
          <w:lang w:val="en-US" w:eastAsia="zh-CN"/>
        </w:rPr>
        <w:t>技术</w:t>
      </w:r>
      <w:r>
        <w:rPr>
          <w:rFonts w:hint="eastAsia" w:ascii="宋体" w:hAnsi="宋体"/>
          <w:sz w:val="24"/>
          <w:szCs w:val="24"/>
          <w:lang w:eastAsia="zh-CN"/>
        </w:rPr>
        <w:t>响应表》中需要进行响应的</w:t>
      </w:r>
      <w:r>
        <w:rPr>
          <w:rFonts w:hint="eastAsia" w:ascii="宋体" w:hAnsi="宋体"/>
          <w:sz w:val="24"/>
          <w:szCs w:val="24"/>
          <w:lang w:val="en-US" w:eastAsia="zh-CN"/>
        </w:rPr>
        <w:t>技术</w:t>
      </w:r>
      <w:r>
        <w:rPr>
          <w:rFonts w:hint="eastAsia" w:ascii="宋体" w:hAnsi="宋体"/>
          <w:sz w:val="24"/>
          <w:szCs w:val="24"/>
        </w:rPr>
        <w:t>条款，</w:t>
      </w:r>
      <w:r>
        <w:rPr>
          <w:rFonts w:hint="eastAsia" w:ascii="宋体" w:hAnsi="宋体"/>
          <w:sz w:val="24"/>
          <w:szCs w:val="24"/>
          <w:lang w:eastAsia="zh-CN"/>
        </w:rPr>
        <w:t>并</w:t>
      </w:r>
      <w:r>
        <w:rPr>
          <w:rFonts w:hint="eastAsia" w:ascii="宋体" w:hAnsi="宋体"/>
          <w:sz w:val="24"/>
          <w:szCs w:val="24"/>
        </w:rPr>
        <w:t>对</w:t>
      </w:r>
      <w:r>
        <w:rPr>
          <w:rFonts w:hint="eastAsia" w:ascii="宋体" w:hAnsi="宋体"/>
          <w:sz w:val="24"/>
          <w:szCs w:val="24"/>
          <w:lang w:eastAsia="zh-CN"/>
        </w:rPr>
        <w:t>上述</w:t>
      </w:r>
      <w:r>
        <w:rPr>
          <w:rFonts w:hint="eastAsia" w:ascii="宋体" w:hAnsi="宋体"/>
          <w:sz w:val="24"/>
          <w:szCs w:val="24"/>
          <w:lang w:val="en-US" w:eastAsia="zh-CN"/>
        </w:rPr>
        <w:t>技术</w:t>
      </w:r>
      <w:r>
        <w:rPr>
          <w:rFonts w:hint="eastAsia" w:ascii="宋体" w:hAnsi="宋体"/>
          <w:sz w:val="24"/>
          <w:szCs w:val="24"/>
        </w:rPr>
        <w:t>条款的响应情况逐项列入</w:t>
      </w:r>
      <w:r>
        <w:rPr>
          <w:rFonts w:hint="eastAsia" w:ascii="宋体" w:hAnsi="宋体"/>
          <w:sz w:val="24"/>
          <w:szCs w:val="24"/>
          <w:lang w:eastAsia="zh-CN"/>
        </w:rPr>
        <w:t>该表</w:t>
      </w:r>
      <w:r>
        <w:rPr>
          <w:rFonts w:hint="eastAsia" w:ascii="宋体" w:hAnsi="宋体"/>
          <w:sz w:val="24"/>
          <w:szCs w:val="24"/>
        </w:rPr>
        <w:t>，</w:t>
      </w:r>
      <w:r>
        <w:rPr>
          <w:rFonts w:hint="eastAsia" w:ascii="宋体" w:hAnsi="宋体"/>
          <w:sz w:val="24"/>
          <w:szCs w:val="24"/>
          <w:lang w:eastAsia="zh-CN"/>
        </w:rPr>
        <w:t>以及</w:t>
      </w:r>
      <w:r>
        <w:rPr>
          <w:rFonts w:hint="eastAsia" w:ascii="宋体" w:hAnsi="宋体"/>
          <w:sz w:val="24"/>
          <w:szCs w:val="24"/>
        </w:rPr>
        <w:t>对其响应情况进行说明</w:t>
      </w:r>
      <w:r>
        <w:rPr>
          <w:rFonts w:hint="eastAsia" w:ascii="宋体" w:hAnsi="宋体"/>
          <w:sz w:val="24"/>
          <w:szCs w:val="24"/>
          <w:lang w:eastAsia="zh-CN"/>
        </w:rPr>
        <w:t>；</w:t>
      </w:r>
      <w:r>
        <w:rPr>
          <w:rFonts w:hint="eastAsia" w:ascii="宋体" w:hAnsi="宋体"/>
          <w:sz w:val="24"/>
          <w:szCs w:val="24"/>
        </w:rPr>
        <w:t>未列入</w:t>
      </w:r>
      <w:r>
        <w:rPr>
          <w:rFonts w:hint="eastAsia" w:ascii="宋体" w:hAnsi="宋体"/>
          <w:sz w:val="24"/>
          <w:szCs w:val="24"/>
          <w:lang w:eastAsia="zh-CN"/>
        </w:rPr>
        <w:t>该表</w:t>
      </w:r>
      <w:r>
        <w:rPr>
          <w:rFonts w:hint="eastAsia" w:ascii="宋体" w:hAnsi="宋体"/>
          <w:sz w:val="24"/>
          <w:szCs w:val="24"/>
        </w:rPr>
        <w:t>的视作</w:t>
      </w:r>
      <w:r>
        <w:rPr>
          <w:rFonts w:hint="eastAsia" w:ascii="宋体" w:hAnsi="宋体"/>
          <w:sz w:val="24"/>
          <w:szCs w:val="24"/>
          <w:lang w:eastAsia="zh-CN"/>
        </w:rPr>
        <w:t>投标人</w:t>
      </w:r>
      <w:r>
        <w:rPr>
          <w:rFonts w:hint="eastAsia" w:ascii="宋体" w:hAnsi="宋体"/>
          <w:sz w:val="24"/>
          <w:szCs w:val="24"/>
        </w:rPr>
        <w:t>不响应。</w:t>
      </w:r>
    </w:p>
    <w:p w14:paraId="3DDA94FB">
      <w:pPr>
        <w:spacing w:line="360" w:lineRule="auto"/>
        <w:ind w:firstLine="482" w:firstLineChars="200"/>
        <w:rPr>
          <w:sz w:val="24"/>
          <w:szCs w:val="24"/>
        </w:rPr>
      </w:pPr>
      <w:r>
        <w:rPr>
          <w:rFonts w:hint="eastAsia" w:ascii="宋体" w:hAnsi="宋体"/>
          <w:b/>
          <w:sz w:val="24"/>
          <w:szCs w:val="24"/>
          <w:lang w:eastAsia="zh-CN"/>
        </w:rPr>
        <w:t>供应商</w:t>
      </w:r>
      <w:r>
        <w:rPr>
          <w:rFonts w:hint="eastAsia" w:ascii="宋体" w:hAnsi="宋体"/>
          <w:b/>
          <w:sz w:val="24"/>
          <w:szCs w:val="24"/>
        </w:rPr>
        <w:t>必须根据</w:t>
      </w:r>
      <w:r>
        <w:rPr>
          <w:rFonts w:hint="eastAsia" w:ascii="宋体" w:hAnsi="宋体"/>
          <w:b/>
          <w:sz w:val="24"/>
          <w:szCs w:val="24"/>
          <w:lang w:eastAsia="zh-CN"/>
        </w:rPr>
        <w:t>标的</w:t>
      </w:r>
      <w:r>
        <w:rPr>
          <w:rFonts w:hint="eastAsia" w:ascii="宋体" w:hAnsi="宋体"/>
          <w:b/>
          <w:sz w:val="24"/>
          <w:szCs w:val="24"/>
        </w:rPr>
        <w:t>的实际情况如实填写，</w:t>
      </w:r>
      <w:r>
        <w:rPr>
          <w:rFonts w:hint="eastAsia" w:ascii="宋体" w:hAnsi="宋体"/>
          <w:b/>
          <w:sz w:val="24"/>
          <w:szCs w:val="24"/>
          <w:lang w:eastAsia="zh-CN"/>
        </w:rPr>
        <w:t>评标委员会</w:t>
      </w:r>
      <w:r>
        <w:rPr>
          <w:rFonts w:hint="eastAsia" w:ascii="宋体" w:hAnsi="宋体"/>
          <w:b/>
          <w:sz w:val="24"/>
          <w:szCs w:val="24"/>
        </w:rPr>
        <w:t>如发现有虚假描述的，该</w:t>
      </w:r>
      <w:r>
        <w:rPr>
          <w:rFonts w:hint="eastAsia" w:ascii="宋体" w:hAnsi="宋体"/>
          <w:b/>
          <w:sz w:val="24"/>
          <w:szCs w:val="24"/>
          <w:lang w:eastAsia="zh-CN"/>
        </w:rPr>
        <w:t>响应文件</w:t>
      </w:r>
      <w:r>
        <w:rPr>
          <w:rFonts w:hint="eastAsia" w:ascii="宋体" w:hAnsi="宋体"/>
          <w:b/>
          <w:sz w:val="24"/>
          <w:szCs w:val="24"/>
        </w:rPr>
        <w:t>作无效</w:t>
      </w:r>
      <w:r>
        <w:rPr>
          <w:rFonts w:hint="eastAsia" w:ascii="宋体" w:hAnsi="宋体"/>
          <w:b/>
          <w:sz w:val="24"/>
          <w:szCs w:val="24"/>
          <w:lang w:eastAsia="zh-CN"/>
        </w:rPr>
        <w:t>投标文件</w:t>
      </w:r>
      <w:r>
        <w:rPr>
          <w:rFonts w:hint="eastAsia" w:ascii="宋体" w:hAnsi="宋体"/>
          <w:b/>
          <w:sz w:val="24"/>
          <w:szCs w:val="24"/>
        </w:rPr>
        <w:t>处理。</w:t>
      </w:r>
    </w:p>
    <w:tbl>
      <w:tblPr>
        <w:tblStyle w:val="7"/>
        <w:tblW w:w="10838" w:type="dxa"/>
        <w:tblInd w:w="-1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5820"/>
        <w:gridCol w:w="2044"/>
        <w:gridCol w:w="1847"/>
        <w:gridCol w:w="654"/>
      </w:tblGrid>
      <w:tr w14:paraId="155EF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blHeader/>
        </w:trPr>
        <w:tc>
          <w:tcPr>
            <w:tcW w:w="473" w:type="dxa"/>
            <w:tcBorders>
              <w:bottom w:val="single" w:color="auto" w:sz="4" w:space="0"/>
            </w:tcBorders>
            <w:shd w:val="clear" w:color="auto" w:fill="D9D9D9"/>
            <w:noWrap w:val="0"/>
            <w:vAlign w:val="center"/>
          </w:tcPr>
          <w:p w14:paraId="6F387986">
            <w:pPr>
              <w:snapToGrid w:val="0"/>
              <w:jc w:val="center"/>
              <w:rPr>
                <w:rFonts w:ascii="宋体" w:hAnsi="宋体"/>
                <w:b w:val="0"/>
                <w:bCs w:val="0"/>
                <w:sz w:val="18"/>
                <w:szCs w:val="18"/>
              </w:rPr>
            </w:pPr>
            <w:r>
              <w:rPr>
                <w:rFonts w:hint="eastAsia" w:ascii="宋体" w:hAnsi="宋体"/>
                <w:b w:val="0"/>
                <w:bCs w:val="0"/>
                <w:sz w:val="18"/>
                <w:szCs w:val="18"/>
              </w:rPr>
              <w:t>序号</w:t>
            </w:r>
          </w:p>
        </w:tc>
        <w:tc>
          <w:tcPr>
            <w:tcW w:w="5820" w:type="dxa"/>
            <w:tcBorders>
              <w:bottom w:val="single" w:color="auto" w:sz="4" w:space="0"/>
            </w:tcBorders>
            <w:shd w:val="clear" w:color="auto" w:fill="D9D9D9"/>
            <w:noWrap w:val="0"/>
            <w:vAlign w:val="center"/>
          </w:tcPr>
          <w:p w14:paraId="23CD3AC0">
            <w:pPr>
              <w:snapToGrid w:val="0"/>
              <w:jc w:val="center"/>
              <w:rPr>
                <w:rFonts w:ascii="宋体" w:hAnsi="宋体"/>
                <w:b w:val="0"/>
                <w:bCs w:val="0"/>
                <w:sz w:val="18"/>
                <w:szCs w:val="18"/>
              </w:rPr>
            </w:pPr>
            <w:r>
              <w:rPr>
                <w:rFonts w:hint="eastAsia" w:ascii="宋体" w:hAnsi="宋体"/>
                <w:b w:val="0"/>
                <w:bCs w:val="0"/>
                <w:sz w:val="18"/>
                <w:szCs w:val="18"/>
                <w:lang w:eastAsia="zh-CN"/>
              </w:rPr>
              <w:t>竞争性磋商文件</w:t>
            </w:r>
            <w:r>
              <w:rPr>
                <w:rFonts w:hint="eastAsia" w:ascii="宋体" w:hAnsi="宋体"/>
                <w:b w:val="0"/>
                <w:bCs w:val="0"/>
                <w:sz w:val="18"/>
                <w:szCs w:val="18"/>
                <w:lang w:val="en-US" w:eastAsia="zh-CN"/>
              </w:rPr>
              <w:t>技术</w:t>
            </w:r>
            <w:r>
              <w:rPr>
                <w:rFonts w:hint="eastAsia" w:ascii="宋体" w:hAnsi="宋体"/>
                <w:b w:val="0"/>
                <w:bCs w:val="0"/>
                <w:sz w:val="18"/>
                <w:szCs w:val="18"/>
              </w:rPr>
              <w:t>条款描述</w:t>
            </w:r>
          </w:p>
        </w:tc>
        <w:tc>
          <w:tcPr>
            <w:tcW w:w="2044" w:type="dxa"/>
            <w:tcBorders>
              <w:bottom w:val="single" w:color="auto" w:sz="4" w:space="0"/>
            </w:tcBorders>
            <w:shd w:val="clear" w:color="auto" w:fill="D9D9D9"/>
            <w:noWrap w:val="0"/>
            <w:vAlign w:val="center"/>
          </w:tcPr>
          <w:p w14:paraId="34A43B91">
            <w:pPr>
              <w:snapToGrid w:val="0"/>
              <w:jc w:val="center"/>
              <w:rPr>
                <w:rFonts w:ascii="宋体" w:hAnsi="宋体"/>
                <w:b w:val="0"/>
                <w:bCs w:val="0"/>
                <w:sz w:val="18"/>
                <w:szCs w:val="18"/>
              </w:rPr>
            </w:pPr>
            <w:r>
              <w:rPr>
                <w:rFonts w:hint="eastAsia" w:ascii="宋体" w:hAnsi="宋体"/>
                <w:b w:val="0"/>
                <w:bCs w:val="0"/>
                <w:sz w:val="18"/>
                <w:szCs w:val="18"/>
                <w:lang w:eastAsia="zh-CN"/>
              </w:rPr>
              <w:t>供应商</w:t>
            </w:r>
            <w:r>
              <w:rPr>
                <w:rFonts w:hint="eastAsia" w:ascii="宋体" w:hAnsi="宋体"/>
                <w:b w:val="0"/>
                <w:bCs w:val="0"/>
                <w:sz w:val="18"/>
                <w:szCs w:val="18"/>
                <w:lang w:val="en-US" w:eastAsia="zh-CN"/>
              </w:rPr>
              <w:t>技术</w:t>
            </w:r>
            <w:r>
              <w:rPr>
                <w:rFonts w:hint="eastAsia" w:ascii="宋体" w:hAnsi="宋体"/>
                <w:b w:val="0"/>
                <w:bCs w:val="0"/>
                <w:sz w:val="18"/>
                <w:szCs w:val="18"/>
              </w:rPr>
              <w:t>响应情况描述</w:t>
            </w:r>
          </w:p>
        </w:tc>
        <w:tc>
          <w:tcPr>
            <w:tcW w:w="1847" w:type="dxa"/>
            <w:tcBorders>
              <w:bottom w:val="single" w:color="auto" w:sz="4" w:space="0"/>
            </w:tcBorders>
            <w:shd w:val="clear" w:color="auto" w:fill="D9D9D9"/>
            <w:noWrap w:val="0"/>
            <w:vAlign w:val="center"/>
          </w:tcPr>
          <w:p w14:paraId="52480262">
            <w:pPr>
              <w:snapToGrid w:val="0"/>
              <w:jc w:val="center"/>
              <w:rPr>
                <w:rFonts w:ascii="宋体" w:hAnsi="宋体"/>
                <w:b w:val="0"/>
                <w:bCs w:val="0"/>
                <w:sz w:val="18"/>
                <w:szCs w:val="18"/>
              </w:rPr>
            </w:pPr>
            <w:r>
              <w:rPr>
                <w:rFonts w:hint="eastAsia" w:ascii="宋体" w:hAnsi="宋体"/>
                <w:b w:val="0"/>
                <w:bCs w:val="0"/>
                <w:sz w:val="18"/>
                <w:szCs w:val="18"/>
              </w:rPr>
              <w:t>响应情况说明（＋/</w:t>
            </w:r>
            <w:r>
              <w:rPr>
                <w:rFonts w:hint="eastAsia" w:ascii="宋体" w:hAnsi="宋体"/>
                <w:b w:val="0"/>
                <w:bCs w:val="0"/>
                <w:sz w:val="18"/>
                <w:szCs w:val="18"/>
                <w:lang w:val="en-US" w:eastAsia="zh-CN"/>
              </w:rPr>
              <w:t>=</w:t>
            </w:r>
            <w:r>
              <w:rPr>
                <w:rFonts w:hint="eastAsia" w:ascii="宋体" w:hAnsi="宋体"/>
                <w:b w:val="0"/>
                <w:bCs w:val="0"/>
                <w:sz w:val="18"/>
                <w:szCs w:val="18"/>
              </w:rPr>
              <w:t>/</w:t>
            </w:r>
            <w:r>
              <w:rPr>
                <w:rFonts w:hint="eastAsia" w:ascii="宋体" w:hAnsi="宋体"/>
                <w:b w:val="0"/>
                <w:bCs w:val="0"/>
                <w:sz w:val="18"/>
                <w:szCs w:val="18"/>
                <w:lang w:val="en-US" w:eastAsia="zh-CN"/>
              </w:rPr>
              <w:t>-</w:t>
            </w:r>
            <w:r>
              <w:rPr>
                <w:rFonts w:hint="eastAsia" w:ascii="宋体" w:hAnsi="宋体"/>
                <w:b w:val="0"/>
                <w:bCs w:val="0"/>
                <w:sz w:val="18"/>
                <w:szCs w:val="18"/>
              </w:rPr>
              <w:t>）</w:t>
            </w:r>
          </w:p>
        </w:tc>
        <w:tc>
          <w:tcPr>
            <w:tcW w:w="654" w:type="dxa"/>
            <w:tcBorders>
              <w:bottom w:val="single" w:color="auto" w:sz="4" w:space="0"/>
            </w:tcBorders>
            <w:shd w:val="clear" w:color="auto" w:fill="D9D9D9"/>
            <w:noWrap w:val="0"/>
            <w:vAlign w:val="center"/>
          </w:tcPr>
          <w:p w14:paraId="7676EB9D">
            <w:pPr>
              <w:snapToGrid w:val="0"/>
              <w:jc w:val="center"/>
              <w:rPr>
                <w:rFonts w:ascii="宋体" w:hAnsi="宋体"/>
                <w:b w:val="0"/>
                <w:bCs w:val="0"/>
                <w:sz w:val="18"/>
                <w:szCs w:val="18"/>
              </w:rPr>
            </w:pPr>
            <w:r>
              <w:rPr>
                <w:rFonts w:hint="eastAsia" w:ascii="宋体" w:hAnsi="宋体"/>
                <w:b w:val="0"/>
                <w:bCs w:val="0"/>
                <w:sz w:val="18"/>
                <w:szCs w:val="18"/>
              </w:rPr>
              <w:t>备注</w:t>
            </w:r>
          </w:p>
        </w:tc>
      </w:tr>
      <w:tr w14:paraId="56AA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blHeader/>
        </w:trPr>
        <w:tc>
          <w:tcPr>
            <w:tcW w:w="473" w:type="dxa"/>
            <w:noWrap w:val="0"/>
            <w:vAlign w:val="center"/>
          </w:tcPr>
          <w:p w14:paraId="4A1B643B">
            <w:pPr>
              <w:jc w:val="center"/>
              <w:rPr>
                <w:rFonts w:ascii="宋体" w:hAnsi="宋体"/>
                <w:b w:val="0"/>
                <w:bCs w:val="0"/>
                <w:sz w:val="18"/>
                <w:szCs w:val="18"/>
              </w:rPr>
            </w:pPr>
            <w:r>
              <w:rPr>
                <w:rFonts w:hint="eastAsia" w:ascii="宋体" w:hAnsi="宋体"/>
                <w:b w:val="0"/>
                <w:bCs w:val="0"/>
                <w:sz w:val="18"/>
                <w:szCs w:val="18"/>
              </w:rPr>
              <w:t>1</w:t>
            </w:r>
          </w:p>
        </w:tc>
        <w:tc>
          <w:tcPr>
            <w:tcW w:w="5820" w:type="dxa"/>
            <w:noWrap w:val="0"/>
            <w:vAlign w:val="center"/>
          </w:tcPr>
          <w:p w14:paraId="05CCDB1C">
            <w:pPr>
              <w:pStyle w:val="9"/>
              <w:jc w:val="both"/>
              <w:rPr>
                <w:rFonts w:hint="eastAsia" w:ascii="宋体" w:hAnsi="宋体" w:cs="宋体"/>
                <w:b w:val="0"/>
                <w:bCs w:val="0"/>
                <w:sz w:val="18"/>
                <w:szCs w:val="18"/>
              </w:rPr>
            </w:pPr>
            <w:r>
              <w:rPr>
                <w:rFonts w:hint="eastAsia" w:ascii="宋体" w:hAnsi="宋体" w:cs="宋体"/>
                <w:b w:val="0"/>
                <w:bCs w:val="0"/>
                <w:sz w:val="18"/>
                <w:szCs w:val="18"/>
              </w:rPr>
              <w:t>一、服务内容和安保职责</w:t>
            </w:r>
          </w:p>
          <w:p w14:paraId="0706C2BA">
            <w:pPr>
              <w:pStyle w:val="9"/>
              <w:jc w:val="both"/>
              <w:rPr>
                <w:rFonts w:hint="eastAsia" w:ascii="宋体" w:hAnsi="宋体" w:cs="宋体"/>
                <w:b w:val="0"/>
                <w:bCs w:val="0"/>
                <w:sz w:val="18"/>
                <w:szCs w:val="18"/>
              </w:rPr>
            </w:pPr>
            <w:r>
              <w:rPr>
                <w:rFonts w:hint="eastAsia" w:ascii="宋体" w:hAnsi="宋体" w:cs="宋体"/>
                <w:b w:val="0"/>
                <w:bCs w:val="0"/>
                <w:sz w:val="18"/>
                <w:szCs w:val="18"/>
              </w:rPr>
              <w:t>（一）服务内容</w:t>
            </w:r>
          </w:p>
          <w:p w14:paraId="13985613">
            <w:pPr>
              <w:pStyle w:val="9"/>
              <w:jc w:val="both"/>
              <w:rPr>
                <w:rFonts w:hint="eastAsia" w:ascii="宋体" w:hAnsi="宋体" w:cs="宋体"/>
                <w:b w:val="0"/>
                <w:bCs w:val="0"/>
                <w:sz w:val="18"/>
                <w:szCs w:val="18"/>
              </w:rPr>
            </w:pPr>
            <w:r>
              <w:rPr>
                <w:rFonts w:hint="eastAsia" w:ascii="宋体" w:hAnsi="宋体" w:cs="宋体"/>
                <w:b w:val="0"/>
                <w:bCs w:val="0"/>
                <w:sz w:val="18"/>
                <w:szCs w:val="18"/>
              </w:rPr>
              <w:t>负责区委办公楼、区委大院内的安全保卫、治安协调、应急处置等安保服务工作，及时发现并阻止各类突发事件，维护治安秩序，做好维护大院的秩序。做好值岗、站岗、巡逻、查证、登记和防火、防盗抢、防破坏、防暴恐等工作，确保区委办公楼、区委大院财产和人员安全，为大院提供良好的工作、生活环境。</w:t>
            </w:r>
          </w:p>
          <w:p w14:paraId="3CDC0E4D">
            <w:pPr>
              <w:pStyle w:val="9"/>
              <w:jc w:val="both"/>
              <w:rPr>
                <w:rFonts w:hint="eastAsia" w:ascii="宋体" w:hAnsi="宋体" w:cs="宋体"/>
                <w:b w:val="0"/>
                <w:bCs w:val="0"/>
                <w:sz w:val="18"/>
                <w:szCs w:val="18"/>
              </w:rPr>
            </w:pPr>
            <w:r>
              <w:rPr>
                <w:rFonts w:hint="eastAsia" w:ascii="宋体" w:hAnsi="宋体" w:cs="宋体"/>
                <w:b w:val="0"/>
                <w:bCs w:val="0"/>
                <w:sz w:val="18"/>
                <w:szCs w:val="18"/>
              </w:rPr>
              <w:t>（二）安保职责：</w:t>
            </w:r>
          </w:p>
          <w:p w14:paraId="6A479A6A">
            <w:pPr>
              <w:pStyle w:val="9"/>
              <w:jc w:val="both"/>
              <w:rPr>
                <w:rFonts w:hint="eastAsia" w:ascii="宋体" w:hAnsi="宋体" w:cs="宋体"/>
                <w:b w:val="0"/>
                <w:bCs w:val="0"/>
                <w:sz w:val="18"/>
                <w:szCs w:val="18"/>
              </w:rPr>
            </w:pPr>
            <w:r>
              <w:rPr>
                <w:rFonts w:hint="eastAsia" w:ascii="宋体" w:hAnsi="宋体" w:cs="宋体"/>
                <w:b w:val="0"/>
                <w:bCs w:val="0"/>
                <w:sz w:val="18"/>
                <w:szCs w:val="18"/>
              </w:rPr>
              <w:t>1、对守护区域人员、物品的出入放行进行管理；对各类车辆的停泊、看管及出入进行管理；保障守护区域内人身、财物安全，协助处理单位内部治安案件；</w:t>
            </w:r>
          </w:p>
          <w:p w14:paraId="61DCB318">
            <w:pPr>
              <w:pStyle w:val="9"/>
              <w:jc w:val="both"/>
              <w:rPr>
                <w:rFonts w:hint="eastAsia" w:ascii="宋体" w:hAnsi="宋体" w:cs="宋体"/>
                <w:b w:val="0"/>
                <w:bCs w:val="0"/>
                <w:sz w:val="18"/>
                <w:szCs w:val="18"/>
              </w:rPr>
            </w:pPr>
            <w:r>
              <w:rPr>
                <w:rFonts w:hint="eastAsia" w:ascii="宋体" w:hAnsi="宋体" w:cs="宋体"/>
                <w:b w:val="0"/>
                <w:bCs w:val="0"/>
                <w:sz w:val="18"/>
                <w:szCs w:val="18"/>
              </w:rPr>
              <w:t>2、对守护区域内的消防设备进行安全检查；对内部监控系统及报警系统进行查看和报障；</w:t>
            </w:r>
          </w:p>
          <w:p w14:paraId="0B82C465">
            <w:pPr>
              <w:pStyle w:val="9"/>
              <w:jc w:val="both"/>
              <w:rPr>
                <w:rFonts w:hint="eastAsia" w:ascii="宋体" w:hAnsi="宋体" w:cs="宋体"/>
                <w:b w:val="0"/>
                <w:bCs w:val="0"/>
                <w:sz w:val="18"/>
                <w:szCs w:val="18"/>
              </w:rPr>
            </w:pPr>
            <w:r>
              <w:rPr>
                <w:rFonts w:hint="eastAsia" w:ascii="宋体" w:hAnsi="宋体" w:cs="宋体"/>
                <w:b w:val="0"/>
                <w:bCs w:val="0"/>
                <w:sz w:val="18"/>
                <w:szCs w:val="18"/>
              </w:rPr>
              <w:t>3、建立健全保安管理制度，实行岗位责任制；</w:t>
            </w:r>
          </w:p>
          <w:p w14:paraId="79EAC9AA">
            <w:pPr>
              <w:pStyle w:val="9"/>
              <w:jc w:val="both"/>
              <w:rPr>
                <w:rFonts w:ascii="宋体" w:hAnsi="宋体" w:cs="宋体"/>
                <w:b w:val="0"/>
                <w:bCs w:val="0"/>
                <w:sz w:val="18"/>
                <w:szCs w:val="18"/>
              </w:rPr>
            </w:pPr>
            <w:r>
              <w:rPr>
                <w:rFonts w:hint="eastAsia" w:ascii="宋体" w:hAnsi="宋体" w:cs="宋体"/>
                <w:b w:val="0"/>
                <w:bCs w:val="0"/>
                <w:sz w:val="18"/>
                <w:szCs w:val="18"/>
              </w:rPr>
              <w:t>4、建立24小时应急保障机制，随时处理各类突发事件。</w:t>
            </w:r>
          </w:p>
        </w:tc>
        <w:tc>
          <w:tcPr>
            <w:tcW w:w="2044" w:type="dxa"/>
            <w:noWrap w:val="0"/>
            <w:vAlign w:val="center"/>
          </w:tcPr>
          <w:p w14:paraId="79DD5BEE">
            <w:pPr>
              <w:snapToGrid w:val="0"/>
              <w:jc w:val="center"/>
              <w:rPr>
                <w:rFonts w:ascii="宋体" w:hAnsi="宋体"/>
                <w:b w:val="0"/>
                <w:bCs w:val="0"/>
                <w:sz w:val="18"/>
                <w:szCs w:val="18"/>
              </w:rPr>
            </w:pPr>
          </w:p>
        </w:tc>
        <w:tc>
          <w:tcPr>
            <w:tcW w:w="1847" w:type="dxa"/>
            <w:noWrap w:val="0"/>
            <w:vAlign w:val="center"/>
          </w:tcPr>
          <w:p w14:paraId="08773C4B">
            <w:pPr>
              <w:snapToGrid w:val="0"/>
              <w:jc w:val="center"/>
              <w:rPr>
                <w:rFonts w:ascii="宋体" w:hAnsi="宋体"/>
                <w:b w:val="0"/>
                <w:bCs w:val="0"/>
                <w:sz w:val="18"/>
                <w:szCs w:val="18"/>
              </w:rPr>
            </w:pPr>
          </w:p>
        </w:tc>
        <w:tc>
          <w:tcPr>
            <w:tcW w:w="654" w:type="dxa"/>
            <w:noWrap w:val="0"/>
            <w:vAlign w:val="center"/>
          </w:tcPr>
          <w:p w14:paraId="65ABC3F1">
            <w:pPr>
              <w:snapToGrid w:val="0"/>
              <w:jc w:val="center"/>
              <w:rPr>
                <w:rFonts w:ascii="宋体" w:hAnsi="宋体"/>
                <w:b w:val="0"/>
                <w:bCs w:val="0"/>
                <w:sz w:val="18"/>
                <w:szCs w:val="18"/>
              </w:rPr>
            </w:pPr>
          </w:p>
        </w:tc>
      </w:tr>
      <w:tr w14:paraId="02E6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473" w:type="dxa"/>
            <w:noWrap w:val="0"/>
            <w:vAlign w:val="center"/>
          </w:tcPr>
          <w:p w14:paraId="6C6F2487">
            <w:pPr>
              <w:jc w:val="center"/>
              <w:rPr>
                <w:rFonts w:ascii="宋体" w:hAnsi="宋体"/>
                <w:b w:val="0"/>
                <w:bCs w:val="0"/>
                <w:sz w:val="18"/>
                <w:szCs w:val="18"/>
              </w:rPr>
            </w:pPr>
            <w:r>
              <w:rPr>
                <w:rFonts w:hint="eastAsia" w:ascii="宋体" w:hAnsi="宋体"/>
                <w:b w:val="0"/>
                <w:bCs w:val="0"/>
                <w:sz w:val="18"/>
                <w:szCs w:val="18"/>
              </w:rPr>
              <w:t>2</w:t>
            </w:r>
          </w:p>
        </w:tc>
        <w:tc>
          <w:tcPr>
            <w:tcW w:w="5820" w:type="dxa"/>
            <w:noWrap w:val="0"/>
            <w:vAlign w:val="center"/>
          </w:tcPr>
          <w:p w14:paraId="78D02297">
            <w:pPr>
              <w:pStyle w:val="9"/>
              <w:jc w:val="both"/>
              <w:rPr>
                <w:rFonts w:hint="eastAsia" w:ascii="宋体" w:hAnsi="宋体" w:cs="宋体"/>
                <w:b w:val="0"/>
                <w:bCs w:val="0"/>
                <w:sz w:val="18"/>
                <w:szCs w:val="18"/>
              </w:rPr>
            </w:pPr>
            <w:r>
              <w:rPr>
                <w:rFonts w:hint="eastAsia" w:ascii="宋体" w:hAnsi="宋体" w:cs="宋体"/>
                <w:b w:val="0"/>
                <w:bCs w:val="0"/>
                <w:sz w:val="18"/>
                <w:szCs w:val="18"/>
              </w:rPr>
              <w:t>二、服务范围及人员配置</w:t>
            </w:r>
          </w:p>
          <w:p w14:paraId="458D4691">
            <w:pPr>
              <w:pStyle w:val="9"/>
              <w:jc w:val="both"/>
              <w:rPr>
                <w:rFonts w:hint="eastAsia" w:ascii="宋体" w:hAnsi="宋体" w:cs="宋体"/>
                <w:b w:val="0"/>
                <w:bCs w:val="0"/>
                <w:sz w:val="18"/>
                <w:szCs w:val="18"/>
              </w:rPr>
            </w:pPr>
            <w:r>
              <w:rPr>
                <w:rFonts w:hint="eastAsia" w:ascii="宋体" w:hAnsi="宋体" w:cs="宋体"/>
                <w:b w:val="0"/>
                <w:bCs w:val="0"/>
                <w:sz w:val="18"/>
                <w:szCs w:val="18"/>
              </w:rPr>
              <w:t>1、服务区域：中共三亚市天涯区委办公大楼及后院</w:t>
            </w:r>
          </w:p>
          <w:p w14:paraId="62FC2666">
            <w:pPr>
              <w:pStyle w:val="9"/>
              <w:jc w:val="both"/>
              <w:rPr>
                <w:rFonts w:hint="eastAsia" w:ascii="宋体" w:hAnsi="宋体" w:cs="宋体"/>
                <w:b w:val="0"/>
                <w:bCs w:val="0"/>
                <w:sz w:val="18"/>
                <w:szCs w:val="18"/>
              </w:rPr>
            </w:pPr>
            <w:r>
              <w:rPr>
                <w:rFonts w:hint="eastAsia" w:ascii="宋体" w:hAnsi="宋体" w:cs="宋体"/>
                <w:b w:val="0"/>
                <w:bCs w:val="0"/>
                <w:sz w:val="18"/>
                <w:szCs w:val="18"/>
              </w:rPr>
              <w:t>2、人员配置不少于19名（含项目经理、班长）。</w:t>
            </w:r>
          </w:p>
          <w:p w14:paraId="42DF887A">
            <w:pPr>
              <w:pStyle w:val="9"/>
              <w:jc w:val="both"/>
              <w:rPr>
                <w:rFonts w:hint="eastAsia" w:ascii="宋体" w:hAnsi="宋体" w:cs="宋体"/>
                <w:b w:val="0"/>
                <w:bCs w:val="0"/>
                <w:sz w:val="18"/>
                <w:szCs w:val="18"/>
              </w:rPr>
            </w:pPr>
            <w:r>
              <w:rPr>
                <w:rFonts w:hint="eastAsia" w:ascii="宋体" w:hAnsi="宋体" w:cs="宋体"/>
                <w:b w:val="0"/>
                <w:bCs w:val="0"/>
                <w:sz w:val="18"/>
                <w:szCs w:val="18"/>
              </w:rPr>
              <w:t>3、岗位配置：大院和办公楼岗位2个值班岗位和一个巡逻岗，各个值班岗位负责其岗位及周边区域的安防工作；巡逻岗负责大院和办公楼的巡逻工作。</w:t>
            </w:r>
          </w:p>
          <w:p w14:paraId="0BFE721D">
            <w:pPr>
              <w:pStyle w:val="9"/>
              <w:jc w:val="both"/>
              <w:rPr>
                <w:rFonts w:ascii="宋体" w:hAnsi="宋体" w:cs="宋体"/>
                <w:b w:val="0"/>
                <w:bCs w:val="0"/>
                <w:sz w:val="18"/>
                <w:szCs w:val="18"/>
              </w:rPr>
            </w:pPr>
            <w:r>
              <w:rPr>
                <w:rFonts w:hint="eastAsia" w:ascii="宋体" w:hAnsi="宋体" w:cs="宋体"/>
                <w:b w:val="0"/>
                <w:bCs w:val="0"/>
                <w:sz w:val="18"/>
                <w:szCs w:val="18"/>
              </w:rPr>
              <w:t>4、根据采购人要求可及时调整力量部署。</w:t>
            </w:r>
          </w:p>
        </w:tc>
        <w:tc>
          <w:tcPr>
            <w:tcW w:w="2044" w:type="dxa"/>
            <w:noWrap w:val="0"/>
            <w:vAlign w:val="center"/>
          </w:tcPr>
          <w:p w14:paraId="28253B0B">
            <w:pPr>
              <w:snapToGrid w:val="0"/>
              <w:jc w:val="center"/>
              <w:rPr>
                <w:rFonts w:ascii="宋体" w:hAnsi="宋体"/>
                <w:b w:val="0"/>
                <w:bCs w:val="0"/>
                <w:sz w:val="18"/>
                <w:szCs w:val="18"/>
              </w:rPr>
            </w:pPr>
          </w:p>
        </w:tc>
        <w:tc>
          <w:tcPr>
            <w:tcW w:w="1847" w:type="dxa"/>
            <w:noWrap w:val="0"/>
            <w:vAlign w:val="center"/>
          </w:tcPr>
          <w:p w14:paraId="43696903">
            <w:pPr>
              <w:snapToGrid w:val="0"/>
              <w:jc w:val="center"/>
              <w:rPr>
                <w:rFonts w:ascii="宋体" w:hAnsi="宋体"/>
                <w:b w:val="0"/>
                <w:bCs w:val="0"/>
                <w:sz w:val="18"/>
                <w:szCs w:val="18"/>
              </w:rPr>
            </w:pPr>
          </w:p>
        </w:tc>
        <w:tc>
          <w:tcPr>
            <w:tcW w:w="654" w:type="dxa"/>
            <w:noWrap w:val="0"/>
            <w:vAlign w:val="center"/>
          </w:tcPr>
          <w:p w14:paraId="7FC78A94">
            <w:pPr>
              <w:snapToGrid w:val="0"/>
              <w:jc w:val="center"/>
              <w:rPr>
                <w:rFonts w:ascii="宋体" w:hAnsi="宋体"/>
                <w:b w:val="0"/>
                <w:bCs w:val="0"/>
                <w:sz w:val="18"/>
                <w:szCs w:val="18"/>
              </w:rPr>
            </w:pPr>
          </w:p>
        </w:tc>
      </w:tr>
      <w:tr w14:paraId="4201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473" w:type="dxa"/>
            <w:noWrap w:val="0"/>
            <w:vAlign w:val="center"/>
          </w:tcPr>
          <w:p w14:paraId="3A577C57">
            <w:pPr>
              <w:rPr>
                <w:rFonts w:ascii="宋体" w:hAnsi="宋体"/>
                <w:b w:val="0"/>
                <w:bCs w:val="0"/>
                <w:sz w:val="18"/>
                <w:szCs w:val="18"/>
              </w:rPr>
            </w:pPr>
            <w:r>
              <w:rPr>
                <w:rFonts w:hint="eastAsia" w:ascii="宋体" w:hAnsi="宋体"/>
                <w:b w:val="0"/>
                <w:bCs w:val="0"/>
                <w:sz w:val="18"/>
                <w:szCs w:val="18"/>
              </w:rPr>
              <w:t xml:space="preserve">   3</w:t>
            </w:r>
          </w:p>
        </w:tc>
        <w:tc>
          <w:tcPr>
            <w:tcW w:w="5820" w:type="dxa"/>
            <w:noWrap w:val="0"/>
            <w:vAlign w:val="center"/>
          </w:tcPr>
          <w:p w14:paraId="4DEF1255">
            <w:pPr>
              <w:pStyle w:val="9"/>
              <w:jc w:val="both"/>
              <w:rPr>
                <w:rFonts w:hint="eastAsia" w:ascii="宋体" w:hAnsi="宋体" w:cs="宋体"/>
                <w:b w:val="0"/>
                <w:bCs w:val="0"/>
                <w:sz w:val="18"/>
                <w:szCs w:val="18"/>
              </w:rPr>
            </w:pPr>
            <w:r>
              <w:rPr>
                <w:rFonts w:hint="eastAsia" w:ascii="宋体" w:hAnsi="宋体" w:cs="宋体"/>
                <w:b w:val="0"/>
                <w:bCs w:val="0"/>
                <w:sz w:val="18"/>
                <w:szCs w:val="18"/>
              </w:rPr>
              <w:t>三、岗位职责</w:t>
            </w:r>
          </w:p>
          <w:p w14:paraId="63954978">
            <w:pPr>
              <w:pStyle w:val="9"/>
              <w:jc w:val="both"/>
              <w:rPr>
                <w:rFonts w:hint="eastAsia" w:ascii="宋体" w:hAnsi="宋体" w:cs="宋体"/>
                <w:b w:val="0"/>
                <w:bCs w:val="0"/>
                <w:sz w:val="18"/>
                <w:szCs w:val="18"/>
              </w:rPr>
            </w:pPr>
            <w:r>
              <w:rPr>
                <w:rFonts w:hint="eastAsia" w:ascii="宋体" w:hAnsi="宋体" w:cs="宋体"/>
                <w:b w:val="0"/>
                <w:bCs w:val="0"/>
                <w:sz w:val="18"/>
                <w:szCs w:val="18"/>
              </w:rPr>
              <w:t>1、项目经理职责：</w:t>
            </w:r>
          </w:p>
          <w:p w14:paraId="34B939B2">
            <w:pPr>
              <w:pStyle w:val="9"/>
              <w:jc w:val="both"/>
              <w:rPr>
                <w:rFonts w:hint="eastAsia" w:ascii="宋体" w:hAnsi="宋体" w:cs="宋体"/>
                <w:b w:val="0"/>
                <w:bCs w:val="0"/>
                <w:sz w:val="18"/>
                <w:szCs w:val="18"/>
              </w:rPr>
            </w:pPr>
            <w:r>
              <w:rPr>
                <w:rFonts w:hint="eastAsia" w:ascii="宋体" w:hAnsi="宋体" w:cs="宋体"/>
                <w:b w:val="0"/>
                <w:bCs w:val="0"/>
                <w:sz w:val="18"/>
                <w:szCs w:val="18"/>
              </w:rPr>
              <w:t>（1）熟悉甲方的规章制度，熟悉甲方的地理地形、守护目标和要害部位的分布；</w:t>
            </w:r>
          </w:p>
          <w:p w14:paraId="10D473AF">
            <w:pPr>
              <w:pStyle w:val="9"/>
              <w:jc w:val="both"/>
              <w:rPr>
                <w:rFonts w:hint="eastAsia" w:ascii="宋体" w:hAnsi="宋体" w:cs="宋体"/>
                <w:b w:val="0"/>
                <w:bCs w:val="0"/>
                <w:sz w:val="18"/>
                <w:szCs w:val="18"/>
              </w:rPr>
            </w:pPr>
            <w:r>
              <w:rPr>
                <w:rFonts w:hint="eastAsia" w:ascii="宋体" w:hAnsi="宋体" w:cs="宋体"/>
                <w:b w:val="0"/>
                <w:bCs w:val="0"/>
                <w:sz w:val="18"/>
                <w:szCs w:val="18"/>
              </w:rPr>
              <w:t>（2）做好上传下达的工作，负责保安队员的排班、考勤、培训与考核，负责监督本队人员日常各项工作及考核制度，抓好应有的记录工作；</w:t>
            </w:r>
          </w:p>
          <w:p w14:paraId="22FBC5AF">
            <w:pPr>
              <w:pStyle w:val="9"/>
              <w:jc w:val="both"/>
              <w:rPr>
                <w:rFonts w:hint="eastAsia" w:ascii="宋体" w:hAnsi="宋体" w:cs="宋体"/>
                <w:b w:val="0"/>
                <w:bCs w:val="0"/>
                <w:sz w:val="18"/>
                <w:szCs w:val="18"/>
              </w:rPr>
            </w:pPr>
            <w:r>
              <w:rPr>
                <w:rFonts w:hint="eastAsia" w:ascii="宋体" w:hAnsi="宋体" w:cs="宋体"/>
                <w:b w:val="0"/>
                <w:bCs w:val="0"/>
                <w:sz w:val="18"/>
                <w:szCs w:val="18"/>
              </w:rPr>
              <w:t>（3）积极抓好保安员的培训工作；</w:t>
            </w:r>
          </w:p>
          <w:p w14:paraId="7244B3F3">
            <w:pPr>
              <w:pStyle w:val="9"/>
              <w:jc w:val="both"/>
              <w:rPr>
                <w:rFonts w:hint="eastAsia" w:ascii="宋体" w:hAnsi="宋体" w:cs="宋体"/>
                <w:b w:val="0"/>
                <w:bCs w:val="0"/>
                <w:sz w:val="18"/>
                <w:szCs w:val="18"/>
              </w:rPr>
            </w:pPr>
            <w:r>
              <w:rPr>
                <w:rFonts w:hint="eastAsia" w:ascii="宋体" w:hAnsi="宋体" w:cs="宋体"/>
                <w:b w:val="0"/>
                <w:bCs w:val="0"/>
                <w:sz w:val="18"/>
                <w:szCs w:val="18"/>
              </w:rPr>
              <w:t>（4）定时不定时地召开队务会，听取班组工作汇报；</w:t>
            </w:r>
          </w:p>
          <w:p w14:paraId="589AB366">
            <w:pPr>
              <w:pStyle w:val="9"/>
              <w:jc w:val="both"/>
              <w:rPr>
                <w:rFonts w:hint="eastAsia" w:ascii="宋体" w:hAnsi="宋体" w:cs="宋体"/>
                <w:b w:val="0"/>
                <w:bCs w:val="0"/>
                <w:sz w:val="18"/>
                <w:szCs w:val="18"/>
              </w:rPr>
            </w:pPr>
            <w:r>
              <w:rPr>
                <w:rFonts w:hint="eastAsia" w:ascii="宋体" w:hAnsi="宋体" w:cs="宋体"/>
                <w:b w:val="0"/>
                <w:bCs w:val="0"/>
                <w:sz w:val="18"/>
                <w:szCs w:val="18"/>
              </w:rPr>
              <w:t>（5）带领班长起表率作用，安排工作不讲私人感情，坚持原则，一视同仁，发现问题及时纠正处理；</w:t>
            </w:r>
          </w:p>
          <w:p w14:paraId="1B7C9009">
            <w:pPr>
              <w:pStyle w:val="9"/>
              <w:jc w:val="both"/>
              <w:rPr>
                <w:rFonts w:hint="eastAsia" w:ascii="宋体" w:hAnsi="宋体" w:cs="宋体"/>
                <w:b w:val="0"/>
                <w:bCs w:val="0"/>
                <w:sz w:val="18"/>
                <w:szCs w:val="18"/>
              </w:rPr>
            </w:pPr>
            <w:r>
              <w:rPr>
                <w:rFonts w:hint="eastAsia" w:ascii="宋体" w:hAnsi="宋体" w:cs="宋体"/>
                <w:b w:val="0"/>
                <w:bCs w:val="0"/>
                <w:sz w:val="18"/>
                <w:szCs w:val="18"/>
              </w:rPr>
              <w:t>（6）遇有突发事件发生，立即带领队员参与处突工作并上报有关领导。</w:t>
            </w:r>
          </w:p>
          <w:p w14:paraId="7271C5B8">
            <w:pPr>
              <w:pStyle w:val="9"/>
              <w:jc w:val="both"/>
              <w:rPr>
                <w:rFonts w:hint="eastAsia" w:ascii="宋体" w:hAnsi="宋体" w:cs="宋体"/>
                <w:b w:val="0"/>
                <w:bCs w:val="0"/>
                <w:sz w:val="18"/>
                <w:szCs w:val="18"/>
              </w:rPr>
            </w:pPr>
            <w:r>
              <w:rPr>
                <w:rFonts w:hint="eastAsia" w:ascii="宋体" w:hAnsi="宋体" w:cs="宋体"/>
                <w:b w:val="0"/>
                <w:bCs w:val="0"/>
                <w:sz w:val="18"/>
                <w:szCs w:val="18"/>
              </w:rPr>
              <w:t>2、班长职责：</w:t>
            </w:r>
          </w:p>
          <w:p w14:paraId="42F68202">
            <w:pPr>
              <w:pStyle w:val="9"/>
              <w:jc w:val="both"/>
              <w:rPr>
                <w:rFonts w:hint="eastAsia" w:ascii="宋体" w:hAnsi="宋体" w:cs="宋体"/>
                <w:b w:val="0"/>
                <w:bCs w:val="0"/>
                <w:sz w:val="18"/>
                <w:szCs w:val="18"/>
              </w:rPr>
            </w:pPr>
            <w:r>
              <w:rPr>
                <w:rFonts w:hint="eastAsia" w:ascii="宋体" w:hAnsi="宋体" w:cs="宋体"/>
                <w:b w:val="0"/>
                <w:bCs w:val="0"/>
                <w:sz w:val="18"/>
                <w:szCs w:val="18"/>
              </w:rPr>
              <w:t>（1）日常管理</w:t>
            </w:r>
          </w:p>
          <w:p w14:paraId="72EF9B51">
            <w:pPr>
              <w:pStyle w:val="9"/>
              <w:jc w:val="both"/>
              <w:rPr>
                <w:rFonts w:hint="eastAsia" w:ascii="宋体" w:hAnsi="宋体" w:cs="宋体"/>
                <w:b w:val="0"/>
                <w:bCs w:val="0"/>
                <w:sz w:val="18"/>
                <w:szCs w:val="18"/>
              </w:rPr>
            </w:pPr>
            <w:r>
              <w:rPr>
                <w:rFonts w:hint="eastAsia" w:ascii="宋体" w:hAnsi="宋体" w:cs="宋体"/>
                <w:b w:val="0"/>
                <w:bCs w:val="0"/>
                <w:sz w:val="18"/>
                <w:szCs w:val="18"/>
              </w:rPr>
              <w:t>协助本班队员上岗执勤，安排岗位、排班、考勤，检查仪容仪表、着装规范。</w:t>
            </w:r>
          </w:p>
          <w:p w14:paraId="21E4794B">
            <w:pPr>
              <w:pStyle w:val="9"/>
              <w:jc w:val="both"/>
              <w:rPr>
                <w:rFonts w:hint="eastAsia" w:ascii="宋体" w:hAnsi="宋体" w:cs="宋体"/>
                <w:b w:val="0"/>
                <w:bCs w:val="0"/>
                <w:sz w:val="18"/>
                <w:szCs w:val="18"/>
              </w:rPr>
            </w:pPr>
            <w:r>
              <w:rPr>
                <w:rFonts w:hint="eastAsia" w:ascii="宋体" w:hAnsi="宋体" w:cs="宋体"/>
                <w:b w:val="0"/>
                <w:bCs w:val="0"/>
                <w:sz w:val="18"/>
                <w:szCs w:val="18"/>
              </w:rPr>
              <w:t>（2） 执勤监督</w:t>
            </w:r>
          </w:p>
          <w:p w14:paraId="5603595B">
            <w:pPr>
              <w:pStyle w:val="9"/>
              <w:jc w:val="both"/>
              <w:rPr>
                <w:rFonts w:hint="eastAsia" w:ascii="宋体" w:hAnsi="宋体" w:cs="宋体"/>
                <w:b w:val="0"/>
                <w:bCs w:val="0"/>
                <w:sz w:val="18"/>
                <w:szCs w:val="18"/>
              </w:rPr>
            </w:pPr>
            <w:r>
              <w:rPr>
                <w:rFonts w:hint="eastAsia" w:ascii="宋体" w:hAnsi="宋体" w:cs="宋体"/>
                <w:b w:val="0"/>
                <w:bCs w:val="0"/>
                <w:sz w:val="18"/>
                <w:szCs w:val="18"/>
              </w:rPr>
              <w:t>巡查各岗位执勤情况，督促做好门禁、巡逻、登记、监控、车辆疏导等工作，及时纠正违规行为。</w:t>
            </w:r>
          </w:p>
          <w:p w14:paraId="53E8F6DF">
            <w:pPr>
              <w:pStyle w:val="9"/>
              <w:jc w:val="both"/>
              <w:rPr>
                <w:rFonts w:hint="eastAsia" w:ascii="宋体" w:hAnsi="宋体" w:cs="宋体"/>
                <w:b w:val="0"/>
                <w:bCs w:val="0"/>
                <w:sz w:val="18"/>
                <w:szCs w:val="18"/>
              </w:rPr>
            </w:pPr>
            <w:r>
              <w:rPr>
                <w:rFonts w:hint="eastAsia" w:ascii="宋体" w:hAnsi="宋体" w:cs="宋体"/>
                <w:b w:val="0"/>
                <w:bCs w:val="0"/>
                <w:sz w:val="18"/>
                <w:szCs w:val="18"/>
              </w:rPr>
              <w:t>（3）安全防范</w:t>
            </w:r>
          </w:p>
          <w:p w14:paraId="797F7555">
            <w:pPr>
              <w:pStyle w:val="9"/>
              <w:jc w:val="both"/>
              <w:rPr>
                <w:rFonts w:hint="eastAsia" w:ascii="宋体" w:hAnsi="宋体" w:cs="宋体"/>
                <w:b w:val="0"/>
                <w:bCs w:val="0"/>
                <w:sz w:val="18"/>
                <w:szCs w:val="18"/>
              </w:rPr>
            </w:pPr>
            <w:r>
              <w:rPr>
                <w:rFonts w:hint="eastAsia" w:ascii="宋体" w:hAnsi="宋体" w:cs="宋体"/>
                <w:b w:val="0"/>
                <w:bCs w:val="0"/>
                <w:sz w:val="18"/>
                <w:szCs w:val="18"/>
              </w:rPr>
              <w:t>排查岗位区域安全隐患（设施、可疑人员、异常情况），发现问题及时上报并协助处理。</w:t>
            </w:r>
          </w:p>
          <w:p w14:paraId="664FF5E7">
            <w:pPr>
              <w:pStyle w:val="9"/>
              <w:jc w:val="both"/>
              <w:rPr>
                <w:rFonts w:hint="eastAsia" w:ascii="宋体" w:hAnsi="宋体" w:cs="宋体"/>
                <w:b w:val="0"/>
                <w:bCs w:val="0"/>
                <w:sz w:val="18"/>
                <w:szCs w:val="18"/>
              </w:rPr>
            </w:pPr>
            <w:r>
              <w:rPr>
                <w:rFonts w:hint="eastAsia" w:ascii="宋体" w:hAnsi="宋体" w:cs="宋体"/>
                <w:b w:val="0"/>
                <w:bCs w:val="0"/>
                <w:sz w:val="18"/>
                <w:szCs w:val="18"/>
              </w:rPr>
              <w:t>（4）应急处置</w:t>
            </w:r>
          </w:p>
          <w:p w14:paraId="1E5895A0">
            <w:pPr>
              <w:pStyle w:val="9"/>
              <w:jc w:val="both"/>
              <w:rPr>
                <w:rFonts w:hint="eastAsia" w:ascii="宋体" w:hAnsi="宋体" w:cs="宋体"/>
                <w:b w:val="0"/>
                <w:bCs w:val="0"/>
                <w:sz w:val="18"/>
                <w:szCs w:val="18"/>
              </w:rPr>
            </w:pPr>
            <w:r>
              <w:rPr>
                <w:rFonts w:hint="eastAsia" w:ascii="宋体" w:hAnsi="宋体" w:cs="宋体"/>
                <w:b w:val="0"/>
                <w:bCs w:val="0"/>
                <w:sz w:val="18"/>
                <w:szCs w:val="18"/>
              </w:rPr>
              <w:t>发生纠纷、突发事件、火情、盗窃等情况时，第一时间到场组织处置、保护现场、上报领导。</w:t>
            </w:r>
          </w:p>
          <w:p w14:paraId="7EE20C2F">
            <w:pPr>
              <w:pStyle w:val="9"/>
              <w:jc w:val="both"/>
              <w:rPr>
                <w:rFonts w:hint="eastAsia" w:ascii="宋体" w:hAnsi="宋体" w:cs="宋体"/>
                <w:b w:val="0"/>
                <w:bCs w:val="0"/>
                <w:sz w:val="18"/>
                <w:szCs w:val="18"/>
              </w:rPr>
            </w:pPr>
            <w:r>
              <w:rPr>
                <w:rFonts w:hint="eastAsia" w:ascii="宋体" w:hAnsi="宋体" w:cs="宋体"/>
                <w:b w:val="0"/>
                <w:bCs w:val="0"/>
                <w:sz w:val="18"/>
                <w:szCs w:val="18"/>
              </w:rPr>
              <w:t>（5）沟通协调</w:t>
            </w:r>
          </w:p>
          <w:p w14:paraId="77D780E9">
            <w:pPr>
              <w:pStyle w:val="9"/>
              <w:jc w:val="both"/>
              <w:rPr>
                <w:rFonts w:hint="eastAsia" w:ascii="宋体" w:hAnsi="宋体" w:cs="宋体"/>
                <w:b w:val="0"/>
                <w:bCs w:val="0"/>
                <w:sz w:val="18"/>
                <w:szCs w:val="18"/>
              </w:rPr>
            </w:pPr>
            <w:r>
              <w:rPr>
                <w:rFonts w:hint="eastAsia" w:ascii="宋体" w:hAnsi="宋体" w:cs="宋体"/>
                <w:b w:val="0"/>
                <w:bCs w:val="0"/>
                <w:sz w:val="18"/>
                <w:szCs w:val="18"/>
              </w:rPr>
              <w:t>与业主、物业、同事、上级保持沟通，反馈问题，做好工作记录与交接班记录。</w:t>
            </w:r>
          </w:p>
          <w:p w14:paraId="65953DB0">
            <w:pPr>
              <w:pStyle w:val="9"/>
              <w:jc w:val="both"/>
              <w:rPr>
                <w:rFonts w:hint="eastAsia" w:ascii="宋体" w:hAnsi="宋体" w:cs="宋体"/>
                <w:b w:val="0"/>
                <w:bCs w:val="0"/>
                <w:sz w:val="18"/>
                <w:szCs w:val="18"/>
              </w:rPr>
            </w:pPr>
            <w:r>
              <w:rPr>
                <w:rFonts w:hint="eastAsia" w:ascii="宋体" w:hAnsi="宋体" w:cs="宋体"/>
                <w:b w:val="0"/>
                <w:bCs w:val="0"/>
                <w:sz w:val="18"/>
                <w:szCs w:val="18"/>
              </w:rPr>
              <w:t>（6）物资管理</w:t>
            </w:r>
          </w:p>
          <w:p w14:paraId="73670B9E">
            <w:pPr>
              <w:pStyle w:val="9"/>
              <w:jc w:val="both"/>
              <w:rPr>
                <w:rFonts w:hint="eastAsia" w:ascii="宋体" w:hAnsi="宋体" w:cs="宋体"/>
                <w:b w:val="0"/>
                <w:bCs w:val="0"/>
                <w:sz w:val="18"/>
                <w:szCs w:val="18"/>
              </w:rPr>
            </w:pPr>
            <w:r>
              <w:rPr>
                <w:rFonts w:hint="eastAsia" w:ascii="宋体" w:hAnsi="宋体" w:cs="宋体"/>
                <w:b w:val="0"/>
                <w:bCs w:val="0"/>
                <w:sz w:val="18"/>
                <w:szCs w:val="18"/>
              </w:rPr>
              <w:t>管好对讲机、警棍、监控、消防器材等装备，确保完好可用。</w:t>
            </w:r>
          </w:p>
          <w:p w14:paraId="375A5F3C">
            <w:pPr>
              <w:pStyle w:val="9"/>
              <w:jc w:val="both"/>
              <w:rPr>
                <w:rFonts w:hint="eastAsia" w:ascii="宋体" w:hAnsi="宋体" w:cs="宋体"/>
                <w:b w:val="0"/>
                <w:bCs w:val="0"/>
                <w:sz w:val="18"/>
                <w:szCs w:val="18"/>
              </w:rPr>
            </w:pPr>
            <w:r>
              <w:rPr>
                <w:rFonts w:hint="eastAsia" w:ascii="宋体" w:hAnsi="宋体" w:cs="宋体"/>
                <w:b w:val="0"/>
                <w:bCs w:val="0"/>
                <w:sz w:val="18"/>
                <w:szCs w:val="18"/>
              </w:rPr>
              <w:t>3、固定岗保安员职责：</w:t>
            </w:r>
          </w:p>
          <w:p w14:paraId="7A4558CD">
            <w:pPr>
              <w:pStyle w:val="9"/>
              <w:jc w:val="both"/>
              <w:rPr>
                <w:rFonts w:hint="eastAsia" w:ascii="宋体" w:hAnsi="宋体" w:cs="宋体"/>
                <w:b w:val="0"/>
                <w:bCs w:val="0"/>
                <w:sz w:val="18"/>
                <w:szCs w:val="18"/>
              </w:rPr>
            </w:pPr>
            <w:r>
              <w:rPr>
                <w:rFonts w:hint="eastAsia" w:ascii="宋体" w:hAnsi="宋体" w:cs="宋体"/>
                <w:b w:val="0"/>
                <w:bCs w:val="0"/>
                <w:sz w:val="18"/>
                <w:szCs w:val="18"/>
              </w:rPr>
              <w:t>（1）严把责任区的出入口，确保出入口有序、平安，防止踩踏情况的出现；</w:t>
            </w:r>
          </w:p>
          <w:p w14:paraId="301785B8">
            <w:pPr>
              <w:pStyle w:val="9"/>
              <w:jc w:val="both"/>
              <w:rPr>
                <w:rFonts w:hint="eastAsia" w:ascii="宋体" w:hAnsi="宋体" w:cs="宋体"/>
                <w:b w:val="0"/>
                <w:bCs w:val="0"/>
                <w:sz w:val="18"/>
                <w:szCs w:val="18"/>
              </w:rPr>
            </w:pPr>
            <w:r>
              <w:rPr>
                <w:rFonts w:hint="eastAsia" w:ascii="宋体" w:hAnsi="宋体" w:cs="宋体"/>
                <w:b w:val="0"/>
                <w:bCs w:val="0"/>
                <w:sz w:val="18"/>
                <w:szCs w:val="18"/>
              </w:rPr>
              <w:t>（2）对携带的大宗物品进行检查，凭甲方放行条放行；</w:t>
            </w:r>
          </w:p>
          <w:p w14:paraId="28DA1D8D">
            <w:pPr>
              <w:pStyle w:val="9"/>
              <w:jc w:val="both"/>
              <w:rPr>
                <w:rFonts w:hint="eastAsia" w:ascii="宋体" w:hAnsi="宋体" w:cs="宋体"/>
                <w:b w:val="0"/>
                <w:bCs w:val="0"/>
                <w:sz w:val="18"/>
                <w:szCs w:val="18"/>
              </w:rPr>
            </w:pPr>
            <w:r>
              <w:rPr>
                <w:rFonts w:hint="eastAsia" w:ascii="宋体" w:hAnsi="宋体" w:cs="宋体"/>
                <w:b w:val="0"/>
                <w:bCs w:val="0"/>
                <w:sz w:val="18"/>
                <w:szCs w:val="18"/>
              </w:rPr>
              <w:t>（3）认真履行交接班制度，做好固定岗的记录；</w:t>
            </w:r>
          </w:p>
          <w:p w14:paraId="57A267D0">
            <w:pPr>
              <w:pStyle w:val="9"/>
              <w:jc w:val="both"/>
              <w:rPr>
                <w:rFonts w:hint="eastAsia" w:ascii="宋体" w:hAnsi="宋体" w:cs="宋体"/>
                <w:b w:val="0"/>
                <w:bCs w:val="0"/>
                <w:sz w:val="18"/>
                <w:szCs w:val="18"/>
              </w:rPr>
            </w:pPr>
            <w:r>
              <w:rPr>
                <w:rFonts w:hint="eastAsia" w:ascii="宋体" w:hAnsi="宋体" w:cs="宋体"/>
                <w:b w:val="0"/>
                <w:bCs w:val="0"/>
                <w:sz w:val="18"/>
                <w:szCs w:val="18"/>
              </w:rPr>
              <w:t>（4）大门岗兼顾做好进入车辆的疏导工作。</w:t>
            </w:r>
          </w:p>
          <w:p w14:paraId="2A17CB2D">
            <w:pPr>
              <w:pStyle w:val="9"/>
              <w:jc w:val="both"/>
              <w:rPr>
                <w:rFonts w:hint="eastAsia" w:ascii="宋体" w:hAnsi="宋体" w:cs="宋体"/>
                <w:b w:val="0"/>
                <w:bCs w:val="0"/>
                <w:sz w:val="18"/>
                <w:szCs w:val="18"/>
              </w:rPr>
            </w:pPr>
            <w:r>
              <w:rPr>
                <w:rFonts w:hint="eastAsia" w:ascii="宋体" w:hAnsi="宋体" w:cs="宋体"/>
                <w:b w:val="0"/>
                <w:bCs w:val="0"/>
                <w:sz w:val="18"/>
                <w:szCs w:val="18"/>
              </w:rPr>
              <w:t>4、巡逻岗保安员职责：</w:t>
            </w:r>
          </w:p>
          <w:p w14:paraId="74395B0A">
            <w:pPr>
              <w:pStyle w:val="9"/>
              <w:jc w:val="both"/>
              <w:rPr>
                <w:rFonts w:hint="eastAsia" w:ascii="宋体" w:hAnsi="宋体" w:cs="宋体"/>
                <w:b w:val="0"/>
                <w:bCs w:val="0"/>
                <w:sz w:val="18"/>
                <w:szCs w:val="18"/>
              </w:rPr>
            </w:pPr>
            <w:r>
              <w:rPr>
                <w:rFonts w:hint="eastAsia" w:ascii="宋体" w:hAnsi="宋体" w:cs="宋体"/>
                <w:b w:val="0"/>
                <w:bCs w:val="0"/>
                <w:sz w:val="18"/>
                <w:szCs w:val="18"/>
              </w:rPr>
              <w:t>（1）定时不定时地对各个责任区内外进行巡逻，并做好巡逻记录；</w:t>
            </w:r>
          </w:p>
          <w:p w14:paraId="377F910F">
            <w:pPr>
              <w:pStyle w:val="9"/>
              <w:jc w:val="both"/>
              <w:rPr>
                <w:rFonts w:hint="eastAsia" w:ascii="宋体" w:hAnsi="宋体" w:cs="宋体"/>
                <w:b w:val="0"/>
                <w:bCs w:val="0"/>
                <w:sz w:val="18"/>
                <w:szCs w:val="18"/>
              </w:rPr>
            </w:pPr>
            <w:r>
              <w:rPr>
                <w:rFonts w:hint="eastAsia" w:ascii="宋体" w:hAnsi="宋体" w:cs="宋体"/>
                <w:b w:val="0"/>
                <w:bCs w:val="0"/>
                <w:sz w:val="18"/>
                <w:szCs w:val="18"/>
              </w:rPr>
              <w:t>（2）对闹事及时劝阻制止，严防暴恐事件的发生；</w:t>
            </w:r>
          </w:p>
          <w:p w14:paraId="42E042EA">
            <w:pPr>
              <w:pStyle w:val="9"/>
              <w:jc w:val="both"/>
              <w:rPr>
                <w:rFonts w:hint="eastAsia" w:ascii="宋体" w:hAnsi="宋体" w:cs="宋体"/>
                <w:b w:val="0"/>
                <w:bCs w:val="0"/>
                <w:sz w:val="18"/>
                <w:szCs w:val="18"/>
              </w:rPr>
            </w:pPr>
            <w:r>
              <w:rPr>
                <w:rFonts w:hint="eastAsia" w:ascii="宋体" w:hAnsi="宋体" w:cs="宋体"/>
                <w:b w:val="0"/>
                <w:bCs w:val="0"/>
                <w:sz w:val="18"/>
                <w:szCs w:val="18"/>
              </w:rPr>
              <w:t>（3）密切观察消防火警状况，防患于未然；</w:t>
            </w:r>
          </w:p>
          <w:p w14:paraId="0105230D">
            <w:pPr>
              <w:pStyle w:val="9"/>
              <w:jc w:val="both"/>
              <w:rPr>
                <w:rFonts w:ascii="宋体" w:hAnsi="宋体" w:cs="宋体"/>
                <w:b w:val="0"/>
                <w:bCs w:val="0"/>
                <w:sz w:val="18"/>
                <w:szCs w:val="18"/>
              </w:rPr>
            </w:pPr>
            <w:r>
              <w:rPr>
                <w:rFonts w:hint="eastAsia" w:ascii="宋体" w:hAnsi="宋体" w:cs="宋体"/>
                <w:b w:val="0"/>
                <w:bCs w:val="0"/>
                <w:sz w:val="18"/>
                <w:szCs w:val="18"/>
              </w:rPr>
              <w:t>（4）若有突发事件发生，立即赶往事发点协助处置。</w:t>
            </w:r>
          </w:p>
        </w:tc>
        <w:tc>
          <w:tcPr>
            <w:tcW w:w="2044" w:type="dxa"/>
            <w:noWrap w:val="0"/>
            <w:vAlign w:val="center"/>
          </w:tcPr>
          <w:p w14:paraId="67A28FA9">
            <w:pPr>
              <w:snapToGrid w:val="0"/>
              <w:jc w:val="center"/>
              <w:rPr>
                <w:rFonts w:ascii="宋体" w:hAnsi="宋体"/>
                <w:b w:val="0"/>
                <w:bCs w:val="0"/>
                <w:sz w:val="18"/>
                <w:szCs w:val="18"/>
              </w:rPr>
            </w:pPr>
          </w:p>
        </w:tc>
        <w:tc>
          <w:tcPr>
            <w:tcW w:w="1847" w:type="dxa"/>
            <w:noWrap w:val="0"/>
            <w:vAlign w:val="center"/>
          </w:tcPr>
          <w:p w14:paraId="722B16D9">
            <w:pPr>
              <w:snapToGrid w:val="0"/>
              <w:jc w:val="center"/>
              <w:rPr>
                <w:rFonts w:ascii="宋体" w:hAnsi="宋体"/>
                <w:b w:val="0"/>
                <w:bCs w:val="0"/>
                <w:sz w:val="18"/>
                <w:szCs w:val="18"/>
              </w:rPr>
            </w:pPr>
          </w:p>
        </w:tc>
        <w:tc>
          <w:tcPr>
            <w:tcW w:w="654" w:type="dxa"/>
            <w:noWrap w:val="0"/>
            <w:vAlign w:val="center"/>
          </w:tcPr>
          <w:p w14:paraId="0FD0EC8E">
            <w:pPr>
              <w:snapToGrid w:val="0"/>
              <w:jc w:val="center"/>
              <w:rPr>
                <w:rFonts w:ascii="宋体" w:hAnsi="宋体"/>
                <w:b w:val="0"/>
                <w:bCs w:val="0"/>
                <w:sz w:val="18"/>
                <w:szCs w:val="18"/>
              </w:rPr>
            </w:pPr>
          </w:p>
        </w:tc>
      </w:tr>
      <w:tr w14:paraId="066F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1" w:hRule="atLeast"/>
          <w:tblHeader/>
        </w:trPr>
        <w:tc>
          <w:tcPr>
            <w:tcW w:w="473" w:type="dxa"/>
            <w:noWrap w:val="0"/>
            <w:vAlign w:val="center"/>
          </w:tcPr>
          <w:p w14:paraId="63D7E98E">
            <w:pPr>
              <w:jc w:val="center"/>
              <w:rPr>
                <w:rFonts w:hint="eastAsia" w:ascii="宋体" w:hAnsi="宋体" w:eastAsia="宋体"/>
                <w:b w:val="0"/>
                <w:bCs w:val="0"/>
                <w:sz w:val="18"/>
                <w:szCs w:val="18"/>
                <w:lang w:eastAsia="zh-CN"/>
              </w:rPr>
            </w:pPr>
            <w:r>
              <w:rPr>
                <w:rFonts w:hint="eastAsia" w:ascii="宋体" w:hAnsi="宋体"/>
                <w:b w:val="0"/>
                <w:bCs w:val="0"/>
                <w:sz w:val="18"/>
                <w:szCs w:val="18"/>
                <w:lang w:val="en-US" w:eastAsia="zh-CN"/>
              </w:rPr>
              <w:t>4</w:t>
            </w:r>
          </w:p>
        </w:tc>
        <w:tc>
          <w:tcPr>
            <w:tcW w:w="5820" w:type="dxa"/>
            <w:noWrap w:val="0"/>
            <w:vAlign w:val="center"/>
          </w:tcPr>
          <w:p w14:paraId="37F1B9BA">
            <w:pPr>
              <w:pStyle w:val="9"/>
              <w:jc w:val="both"/>
              <w:rPr>
                <w:rFonts w:hint="eastAsia" w:ascii="宋体" w:hAnsi="宋体" w:cs="宋体"/>
                <w:b w:val="0"/>
                <w:bCs w:val="0"/>
                <w:sz w:val="18"/>
                <w:szCs w:val="18"/>
              </w:rPr>
            </w:pPr>
            <w:r>
              <w:rPr>
                <w:rFonts w:hint="eastAsia" w:ascii="宋体" w:hAnsi="宋体" w:cs="宋体"/>
                <w:b w:val="0"/>
                <w:bCs w:val="0"/>
                <w:sz w:val="18"/>
                <w:szCs w:val="18"/>
              </w:rPr>
              <w:t>四、保安服务质量要求</w:t>
            </w:r>
          </w:p>
          <w:p w14:paraId="17CCA1CA">
            <w:pPr>
              <w:pStyle w:val="9"/>
              <w:jc w:val="both"/>
              <w:rPr>
                <w:rFonts w:hint="eastAsia" w:ascii="宋体" w:hAnsi="宋体" w:cs="宋体"/>
                <w:b w:val="0"/>
                <w:bCs w:val="0"/>
                <w:sz w:val="18"/>
                <w:szCs w:val="18"/>
              </w:rPr>
            </w:pPr>
            <w:r>
              <w:rPr>
                <w:rFonts w:hint="eastAsia" w:ascii="宋体" w:hAnsi="宋体" w:cs="宋体"/>
                <w:b w:val="0"/>
                <w:bCs w:val="0"/>
                <w:sz w:val="18"/>
                <w:szCs w:val="18"/>
              </w:rPr>
              <w:t>（1）四班三倒。早班：7:30至12:00；中班：12:00至18:00；上夜班：18:00至24:00；下夜班：24:00至7:00</w:t>
            </w:r>
          </w:p>
          <w:p w14:paraId="2D55852F">
            <w:pPr>
              <w:pStyle w:val="9"/>
              <w:jc w:val="both"/>
              <w:rPr>
                <w:rFonts w:hint="eastAsia" w:ascii="宋体" w:hAnsi="宋体" w:cs="宋体"/>
                <w:b w:val="0"/>
                <w:bCs w:val="0"/>
                <w:sz w:val="18"/>
                <w:szCs w:val="18"/>
              </w:rPr>
            </w:pPr>
            <w:r>
              <w:rPr>
                <w:rFonts w:hint="eastAsia" w:ascii="宋体" w:hAnsi="宋体" w:cs="宋体"/>
                <w:b w:val="0"/>
                <w:bCs w:val="0"/>
                <w:sz w:val="18"/>
                <w:szCs w:val="18"/>
              </w:rPr>
              <w:t>（2）保安员值勤时必须着装整齐，举止端正、文明礼貌、忠于职守、严格遵守甲、乙双方的各项规章制度，服从双方领导的安排指示。</w:t>
            </w:r>
          </w:p>
          <w:p w14:paraId="031B6505">
            <w:pPr>
              <w:pStyle w:val="9"/>
              <w:jc w:val="both"/>
              <w:rPr>
                <w:rFonts w:hint="eastAsia" w:ascii="宋体" w:hAnsi="宋体" w:cs="宋体"/>
                <w:b w:val="0"/>
                <w:bCs w:val="0"/>
                <w:sz w:val="18"/>
                <w:szCs w:val="18"/>
              </w:rPr>
            </w:pPr>
            <w:r>
              <w:rPr>
                <w:rFonts w:hint="eastAsia" w:ascii="宋体" w:hAnsi="宋体" w:cs="宋体"/>
                <w:b w:val="0"/>
                <w:bCs w:val="0"/>
                <w:sz w:val="18"/>
                <w:szCs w:val="18"/>
              </w:rPr>
              <w:t>（3）依法严格执行采购人门禁管理制度和人员、车辆及物资的管控要求，负责巡查护卫区域，保护采购方的人员、财产安全，维护责任区内的正常治安秩序，为采购人认真做好护卫区域的防疫、防火、防盗、防破坏、防事故等各方面的安全保卫工作，保障财产及人身安全，发现问题及时向有关领导汇报。</w:t>
            </w:r>
          </w:p>
          <w:p w14:paraId="3E21D9D5">
            <w:pPr>
              <w:pStyle w:val="9"/>
              <w:jc w:val="both"/>
              <w:rPr>
                <w:rFonts w:hint="eastAsia" w:ascii="宋体" w:hAnsi="宋体" w:cs="宋体"/>
                <w:b w:val="0"/>
                <w:bCs w:val="0"/>
                <w:sz w:val="18"/>
                <w:szCs w:val="18"/>
              </w:rPr>
            </w:pPr>
            <w:r>
              <w:rPr>
                <w:rFonts w:hint="eastAsia" w:ascii="宋体" w:hAnsi="宋体" w:cs="宋体"/>
                <w:b w:val="0"/>
                <w:bCs w:val="0"/>
                <w:sz w:val="18"/>
                <w:szCs w:val="18"/>
              </w:rPr>
              <w:t>（4）中标单位负责每月召集项目经理、班长开一次会，总结本月的工作检查情况，加强保安员的思想教育及日常管理工作，且定期与不定期检查督促保安员执勤上岗情况，并按月上报安保工作执行情况以及存在的问题。</w:t>
            </w:r>
          </w:p>
          <w:p w14:paraId="403C347C">
            <w:pPr>
              <w:pStyle w:val="9"/>
              <w:jc w:val="both"/>
              <w:rPr>
                <w:rFonts w:hint="eastAsia" w:ascii="宋体" w:hAnsi="宋体" w:cs="宋体"/>
                <w:b w:val="0"/>
                <w:bCs w:val="0"/>
                <w:sz w:val="18"/>
                <w:szCs w:val="18"/>
              </w:rPr>
            </w:pPr>
            <w:r>
              <w:rPr>
                <w:rFonts w:hint="eastAsia" w:ascii="宋体" w:hAnsi="宋体" w:cs="宋体"/>
                <w:b w:val="0"/>
                <w:bCs w:val="0"/>
                <w:sz w:val="18"/>
                <w:szCs w:val="18"/>
              </w:rPr>
              <w:t>（5）中标单位主动与采购人联系，听取采购人意见、掌握保安员的思想动态。若保安员违反规定或不能适应采购人的工作，要及时予以解决，采购人有权对中标人派驻的安保人员进行监督管理，有权要求中标人更换不合格的安保人员。</w:t>
            </w:r>
          </w:p>
          <w:p w14:paraId="52ABCF56">
            <w:pPr>
              <w:pStyle w:val="9"/>
              <w:jc w:val="both"/>
              <w:rPr>
                <w:rFonts w:hint="eastAsia" w:ascii="宋体" w:hAnsi="宋体" w:cs="宋体"/>
                <w:b w:val="0"/>
                <w:bCs w:val="0"/>
                <w:sz w:val="18"/>
                <w:szCs w:val="18"/>
              </w:rPr>
            </w:pPr>
            <w:r>
              <w:rPr>
                <w:rFonts w:hint="eastAsia" w:ascii="宋体" w:hAnsi="宋体" w:cs="宋体"/>
                <w:b w:val="0"/>
                <w:bCs w:val="0"/>
                <w:sz w:val="18"/>
                <w:szCs w:val="18"/>
              </w:rPr>
              <w:t>（6）中标单位要安排好各办公区保安员值班表。保安人员请假、轮休时，必须向班长、项目经理请假并报告采购人管理人员，保安公司及时安排人员替补上岗，不得发生缺岗现象。</w:t>
            </w:r>
          </w:p>
          <w:p w14:paraId="26F67569">
            <w:pPr>
              <w:pStyle w:val="9"/>
              <w:jc w:val="both"/>
              <w:rPr>
                <w:rFonts w:hint="eastAsia" w:ascii="宋体" w:hAnsi="宋体" w:cs="宋体"/>
                <w:b w:val="0"/>
                <w:bCs w:val="0"/>
                <w:sz w:val="18"/>
                <w:szCs w:val="18"/>
              </w:rPr>
            </w:pPr>
            <w:r>
              <w:rPr>
                <w:rFonts w:hint="eastAsia" w:ascii="宋体" w:hAnsi="宋体" w:cs="宋体"/>
                <w:b w:val="0"/>
                <w:bCs w:val="0"/>
                <w:sz w:val="18"/>
                <w:szCs w:val="18"/>
              </w:rPr>
              <w:t>（7）中标单位履行采购人消防员职责。中标单位安保人员参加采购人要求的各类紧急救援工作，配合落实防火、防盗、防破坏等安全防范措施,发现责任区域安全隐患，及时报告采购人并协助予以处理。</w:t>
            </w:r>
          </w:p>
          <w:p w14:paraId="0D5DF88C">
            <w:pPr>
              <w:pStyle w:val="9"/>
              <w:jc w:val="both"/>
              <w:rPr>
                <w:rFonts w:ascii="宋体" w:hAnsi="宋体" w:cs="宋体"/>
                <w:b w:val="0"/>
                <w:bCs w:val="0"/>
                <w:sz w:val="18"/>
                <w:szCs w:val="18"/>
              </w:rPr>
            </w:pPr>
            <w:r>
              <w:rPr>
                <w:rFonts w:hint="eastAsia" w:ascii="宋体" w:hAnsi="宋体" w:cs="宋体"/>
                <w:b w:val="0"/>
                <w:bCs w:val="0"/>
                <w:sz w:val="18"/>
                <w:szCs w:val="18"/>
              </w:rPr>
              <w:t>（8）中标单位履行采购人控烟员、疫情防控等其他职责。</w:t>
            </w:r>
          </w:p>
        </w:tc>
        <w:tc>
          <w:tcPr>
            <w:tcW w:w="2044" w:type="dxa"/>
            <w:noWrap w:val="0"/>
            <w:vAlign w:val="center"/>
          </w:tcPr>
          <w:p w14:paraId="4C1C9D6F">
            <w:pPr>
              <w:snapToGrid w:val="0"/>
              <w:jc w:val="center"/>
              <w:rPr>
                <w:rFonts w:ascii="宋体" w:hAnsi="宋体"/>
                <w:b w:val="0"/>
                <w:bCs w:val="0"/>
                <w:sz w:val="18"/>
                <w:szCs w:val="18"/>
              </w:rPr>
            </w:pPr>
          </w:p>
        </w:tc>
        <w:tc>
          <w:tcPr>
            <w:tcW w:w="1847" w:type="dxa"/>
            <w:noWrap w:val="0"/>
            <w:vAlign w:val="center"/>
          </w:tcPr>
          <w:p w14:paraId="50A1AF46">
            <w:pPr>
              <w:snapToGrid w:val="0"/>
              <w:jc w:val="center"/>
              <w:rPr>
                <w:rFonts w:ascii="宋体" w:hAnsi="宋体"/>
                <w:b w:val="0"/>
                <w:bCs w:val="0"/>
                <w:sz w:val="18"/>
                <w:szCs w:val="18"/>
              </w:rPr>
            </w:pPr>
          </w:p>
        </w:tc>
        <w:tc>
          <w:tcPr>
            <w:tcW w:w="654" w:type="dxa"/>
            <w:noWrap w:val="0"/>
            <w:vAlign w:val="center"/>
          </w:tcPr>
          <w:p w14:paraId="69E893F8">
            <w:pPr>
              <w:snapToGrid w:val="0"/>
              <w:jc w:val="center"/>
              <w:rPr>
                <w:rFonts w:ascii="宋体" w:hAnsi="宋体"/>
                <w:b w:val="0"/>
                <w:bCs w:val="0"/>
                <w:sz w:val="18"/>
                <w:szCs w:val="18"/>
              </w:rPr>
            </w:pPr>
          </w:p>
        </w:tc>
      </w:tr>
      <w:tr w14:paraId="5AD0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1" w:hRule="atLeast"/>
          <w:tblHeader/>
        </w:trPr>
        <w:tc>
          <w:tcPr>
            <w:tcW w:w="473" w:type="dxa"/>
            <w:noWrap w:val="0"/>
            <w:vAlign w:val="center"/>
          </w:tcPr>
          <w:p w14:paraId="326950CD">
            <w:pPr>
              <w:jc w:val="center"/>
              <w:rPr>
                <w:rFonts w:hint="default" w:ascii="宋体" w:hAnsi="宋体"/>
                <w:b w:val="0"/>
                <w:bCs w:val="0"/>
                <w:sz w:val="18"/>
                <w:szCs w:val="18"/>
                <w:lang w:val="en-US" w:eastAsia="zh-CN"/>
              </w:rPr>
            </w:pPr>
            <w:r>
              <w:rPr>
                <w:rFonts w:hint="eastAsia" w:ascii="宋体" w:hAnsi="宋体"/>
                <w:b w:val="0"/>
                <w:bCs w:val="0"/>
                <w:sz w:val="18"/>
                <w:szCs w:val="18"/>
                <w:lang w:val="en-US" w:eastAsia="zh-CN"/>
              </w:rPr>
              <w:t>5</w:t>
            </w:r>
          </w:p>
        </w:tc>
        <w:tc>
          <w:tcPr>
            <w:tcW w:w="5820" w:type="dxa"/>
            <w:noWrap w:val="0"/>
            <w:vAlign w:val="center"/>
          </w:tcPr>
          <w:p w14:paraId="5ABD2190">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五、服务内容要求</w:t>
            </w:r>
          </w:p>
          <w:p w14:paraId="2A4290E7">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1.报价：项目报价应当包括完成本项目可能发生的各项费用，如人工费、设施设备费、材料费、资料费、服装费、人员薪资、社保福利费、体检费、交通费、管理费用、税费等，采购文件未列明而投标人认为其他必需的费用也须列入报价内。采购人不再支付成交金额以外的其他任何费用。</w:t>
            </w:r>
          </w:p>
          <w:p w14:paraId="763E45AB">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2.质量标准</w:t>
            </w:r>
          </w:p>
          <w:p w14:paraId="17AF90E3">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（1）投标人应当保证提供的所有服务符合国家现行有关质量标准或者优于国家现行、相关行业技术规范（或标准）及国家强制性标准。</w:t>
            </w:r>
          </w:p>
          <w:p w14:paraId="14AF2454">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（2）如果本项目采购需求中引用的相关标准有最新版本的均以最新标准执行，在采购活动中已经作废失效的，在评审中和履约中自动不再适用。</w:t>
            </w:r>
          </w:p>
          <w:p w14:paraId="1756109C">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3.保密要求：中标人及其单位工作人员对项目实施过程中所了解的资料、数据及最终成果必须严格履行保密义务。涉及保密事项的严格按照国家保密有关规定执行，中标人应对本项目成果进行严格保密并制定相应保密措施，未经采购人许可，不得泄露和转用相关资料。</w:t>
            </w:r>
          </w:p>
          <w:p w14:paraId="756D81D2">
            <w:pPr>
              <w:pStyle w:val="9"/>
              <w:jc w:val="both"/>
              <w:rPr>
                <w:rFonts w:hint="eastAsia" w:ascii="宋体" w:hAnsi="宋体" w:cs="宋体"/>
                <w:b w:val="0"/>
                <w:bCs w:val="0"/>
                <w:sz w:val="18"/>
                <w:szCs w:val="18"/>
              </w:rPr>
            </w:pPr>
            <w:r>
              <w:rPr>
                <w:rFonts w:hint="eastAsia" w:ascii="宋体" w:hAnsi="宋体" w:cs="宋体"/>
                <w:b w:val="0"/>
                <w:bCs w:val="0"/>
                <w:sz w:val="18"/>
                <w:szCs w:val="18"/>
                <w:lang w:eastAsia="zh-CN"/>
              </w:rPr>
              <w:t>4.投标人须保证在本项目使用的任何服务和产品（包括部分使用）时，不会产生因第三方提出侵犯其专利权、商标权或其他知识产权而引起的法律和经济纠纷，如因知识产权而引起法律和经济纠纷，由投标人承担所有相关责任。</w:t>
            </w:r>
          </w:p>
        </w:tc>
        <w:tc>
          <w:tcPr>
            <w:tcW w:w="2044" w:type="dxa"/>
            <w:noWrap w:val="0"/>
            <w:vAlign w:val="center"/>
          </w:tcPr>
          <w:p w14:paraId="583F0C4D">
            <w:pPr>
              <w:snapToGrid w:val="0"/>
              <w:jc w:val="center"/>
              <w:rPr>
                <w:rFonts w:ascii="宋体" w:hAnsi="宋体"/>
                <w:b w:val="0"/>
                <w:bCs w:val="0"/>
                <w:sz w:val="18"/>
                <w:szCs w:val="18"/>
              </w:rPr>
            </w:pPr>
          </w:p>
        </w:tc>
        <w:tc>
          <w:tcPr>
            <w:tcW w:w="1847" w:type="dxa"/>
            <w:noWrap w:val="0"/>
            <w:vAlign w:val="center"/>
          </w:tcPr>
          <w:p w14:paraId="7196EBD0">
            <w:pPr>
              <w:snapToGrid w:val="0"/>
              <w:jc w:val="center"/>
              <w:rPr>
                <w:rFonts w:ascii="宋体" w:hAnsi="宋体"/>
                <w:b w:val="0"/>
                <w:bCs w:val="0"/>
                <w:sz w:val="18"/>
                <w:szCs w:val="18"/>
              </w:rPr>
            </w:pPr>
          </w:p>
        </w:tc>
        <w:tc>
          <w:tcPr>
            <w:tcW w:w="654" w:type="dxa"/>
            <w:noWrap w:val="0"/>
            <w:vAlign w:val="center"/>
          </w:tcPr>
          <w:p w14:paraId="2FECC95F">
            <w:pPr>
              <w:snapToGrid w:val="0"/>
              <w:jc w:val="center"/>
              <w:rPr>
                <w:rFonts w:ascii="宋体" w:hAnsi="宋体"/>
                <w:b w:val="0"/>
                <w:bCs w:val="0"/>
                <w:sz w:val="18"/>
                <w:szCs w:val="18"/>
              </w:rPr>
            </w:pPr>
          </w:p>
        </w:tc>
      </w:tr>
      <w:tr w14:paraId="0E24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tblHeader/>
        </w:trPr>
        <w:tc>
          <w:tcPr>
            <w:tcW w:w="473" w:type="dxa"/>
            <w:noWrap w:val="0"/>
            <w:vAlign w:val="center"/>
          </w:tcPr>
          <w:p w14:paraId="1CA130D8">
            <w:pPr>
              <w:jc w:val="center"/>
              <w:rPr>
                <w:rFonts w:hint="default" w:ascii="宋体" w:hAnsi="宋体"/>
                <w:b w:val="0"/>
                <w:bCs w:val="0"/>
                <w:sz w:val="18"/>
                <w:szCs w:val="18"/>
                <w:lang w:val="en-US" w:eastAsia="zh-CN"/>
              </w:rPr>
            </w:pPr>
            <w:r>
              <w:rPr>
                <w:rFonts w:hint="eastAsia" w:ascii="宋体" w:hAnsi="宋体"/>
                <w:b w:val="0"/>
                <w:bCs w:val="0"/>
                <w:sz w:val="18"/>
                <w:szCs w:val="18"/>
                <w:lang w:val="en-US" w:eastAsia="zh-CN"/>
              </w:rPr>
              <w:t>6</w:t>
            </w:r>
            <w:bookmarkStart w:id="0" w:name="_GoBack"/>
            <w:bookmarkEnd w:id="0"/>
          </w:p>
        </w:tc>
        <w:tc>
          <w:tcPr>
            <w:tcW w:w="5820" w:type="dxa"/>
            <w:noWrap w:val="0"/>
            <w:vAlign w:val="center"/>
          </w:tcPr>
          <w:p w14:paraId="56418EFC">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六、其他要求</w:t>
            </w:r>
          </w:p>
          <w:p w14:paraId="01D458AC">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1、中标人要严格审核录用本项目人员，对录用人员要进行培训合格后方可录用，人员年龄在18-50岁之间，要保证人员的稳定，不经采购人批准不得随意更换。</w:t>
            </w:r>
          </w:p>
          <w:p w14:paraId="0EEEA2B0">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2、中标人管理人员要持证上岗，员工要统一着装，佩带明显标志，工作规范，作风严谨，文明服务。</w:t>
            </w:r>
          </w:p>
          <w:p w14:paraId="011E8C98">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3、中标人要保持同本项目采购人的密切联系，遇有重大事项及时报告和反馈信息，尊重甲方的意见，接受采购人的提议、监督和指导。</w:t>
            </w:r>
          </w:p>
          <w:p w14:paraId="14EC0B78">
            <w:pPr>
              <w:pStyle w:val="9"/>
              <w:jc w:val="both"/>
              <w:rPr>
                <w:rFonts w:hint="eastAsia" w:ascii="宋体" w:hAnsi="宋体" w:cs="宋体"/>
                <w:b w:val="0"/>
                <w:bCs w:val="0"/>
                <w:sz w:val="18"/>
                <w:szCs w:val="18"/>
                <w:lang w:eastAsia="zh-CN"/>
              </w:rPr>
            </w:pPr>
            <w:r>
              <w:rPr>
                <w:rFonts w:hint="eastAsia" w:ascii="宋体" w:hAnsi="宋体" w:cs="宋体"/>
                <w:b w:val="0"/>
                <w:bCs w:val="0"/>
                <w:sz w:val="18"/>
                <w:szCs w:val="18"/>
                <w:lang w:eastAsia="zh-CN"/>
              </w:rPr>
              <w:t>4、安全要求：中标人在履约期间所提供的服务人员的人身安全、财产安全、工作区域内的交通安全等一切安全事故由中标人自行承担。</w:t>
            </w:r>
          </w:p>
          <w:p w14:paraId="0A46D20E">
            <w:pPr>
              <w:pStyle w:val="9"/>
              <w:jc w:val="both"/>
              <w:rPr>
                <w:rFonts w:hint="eastAsia" w:ascii="仿宋_GB2312" w:hAnsi="仿宋_GB2312" w:eastAsia="仿宋_GB2312" w:cs="仿宋_GB2312"/>
                <w:b w:val="0"/>
                <w:bCs w:val="0"/>
                <w:sz w:val="28"/>
                <w:szCs w:val="28"/>
                <w:lang w:eastAsia="zh-CN"/>
              </w:rPr>
            </w:pPr>
            <w:r>
              <w:rPr>
                <w:rFonts w:hint="eastAsia" w:ascii="宋体" w:hAnsi="宋体" w:cs="宋体"/>
                <w:b w:val="0"/>
                <w:bCs w:val="0"/>
                <w:sz w:val="18"/>
                <w:szCs w:val="18"/>
                <w:lang w:eastAsia="zh-CN"/>
              </w:rPr>
              <w:t>5、根据《保安服务管理条例》相关规定，如投标人为省外安保服务企业，则应当在《保安服务合同》签订后30天内，向三亚市级公安机关完成备案。未在规定时间完成备案的，视为放弃中标资格，且自动解除服务合同。</w:t>
            </w:r>
          </w:p>
        </w:tc>
        <w:tc>
          <w:tcPr>
            <w:tcW w:w="2044" w:type="dxa"/>
            <w:noWrap w:val="0"/>
            <w:vAlign w:val="center"/>
          </w:tcPr>
          <w:p w14:paraId="361F1F97">
            <w:pPr>
              <w:snapToGrid w:val="0"/>
              <w:jc w:val="center"/>
              <w:rPr>
                <w:rFonts w:ascii="宋体" w:hAnsi="宋体"/>
                <w:b w:val="0"/>
                <w:bCs w:val="0"/>
                <w:sz w:val="18"/>
                <w:szCs w:val="18"/>
              </w:rPr>
            </w:pPr>
          </w:p>
        </w:tc>
        <w:tc>
          <w:tcPr>
            <w:tcW w:w="1847" w:type="dxa"/>
            <w:noWrap w:val="0"/>
            <w:vAlign w:val="center"/>
          </w:tcPr>
          <w:p w14:paraId="6752961B">
            <w:pPr>
              <w:snapToGrid w:val="0"/>
              <w:jc w:val="center"/>
              <w:rPr>
                <w:rFonts w:ascii="宋体" w:hAnsi="宋体"/>
                <w:b w:val="0"/>
                <w:bCs w:val="0"/>
                <w:sz w:val="18"/>
                <w:szCs w:val="18"/>
              </w:rPr>
            </w:pPr>
          </w:p>
        </w:tc>
        <w:tc>
          <w:tcPr>
            <w:tcW w:w="654" w:type="dxa"/>
            <w:noWrap w:val="0"/>
            <w:vAlign w:val="center"/>
          </w:tcPr>
          <w:p w14:paraId="0A8F2502">
            <w:pPr>
              <w:snapToGrid w:val="0"/>
              <w:jc w:val="center"/>
              <w:rPr>
                <w:rFonts w:ascii="宋体" w:hAnsi="宋体"/>
                <w:b w:val="0"/>
                <w:bCs w:val="0"/>
                <w:sz w:val="18"/>
                <w:szCs w:val="18"/>
              </w:rPr>
            </w:pPr>
          </w:p>
        </w:tc>
      </w:tr>
    </w:tbl>
    <w:p w14:paraId="2DB9DCC3">
      <w:pPr>
        <w:spacing w:line="360" w:lineRule="auto"/>
        <w:ind w:firstLine="360" w:firstLineChars="200"/>
        <w:rPr>
          <w:rFonts w:ascii="宋体" w:hAnsi="宋体"/>
          <w:sz w:val="18"/>
          <w:szCs w:val="18"/>
        </w:rPr>
      </w:pPr>
    </w:p>
    <w:p w14:paraId="7CFB551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sz w:val="18"/>
          <w:szCs w:val="18"/>
        </w:rPr>
      </w:pPr>
      <w:r>
        <w:rPr>
          <w:rFonts w:hint="eastAsia" w:ascii="宋体" w:hAnsi="宋体" w:eastAsia="宋体"/>
          <w:sz w:val="18"/>
          <w:szCs w:val="18"/>
        </w:rPr>
        <w:t>注：1</w:t>
      </w:r>
      <w:r>
        <w:rPr>
          <w:rFonts w:hint="eastAsia" w:ascii="宋体" w:hAnsi="宋体" w:eastAsia="宋体"/>
          <w:sz w:val="18"/>
          <w:szCs w:val="18"/>
          <w:lang w:val="en-US" w:eastAsia="zh-CN"/>
        </w:rPr>
        <w:t>.</w:t>
      </w:r>
      <w:r>
        <w:rPr>
          <w:rFonts w:hint="eastAsia" w:ascii="宋体" w:hAnsi="宋体" w:eastAsia="宋体"/>
          <w:sz w:val="18"/>
          <w:szCs w:val="18"/>
        </w:rPr>
        <w:t>此表为表样，行数可自行添加，但表式不变。</w:t>
      </w:r>
      <w:r>
        <w:rPr>
          <w:rFonts w:hint="eastAsia" w:ascii="宋体" w:hAnsi="宋体" w:eastAsia="宋体"/>
          <w:sz w:val="18"/>
          <w:szCs w:val="18"/>
        </w:rPr>
        <w:tab/>
      </w:r>
    </w:p>
    <w:p w14:paraId="40F09BF5">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宋体" w:hAnsi="宋体" w:eastAsia="宋体"/>
          <w:color w:val="auto"/>
          <w:sz w:val="18"/>
          <w:szCs w:val="18"/>
        </w:rPr>
      </w:pPr>
      <w:r>
        <w:rPr>
          <w:rFonts w:hint="eastAsia" w:ascii="宋体" w:hAnsi="宋体" w:eastAsia="宋体"/>
          <w:color w:val="auto"/>
          <w:sz w:val="18"/>
          <w:szCs w:val="18"/>
        </w:rPr>
        <w:t>2</w:t>
      </w:r>
      <w:r>
        <w:rPr>
          <w:rFonts w:hint="eastAsia" w:ascii="宋体" w:hAnsi="宋体" w:eastAsia="宋体"/>
          <w:color w:val="auto"/>
          <w:sz w:val="18"/>
          <w:szCs w:val="18"/>
          <w:lang w:val="en-US" w:eastAsia="zh-CN"/>
        </w:rPr>
        <w:t>.竞争性磋商</w:t>
      </w:r>
      <w:r>
        <w:rPr>
          <w:rFonts w:hint="eastAsia" w:ascii="宋体" w:hAnsi="宋体"/>
          <w:color w:val="auto"/>
          <w:sz w:val="18"/>
          <w:szCs w:val="18"/>
          <w:lang w:eastAsia="zh-CN"/>
        </w:rPr>
        <w:t>文件“第三章</w:t>
      </w:r>
      <w:r>
        <w:rPr>
          <w:rFonts w:hint="eastAsia" w:ascii="宋体" w:hAnsi="宋体"/>
          <w:color w:val="auto"/>
          <w:sz w:val="18"/>
          <w:szCs w:val="18"/>
          <w:lang w:val="en-US" w:eastAsia="zh-CN"/>
        </w:rPr>
        <w:t xml:space="preserve"> 采购需求</w:t>
      </w:r>
      <w:r>
        <w:rPr>
          <w:rFonts w:hint="eastAsia" w:ascii="宋体" w:hAnsi="宋体"/>
          <w:color w:val="auto"/>
          <w:sz w:val="18"/>
          <w:szCs w:val="18"/>
          <w:lang w:eastAsia="zh-CN"/>
        </w:rPr>
        <w:t>”未要求在该表中进行响应的</w:t>
      </w:r>
      <w:r>
        <w:rPr>
          <w:rFonts w:hint="eastAsia" w:ascii="宋体" w:hAnsi="宋体"/>
          <w:color w:val="auto"/>
          <w:sz w:val="18"/>
          <w:szCs w:val="18"/>
          <w:lang w:val="en-US" w:eastAsia="zh-CN"/>
        </w:rPr>
        <w:t>技术</w:t>
      </w:r>
      <w:r>
        <w:rPr>
          <w:rFonts w:hint="eastAsia" w:ascii="宋体" w:hAnsi="宋体"/>
          <w:color w:val="auto"/>
          <w:sz w:val="18"/>
          <w:szCs w:val="18"/>
          <w:lang w:eastAsia="zh-CN"/>
        </w:rPr>
        <w:t>条款，供应商无需填写；可是，供应商</w:t>
      </w:r>
      <w:r>
        <w:rPr>
          <w:rFonts w:hint="eastAsia" w:ascii="宋体" w:hAnsi="宋体" w:eastAsia="宋体"/>
          <w:color w:val="auto"/>
          <w:sz w:val="18"/>
          <w:szCs w:val="18"/>
        </w:rPr>
        <w:t>根据</w:t>
      </w:r>
      <w:r>
        <w:rPr>
          <w:rFonts w:hint="eastAsia" w:ascii="宋体" w:hAnsi="宋体" w:eastAsia="宋体"/>
          <w:color w:val="auto"/>
          <w:sz w:val="18"/>
          <w:szCs w:val="18"/>
          <w:lang w:eastAsia="zh-CN"/>
        </w:rPr>
        <w:t>项目情况需要</w:t>
      </w:r>
      <w:r>
        <w:rPr>
          <w:rFonts w:hint="eastAsia" w:ascii="宋体" w:hAnsi="宋体" w:eastAsia="宋体"/>
          <w:color w:val="auto"/>
          <w:sz w:val="18"/>
          <w:szCs w:val="18"/>
        </w:rPr>
        <w:t>添加的设备、材料</w:t>
      </w:r>
      <w:r>
        <w:rPr>
          <w:rFonts w:hint="eastAsia" w:ascii="宋体" w:hAnsi="宋体" w:eastAsia="宋体"/>
          <w:color w:val="auto"/>
          <w:sz w:val="18"/>
          <w:szCs w:val="18"/>
          <w:lang w:eastAsia="zh-CN"/>
        </w:rPr>
        <w:t>、服务</w:t>
      </w:r>
      <w:r>
        <w:rPr>
          <w:rFonts w:hint="eastAsia" w:ascii="宋体" w:hAnsi="宋体" w:eastAsia="宋体"/>
          <w:color w:val="auto"/>
          <w:sz w:val="18"/>
          <w:szCs w:val="18"/>
        </w:rPr>
        <w:t>等</w:t>
      </w:r>
      <w:r>
        <w:rPr>
          <w:rFonts w:hint="eastAsia" w:ascii="宋体" w:hAnsi="宋体" w:eastAsia="宋体"/>
          <w:color w:val="auto"/>
          <w:sz w:val="18"/>
          <w:szCs w:val="18"/>
          <w:lang w:eastAsia="zh-CN"/>
        </w:rPr>
        <w:t>请</w:t>
      </w:r>
      <w:r>
        <w:rPr>
          <w:rFonts w:hint="eastAsia" w:ascii="宋体" w:hAnsi="宋体" w:eastAsia="宋体"/>
          <w:color w:val="auto"/>
          <w:sz w:val="18"/>
          <w:szCs w:val="18"/>
        </w:rPr>
        <w:t>列出</w:t>
      </w:r>
      <w:r>
        <w:rPr>
          <w:rFonts w:hint="eastAsia" w:ascii="宋体" w:hAnsi="宋体"/>
          <w:color w:val="auto"/>
          <w:sz w:val="18"/>
          <w:szCs w:val="18"/>
          <w:lang w:val="en" w:eastAsia="zh-CN"/>
        </w:rPr>
        <w:t>，</w:t>
      </w:r>
      <w:r>
        <w:rPr>
          <w:rFonts w:hint="eastAsia" w:ascii="宋体" w:hAnsi="宋体" w:eastAsia="宋体"/>
          <w:sz w:val="18"/>
          <w:szCs w:val="18"/>
        </w:rPr>
        <w:t>但不作为无效投标</w:t>
      </w:r>
      <w:r>
        <w:rPr>
          <w:rFonts w:hint="eastAsia" w:ascii="宋体" w:hAnsi="宋体"/>
          <w:sz w:val="18"/>
          <w:szCs w:val="18"/>
          <w:lang w:eastAsia="zh-CN"/>
        </w:rPr>
        <w:t>的依据</w:t>
      </w:r>
      <w:r>
        <w:rPr>
          <w:rFonts w:hint="eastAsia" w:ascii="宋体" w:hAnsi="宋体" w:eastAsia="宋体"/>
          <w:color w:val="auto"/>
          <w:sz w:val="18"/>
          <w:szCs w:val="18"/>
        </w:rPr>
        <w:t>。</w:t>
      </w:r>
    </w:p>
    <w:p w14:paraId="3F99AB9E">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宋体" w:hAnsi="宋体" w:eastAsia="宋体"/>
          <w:sz w:val="18"/>
          <w:szCs w:val="18"/>
        </w:rPr>
      </w:pPr>
      <w:r>
        <w:rPr>
          <w:rFonts w:hint="eastAsia" w:ascii="宋体" w:hAnsi="宋体" w:eastAsia="宋体"/>
          <w:sz w:val="18"/>
          <w:szCs w:val="18"/>
        </w:rPr>
        <w:t>3</w:t>
      </w:r>
      <w:r>
        <w:rPr>
          <w:rFonts w:hint="eastAsia" w:ascii="宋体" w:hAnsi="宋体" w:eastAsia="宋体"/>
          <w:sz w:val="18"/>
          <w:szCs w:val="18"/>
          <w:lang w:val="en-US" w:eastAsia="zh-CN"/>
        </w:rPr>
        <w:t>.</w:t>
      </w:r>
      <w:r>
        <w:rPr>
          <w:rFonts w:hint="eastAsia" w:ascii="宋体" w:hAnsi="宋体" w:eastAsia="宋体"/>
          <w:sz w:val="18"/>
          <w:szCs w:val="18"/>
        </w:rPr>
        <w:t>请在“</w:t>
      </w:r>
      <w:r>
        <w:rPr>
          <w:rFonts w:hint="eastAsia" w:ascii="宋体" w:hAnsi="宋体"/>
          <w:sz w:val="18"/>
          <w:szCs w:val="18"/>
          <w:lang w:eastAsia="zh-CN"/>
        </w:rPr>
        <w:t>供应商</w:t>
      </w:r>
      <w:r>
        <w:rPr>
          <w:rFonts w:hint="eastAsia" w:ascii="宋体" w:hAnsi="宋体"/>
          <w:sz w:val="18"/>
          <w:szCs w:val="18"/>
          <w:lang w:val="en-US" w:eastAsia="zh-CN"/>
        </w:rPr>
        <w:t>技术</w:t>
      </w:r>
      <w:r>
        <w:rPr>
          <w:rFonts w:hint="eastAsia" w:ascii="宋体" w:hAnsi="宋体" w:eastAsia="宋体"/>
          <w:sz w:val="18"/>
          <w:szCs w:val="18"/>
        </w:rPr>
        <w:t>响应情况描述” 中列出</w:t>
      </w:r>
      <w:r>
        <w:rPr>
          <w:rFonts w:hint="eastAsia" w:ascii="宋体" w:hAnsi="宋体" w:eastAsia="宋体"/>
          <w:sz w:val="18"/>
          <w:szCs w:val="18"/>
          <w:lang w:eastAsia="zh-CN"/>
        </w:rPr>
        <w:t>标的</w:t>
      </w:r>
      <w:r>
        <w:rPr>
          <w:rFonts w:hint="eastAsia" w:ascii="宋体" w:hAnsi="宋体" w:eastAsia="宋体"/>
          <w:sz w:val="18"/>
          <w:szCs w:val="18"/>
        </w:rPr>
        <w:t>的详细参数情况。</w:t>
      </w:r>
    </w:p>
    <w:p w14:paraId="725F07BA">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宋体" w:hAnsi="宋体" w:eastAsia="宋体"/>
          <w:sz w:val="18"/>
          <w:szCs w:val="18"/>
        </w:rPr>
      </w:pPr>
      <w:r>
        <w:rPr>
          <w:rFonts w:hint="eastAsia" w:ascii="宋体" w:hAnsi="宋体" w:eastAsia="宋体"/>
          <w:sz w:val="18"/>
          <w:szCs w:val="18"/>
        </w:rPr>
        <w:t>4</w:t>
      </w:r>
      <w:r>
        <w:rPr>
          <w:rFonts w:hint="eastAsia" w:ascii="宋体" w:hAnsi="宋体" w:eastAsia="宋体"/>
          <w:sz w:val="18"/>
          <w:szCs w:val="18"/>
          <w:lang w:val="en-US" w:eastAsia="zh-CN"/>
        </w:rPr>
        <w:t>.</w:t>
      </w:r>
      <w:r>
        <w:rPr>
          <w:rFonts w:hint="eastAsia" w:ascii="宋体" w:hAnsi="宋体" w:eastAsia="宋体"/>
          <w:sz w:val="18"/>
          <w:szCs w:val="18"/>
        </w:rPr>
        <w:t>“响应情况说明”应按下列规定填写</w:t>
      </w:r>
      <w:r>
        <w:rPr>
          <w:rFonts w:hint="eastAsia" w:ascii="宋体" w:hAnsi="宋体" w:eastAsia="宋体"/>
          <w:sz w:val="18"/>
          <w:szCs w:val="18"/>
          <w:lang w:eastAsia="zh-CN"/>
        </w:rPr>
        <w:t>对竞争性磋商文件</w:t>
      </w:r>
      <w:r>
        <w:rPr>
          <w:rFonts w:hint="eastAsia" w:ascii="宋体" w:hAnsi="宋体" w:eastAsia="宋体"/>
          <w:sz w:val="18"/>
          <w:szCs w:val="18"/>
        </w:rPr>
        <w:t>技术条款</w:t>
      </w:r>
      <w:r>
        <w:rPr>
          <w:rFonts w:hint="eastAsia" w:ascii="宋体" w:hAnsi="宋体" w:eastAsia="宋体"/>
          <w:sz w:val="18"/>
          <w:szCs w:val="18"/>
          <w:lang w:eastAsia="zh-CN"/>
        </w:rPr>
        <w:t>的响应情况</w:t>
      </w:r>
      <w:r>
        <w:rPr>
          <w:rFonts w:hint="eastAsia" w:ascii="宋体" w:hAnsi="宋体" w:eastAsia="宋体"/>
          <w:sz w:val="18"/>
          <w:szCs w:val="18"/>
        </w:rPr>
        <w:t>：优于的</w:t>
      </w:r>
      <w:r>
        <w:rPr>
          <w:rFonts w:hint="eastAsia" w:ascii="宋体" w:hAnsi="宋体" w:eastAsia="宋体"/>
          <w:sz w:val="18"/>
          <w:szCs w:val="18"/>
          <w:lang w:eastAsia="zh-CN"/>
        </w:rPr>
        <w:t>视为正偏离</w:t>
      </w:r>
      <w:r>
        <w:rPr>
          <w:rFonts w:hint="eastAsia" w:ascii="宋体" w:hAnsi="宋体" w:eastAsia="宋体"/>
          <w:sz w:val="18"/>
          <w:szCs w:val="18"/>
        </w:rPr>
        <w:t>，填写“＋”；符合的</w:t>
      </w:r>
      <w:r>
        <w:rPr>
          <w:rFonts w:hint="eastAsia" w:ascii="宋体" w:hAnsi="宋体" w:eastAsia="宋体"/>
          <w:sz w:val="18"/>
          <w:szCs w:val="18"/>
          <w:lang w:eastAsia="zh-CN"/>
        </w:rPr>
        <w:t>视为满足</w:t>
      </w:r>
      <w:r>
        <w:rPr>
          <w:rFonts w:hint="eastAsia" w:ascii="宋体" w:hAnsi="宋体" w:eastAsia="宋体"/>
          <w:sz w:val="18"/>
          <w:szCs w:val="18"/>
        </w:rPr>
        <w:t>，填写“=”；低于的</w:t>
      </w:r>
      <w:r>
        <w:rPr>
          <w:rFonts w:hint="eastAsia" w:ascii="宋体" w:hAnsi="宋体" w:eastAsia="宋体"/>
          <w:sz w:val="18"/>
          <w:szCs w:val="18"/>
          <w:lang w:eastAsia="zh-CN"/>
        </w:rPr>
        <w:t>视为负偏离或不满足</w:t>
      </w:r>
      <w:r>
        <w:rPr>
          <w:rFonts w:hint="eastAsia" w:ascii="宋体" w:hAnsi="宋体" w:eastAsia="宋体"/>
          <w:sz w:val="18"/>
          <w:szCs w:val="18"/>
        </w:rPr>
        <w:t>，填写“-”</w:t>
      </w:r>
      <w:r>
        <w:rPr>
          <w:rFonts w:hint="eastAsia" w:ascii="宋体" w:hAnsi="宋体" w:eastAsia="宋体"/>
          <w:sz w:val="18"/>
          <w:szCs w:val="18"/>
          <w:lang w:eastAsia="zh-CN"/>
        </w:rPr>
        <w:t>；如不按规定填写或不填写的，均视为不响应</w:t>
      </w:r>
      <w:r>
        <w:rPr>
          <w:rFonts w:hint="eastAsia" w:ascii="宋体" w:hAnsi="宋体" w:eastAsia="宋体"/>
          <w:sz w:val="18"/>
          <w:szCs w:val="18"/>
        </w:rPr>
        <w:t>。</w:t>
      </w:r>
    </w:p>
    <w:p w14:paraId="157C73D7">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宋体" w:hAnsi="宋体" w:eastAsia="宋体"/>
          <w:sz w:val="18"/>
          <w:szCs w:val="18"/>
        </w:rPr>
      </w:pPr>
      <w:r>
        <w:rPr>
          <w:rFonts w:hint="eastAsia" w:ascii="宋体" w:hAnsi="宋体" w:eastAsia="宋体"/>
          <w:sz w:val="18"/>
          <w:szCs w:val="18"/>
        </w:rPr>
        <w:t>5</w:t>
      </w:r>
      <w:r>
        <w:rPr>
          <w:rFonts w:hint="eastAsia" w:ascii="宋体" w:hAnsi="宋体" w:eastAsia="宋体"/>
          <w:sz w:val="18"/>
          <w:szCs w:val="18"/>
          <w:lang w:val="en-US" w:eastAsia="zh-CN"/>
        </w:rPr>
        <w:t>.竞争性磋商</w:t>
      </w:r>
      <w:r>
        <w:rPr>
          <w:rFonts w:hint="eastAsia" w:ascii="宋体" w:hAnsi="宋体" w:eastAsia="宋体"/>
          <w:sz w:val="18"/>
          <w:szCs w:val="18"/>
        </w:rPr>
        <w:t>文件有标注“★”条款</w:t>
      </w:r>
      <w:r>
        <w:rPr>
          <w:rFonts w:hint="eastAsia" w:ascii="宋体" w:hAnsi="宋体" w:eastAsia="宋体"/>
          <w:sz w:val="18"/>
          <w:szCs w:val="18"/>
          <w:lang w:eastAsia="zh-CN"/>
        </w:rPr>
        <w:t>的</w:t>
      </w:r>
      <w:r>
        <w:rPr>
          <w:rFonts w:hint="eastAsia" w:ascii="宋体" w:hAnsi="宋体" w:eastAsia="宋体"/>
          <w:sz w:val="18"/>
          <w:szCs w:val="18"/>
        </w:rPr>
        <w:t>为实质性条款，若有任何一条负偏离或不满足则导致投标无效。</w:t>
      </w:r>
      <w:r>
        <w:rPr>
          <w:rFonts w:hint="eastAsia" w:ascii="宋体" w:hAnsi="宋体" w:eastAsia="宋体"/>
          <w:sz w:val="18"/>
          <w:szCs w:val="18"/>
          <w:lang w:eastAsia="zh-CN"/>
        </w:rPr>
        <w:t>非</w:t>
      </w:r>
      <w:r>
        <w:rPr>
          <w:rFonts w:hint="eastAsia" w:ascii="宋体" w:hAnsi="宋体" w:eastAsia="宋体"/>
          <w:sz w:val="18"/>
          <w:szCs w:val="18"/>
        </w:rPr>
        <w:t>“★”号条款未响应或不满足</w:t>
      </w:r>
      <w:r>
        <w:rPr>
          <w:rFonts w:hint="eastAsia" w:ascii="宋体" w:hAnsi="宋体"/>
          <w:sz w:val="18"/>
          <w:szCs w:val="18"/>
          <w:lang w:eastAsia="zh-CN"/>
        </w:rPr>
        <w:t>（负偏离）</w:t>
      </w:r>
      <w:r>
        <w:rPr>
          <w:rFonts w:hint="eastAsia" w:ascii="宋体" w:hAnsi="宋体" w:eastAsia="宋体"/>
          <w:sz w:val="18"/>
          <w:szCs w:val="18"/>
        </w:rPr>
        <w:t>，将根据评审要求影响其得分，但不作为无效投标条款。</w:t>
      </w:r>
    </w:p>
    <w:p w14:paraId="78D20FAA"/>
    <w:p w14:paraId="466C5613">
      <w:pPr>
        <w:jc w:val="right"/>
        <w:rPr>
          <w:rFonts w:hint="eastAsia" w:ascii="宋体" w:hAnsi="宋体"/>
          <w:b/>
          <w:bCs/>
          <w:sz w:val="21"/>
          <w:szCs w:val="21"/>
        </w:rPr>
      </w:pPr>
      <w:r>
        <w:rPr>
          <w:rFonts w:hint="eastAsia" w:ascii="宋体" w:hAnsi="宋体"/>
          <w:b/>
          <w:bCs/>
          <w:sz w:val="21"/>
          <w:szCs w:val="21"/>
          <w:lang w:eastAsia="zh-CN"/>
        </w:rPr>
        <w:t>供应商</w:t>
      </w:r>
      <w:r>
        <w:rPr>
          <w:rFonts w:hint="eastAsia" w:ascii="宋体" w:hAnsi="宋体"/>
          <w:b/>
          <w:bCs/>
          <w:sz w:val="21"/>
          <w:szCs w:val="21"/>
        </w:rPr>
        <w:t>全称（公章）：</w:t>
      </w:r>
    </w:p>
    <w:p w14:paraId="69B01BF7">
      <w:pPr>
        <w:jc w:val="right"/>
        <w:rPr>
          <w:rFonts w:hint="eastAsia" w:ascii="宋体" w:hAnsi="宋体"/>
          <w:b/>
          <w:bCs/>
          <w:sz w:val="21"/>
          <w:szCs w:val="21"/>
        </w:rPr>
      </w:pPr>
    </w:p>
    <w:p w14:paraId="0D22E241">
      <w:pPr>
        <w:jc w:val="right"/>
      </w:pPr>
      <w:r>
        <w:rPr>
          <w:rFonts w:hint="eastAsia" w:ascii="宋体" w:hAnsi="宋体"/>
          <w:b/>
          <w:bCs/>
          <w:sz w:val="21"/>
          <w:szCs w:val="21"/>
          <w:lang w:eastAsia="zh-CN"/>
        </w:rPr>
        <w:t>年</w:t>
      </w:r>
      <w:r>
        <w:rPr>
          <w:rFonts w:hint="eastAsia" w:ascii="宋体" w:hAnsi="宋体"/>
          <w:b/>
          <w:bCs/>
          <w:sz w:val="21"/>
          <w:szCs w:val="21"/>
          <w:lang w:val="en-US" w:eastAsia="zh-CN"/>
        </w:rPr>
        <w:t xml:space="preserve">   月   日</w:t>
      </w:r>
      <w:r>
        <w:rPr>
          <w:rFonts w:hint="eastAsia" w:ascii="宋体" w:hAnsi="宋体"/>
          <w:b/>
          <w:bCs/>
          <w:sz w:val="18"/>
          <w:szCs w:val="18"/>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Lucida Sans Unicode">
    <w:panose1 w:val="020B0602030504020204"/>
    <w:charset w:val="00"/>
    <w:family w:val="swiss"/>
    <w:pitch w:val="default"/>
    <w:sig w:usb0="80001AFF" w:usb1="0000396B" w:usb2="00000000" w:usb3="00000000" w:csb0="200000BF" w:csb1="D7F7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3234A"/>
    <w:rsid w:val="09E757F3"/>
    <w:rsid w:val="106A4349"/>
    <w:rsid w:val="15157BC8"/>
    <w:rsid w:val="31340512"/>
    <w:rsid w:val="315504D1"/>
    <w:rsid w:val="35A23DCE"/>
    <w:rsid w:val="3C5B2E27"/>
    <w:rsid w:val="404B790D"/>
    <w:rsid w:val="49936C4B"/>
    <w:rsid w:val="4C407B10"/>
    <w:rsid w:val="67651656"/>
    <w:rsid w:val="725F67BD"/>
    <w:rsid w:val="7C6524CB"/>
    <w:rsid w:val="7CEF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Arial" w:hAnsi="Arial" w:eastAsia="黑体"/>
      <w:sz w:val="20"/>
    </w:rPr>
  </w:style>
  <w:style w:type="paragraph" w:styleId="3">
    <w:name w:val="Body Text"/>
    <w:basedOn w:val="1"/>
    <w:next w:val="4"/>
    <w:qFormat/>
    <w:uiPriority w:val="99"/>
    <w:pPr>
      <w:spacing w:after="120" w:line="360" w:lineRule="auto"/>
      <w:ind w:firstLine="420"/>
    </w:pPr>
    <w:rPr>
      <w:rFonts w:ascii="Calibri" w:hAnsi="Calibri"/>
      <w:lang w:val="zh-CN"/>
    </w:rPr>
  </w:style>
  <w:style w:type="paragraph" w:styleId="4">
    <w:name w:val="Body Text First Indent"/>
    <w:basedOn w:val="3"/>
    <w:unhideWhenUsed/>
    <w:qFormat/>
    <w:uiPriority w:val="99"/>
    <w:pPr>
      <w:ind w:firstLine="420" w:firstLineChars="100"/>
    </w:pPr>
    <w:rPr>
      <w:rFonts w:ascii="等线" w:hAnsi="等线" w:eastAsia="等线" w:cs="Times New Roman"/>
      <w:sz w:val="20"/>
    </w:rPr>
  </w:style>
  <w:style w:type="paragraph" w:styleId="5">
    <w:name w:val="Plain Text"/>
    <w:basedOn w:val="1"/>
    <w:qFormat/>
    <w:uiPriority w:val="0"/>
    <w:rPr>
      <w:rFonts w:ascii="宋体" w:hAnsi="Courier New" w:eastAsia="宋体" w:cs="Courier New"/>
      <w:kern w:val="2"/>
      <w:sz w:val="21"/>
      <w:szCs w:val="21"/>
      <w:lang w:val="en-US" w:eastAsia="zh-CN" w:bidi="ar-SA"/>
    </w:rPr>
  </w:style>
  <w:style w:type="paragraph" w:styleId="6">
    <w:name w:val="header"/>
    <w:basedOn w:val="1"/>
    <w:next w:val="2"/>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1694</Words>
  <Characters>1729</Characters>
  <Lines>0</Lines>
  <Paragraphs>0</Paragraphs>
  <TotalTime>1</TotalTime>
  <ScaleCrop>false</ScaleCrop>
  <LinksUpToDate>false</LinksUpToDate>
  <CharactersWithSpaces>1744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2026-03-02T02:36:00Z</dcterms:created>
  <dc:creator>Administrator</dc:creator>
  <cp:lastModifiedBy>LeeYee</cp:lastModifiedBy>
  <dcterms:modified xsi:type="dcterms:W3CDTF">2026-03-19T06:09:25Z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eyJoZGlkIjoiMTNmNTE5ZDZjMzViNzFmODlhNzA0MGI2OWM3MjA2YjUiLCJ1c2VySWQiOiI1Mjc3MjkxNjgifQ==</vt:lpwstr>
  </property>
  <property fmtid="{D5CDD505-2E9C-101B-9397-08002B2CF9AE}" pid="4" name="ICV">
    <vt:lpwstr>9F68CAE95B3549F4AF22E6D26C88474C_12</vt:lpwstr>
  </property>
</Properties>
</file>