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737FF">
      <w:pPr>
        <w:snapToGrid w:val="0"/>
        <w:jc w:val="center"/>
        <w:rPr>
          <w:rFonts w:ascii="宋体" w:hAnsi="宋体" w:cs="Lucida Sans Unicode"/>
          <w:b/>
          <w:sz w:val="44"/>
          <w:szCs w:val="44"/>
        </w:rPr>
      </w:pPr>
      <w:r>
        <w:rPr>
          <w:rFonts w:hint="eastAsia" w:ascii="宋体" w:hAnsi="宋体" w:cs="Lucida Sans Unicode"/>
          <w:b/>
          <w:sz w:val="44"/>
          <w:szCs w:val="44"/>
          <w:lang w:val="en-US" w:eastAsia="zh-CN"/>
        </w:rPr>
        <w:t>商务</w:t>
      </w:r>
      <w:r>
        <w:rPr>
          <w:rFonts w:hint="eastAsia" w:ascii="宋体" w:hAnsi="宋体" w:cs="Lucida Sans Unicode"/>
          <w:b/>
          <w:sz w:val="44"/>
          <w:szCs w:val="44"/>
        </w:rPr>
        <w:t>响应表</w:t>
      </w:r>
    </w:p>
    <w:p w14:paraId="2122A929">
      <w:pPr>
        <w:snapToGrid w:val="0"/>
        <w:ind w:firstLine="446" w:firstLineChars="148"/>
        <w:jc w:val="center"/>
        <w:rPr>
          <w:rFonts w:ascii="宋体" w:hAnsi="宋体"/>
          <w:b/>
          <w:sz w:val="30"/>
          <w:szCs w:val="30"/>
        </w:rPr>
      </w:pPr>
    </w:p>
    <w:p w14:paraId="43C2DC1B">
      <w:pPr>
        <w:spacing w:line="360" w:lineRule="auto"/>
        <w:ind w:firstLine="480" w:firstLineChars="200"/>
        <w:rPr>
          <w:rFonts w:hint="eastAsia" w:ascii="宋体" w:hAnsi="宋体"/>
          <w:sz w:val="24"/>
          <w:szCs w:val="24"/>
        </w:rPr>
      </w:pPr>
      <w:r>
        <w:rPr>
          <w:rFonts w:hint="eastAsia" w:ascii="宋体" w:hAnsi="宋体"/>
          <w:sz w:val="24"/>
          <w:szCs w:val="24"/>
        </w:rPr>
        <w:t>说明：</w:t>
      </w:r>
      <w:r>
        <w:rPr>
          <w:rFonts w:hint="eastAsia" w:ascii="宋体" w:hAnsi="宋体"/>
          <w:sz w:val="24"/>
          <w:szCs w:val="24"/>
          <w:lang w:eastAsia="zh-CN"/>
        </w:rPr>
        <w:t>供应商</w:t>
      </w:r>
      <w:r>
        <w:rPr>
          <w:rFonts w:hint="eastAsia" w:ascii="宋体" w:hAnsi="宋体"/>
          <w:sz w:val="24"/>
          <w:szCs w:val="24"/>
        </w:rPr>
        <w:t>必须仔细阅读</w:t>
      </w:r>
      <w:r>
        <w:rPr>
          <w:rFonts w:hint="eastAsia" w:ascii="宋体" w:hAnsi="宋体"/>
          <w:sz w:val="24"/>
          <w:szCs w:val="24"/>
          <w:lang w:eastAsia="zh-CN"/>
        </w:rPr>
        <w:t>竞争性磋商文件“第三章</w:t>
      </w:r>
      <w:r>
        <w:rPr>
          <w:rFonts w:hint="eastAsia" w:ascii="宋体" w:hAnsi="宋体"/>
          <w:sz w:val="24"/>
          <w:szCs w:val="24"/>
          <w:lang w:val="en-US" w:eastAsia="zh-CN"/>
        </w:rPr>
        <w:t xml:space="preserve"> 采购需求</w:t>
      </w:r>
      <w:r>
        <w:rPr>
          <w:rFonts w:hint="eastAsia" w:ascii="宋体" w:hAnsi="宋体"/>
          <w:sz w:val="24"/>
          <w:szCs w:val="24"/>
          <w:lang w:eastAsia="zh-CN"/>
        </w:rPr>
        <w:t>”要求在《商务响应表》中需要进行响应的商务</w:t>
      </w:r>
      <w:r>
        <w:rPr>
          <w:rFonts w:hint="eastAsia" w:ascii="宋体" w:hAnsi="宋体"/>
          <w:sz w:val="24"/>
          <w:szCs w:val="24"/>
        </w:rPr>
        <w:t>条款，</w:t>
      </w:r>
      <w:r>
        <w:rPr>
          <w:rFonts w:hint="eastAsia" w:ascii="宋体" w:hAnsi="宋体"/>
          <w:sz w:val="24"/>
          <w:szCs w:val="24"/>
          <w:lang w:eastAsia="zh-CN"/>
        </w:rPr>
        <w:t>并</w:t>
      </w:r>
      <w:r>
        <w:rPr>
          <w:rFonts w:hint="eastAsia" w:ascii="宋体" w:hAnsi="宋体"/>
          <w:sz w:val="24"/>
          <w:szCs w:val="24"/>
        </w:rPr>
        <w:t>对</w:t>
      </w:r>
      <w:r>
        <w:rPr>
          <w:rFonts w:hint="eastAsia" w:ascii="宋体" w:hAnsi="宋体"/>
          <w:sz w:val="24"/>
          <w:szCs w:val="24"/>
          <w:lang w:eastAsia="zh-CN"/>
        </w:rPr>
        <w:t>上述</w:t>
      </w:r>
      <w:r>
        <w:rPr>
          <w:rFonts w:hint="eastAsia" w:ascii="宋体" w:hAnsi="宋体"/>
          <w:sz w:val="24"/>
          <w:szCs w:val="24"/>
        </w:rPr>
        <w:t>商务条款的响应情况逐项列入</w:t>
      </w:r>
      <w:r>
        <w:rPr>
          <w:rFonts w:hint="eastAsia" w:ascii="宋体" w:hAnsi="宋体"/>
          <w:sz w:val="24"/>
          <w:szCs w:val="24"/>
          <w:lang w:eastAsia="zh-CN"/>
        </w:rPr>
        <w:t>该表</w:t>
      </w:r>
      <w:r>
        <w:rPr>
          <w:rFonts w:hint="eastAsia" w:ascii="宋体" w:hAnsi="宋体"/>
          <w:sz w:val="24"/>
          <w:szCs w:val="24"/>
        </w:rPr>
        <w:t>，</w:t>
      </w:r>
      <w:r>
        <w:rPr>
          <w:rFonts w:hint="eastAsia" w:ascii="宋体" w:hAnsi="宋体"/>
          <w:sz w:val="24"/>
          <w:szCs w:val="24"/>
          <w:lang w:eastAsia="zh-CN"/>
        </w:rPr>
        <w:t>以及</w:t>
      </w:r>
      <w:r>
        <w:rPr>
          <w:rFonts w:hint="eastAsia" w:ascii="宋体" w:hAnsi="宋体"/>
          <w:sz w:val="24"/>
          <w:szCs w:val="24"/>
        </w:rPr>
        <w:t>对其响应情况进行说明</w:t>
      </w:r>
      <w:r>
        <w:rPr>
          <w:rFonts w:hint="eastAsia" w:ascii="宋体" w:hAnsi="宋体"/>
          <w:sz w:val="24"/>
          <w:szCs w:val="24"/>
          <w:lang w:eastAsia="zh-CN"/>
        </w:rPr>
        <w:t>；</w:t>
      </w:r>
      <w:r>
        <w:rPr>
          <w:rFonts w:hint="eastAsia" w:ascii="宋体" w:hAnsi="宋体"/>
          <w:sz w:val="24"/>
          <w:szCs w:val="24"/>
        </w:rPr>
        <w:t>未列入</w:t>
      </w:r>
      <w:r>
        <w:rPr>
          <w:rFonts w:hint="eastAsia" w:ascii="宋体" w:hAnsi="宋体"/>
          <w:sz w:val="24"/>
          <w:szCs w:val="24"/>
          <w:lang w:eastAsia="zh-CN"/>
        </w:rPr>
        <w:t>该表</w:t>
      </w:r>
      <w:r>
        <w:rPr>
          <w:rFonts w:hint="eastAsia" w:ascii="宋体" w:hAnsi="宋体"/>
          <w:sz w:val="24"/>
          <w:szCs w:val="24"/>
        </w:rPr>
        <w:t>的视作</w:t>
      </w:r>
      <w:r>
        <w:rPr>
          <w:rFonts w:hint="eastAsia" w:ascii="宋体" w:hAnsi="宋体"/>
          <w:sz w:val="24"/>
          <w:szCs w:val="24"/>
          <w:lang w:eastAsia="zh-CN"/>
        </w:rPr>
        <w:t>投标人</w:t>
      </w:r>
      <w:r>
        <w:rPr>
          <w:rFonts w:hint="eastAsia" w:ascii="宋体" w:hAnsi="宋体"/>
          <w:sz w:val="24"/>
          <w:szCs w:val="24"/>
        </w:rPr>
        <w:t>不响应。</w:t>
      </w:r>
    </w:p>
    <w:p w14:paraId="104661B3">
      <w:pPr>
        <w:spacing w:line="360" w:lineRule="auto"/>
        <w:ind w:firstLine="482" w:firstLineChars="200"/>
        <w:rPr>
          <w:sz w:val="24"/>
          <w:szCs w:val="24"/>
        </w:rPr>
      </w:pPr>
      <w:r>
        <w:rPr>
          <w:rFonts w:hint="eastAsia" w:ascii="宋体" w:hAnsi="宋体"/>
          <w:b/>
          <w:sz w:val="24"/>
          <w:szCs w:val="24"/>
          <w:lang w:eastAsia="zh-CN"/>
        </w:rPr>
        <w:t>供应商</w:t>
      </w:r>
      <w:r>
        <w:rPr>
          <w:rFonts w:hint="eastAsia" w:ascii="宋体" w:hAnsi="宋体"/>
          <w:b/>
          <w:sz w:val="24"/>
          <w:szCs w:val="24"/>
        </w:rPr>
        <w:t>必须根据</w:t>
      </w:r>
      <w:r>
        <w:rPr>
          <w:rFonts w:hint="eastAsia" w:ascii="宋体" w:hAnsi="宋体"/>
          <w:b/>
          <w:sz w:val="24"/>
          <w:szCs w:val="24"/>
          <w:lang w:eastAsia="zh-CN"/>
        </w:rPr>
        <w:t>标的</w:t>
      </w:r>
      <w:r>
        <w:rPr>
          <w:rFonts w:hint="eastAsia" w:ascii="宋体" w:hAnsi="宋体"/>
          <w:b/>
          <w:sz w:val="24"/>
          <w:szCs w:val="24"/>
        </w:rPr>
        <w:t>的实际情况如实填写，</w:t>
      </w:r>
      <w:r>
        <w:rPr>
          <w:rFonts w:hint="eastAsia" w:ascii="宋体" w:hAnsi="宋体"/>
          <w:b/>
          <w:sz w:val="24"/>
          <w:szCs w:val="24"/>
          <w:lang w:eastAsia="zh-CN"/>
        </w:rPr>
        <w:t>评标委员会</w:t>
      </w:r>
      <w:r>
        <w:rPr>
          <w:rFonts w:hint="eastAsia" w:ascii="宋体" w:hAnsi="宋体"/>
          <w:b/>
          <w:sz w:val="24"/>
          <w:szCs w:val="24"/>
        </w:rPr>
        <w:t>如发现有虚假描述的，该</w:t>
      </w:r>
      <w:r>
        <w:rPr>
          <w:rFonts w:hint="eastAsia" w:ascii="宋体" w:hAnsi="宋体"/>
          <w:b/>
          <w:sz w:val="24"/>
          <w:szCs w:val="24"/>
          <w:lang w:eastAsia="zh-CN"/>
        </w:rPr>
        <w:t>响应文件</w:t>
      </w:r>
      <w:r>
        <w:rPr>
          <w:rFonts w:hint="eastAsia" w:ascii="宋体" w:hAnsi="宋体"/>
          <w:b/>
          <w:sz w:val="24"/>
          <w:szCs w:val="24"/>
        </w:rPr>
        <w:t>作无效</w:t>
      </w:r>
      <w:r>
        <w:rPr>
          <w:rFonts w:hint="eastAsia" w:ascii="宋体" w:hAnsi="宋体"/>
          <w:b/>
          <w:sz w:val="24"/>
          <w:szCs w:val="24"/>
          <w:lang w:eastAsia="zh-CN"/>
        </w:rPr>
        <w:t>投标文件</w:t>
      </w:r>
      <w:r>
        <w:rPr>
          <w:rFonts w:hint="eastAsia" w:ascii="宋体" w:hAnsi="宋体"/>
          <w:b/>
          <w:sz w:val="24"/>
          <w:szCs w:val="24"/>
        </w:rPr>
        <w:t>处理。</w:t>
      </w:r>
    </w:p>
    <w:tbl>
      <w:tblPr>
        <w:tblStyle w:val="7"/>
        <w:tblW w:w="9986" w:type="dxa"/>
        <w:tblInd w:w="-10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4550"/>
        <w:gridCol w:w="2456"/>
        <w:gridCol w:w="1629"/>
        <w:gridCol w:w="662"/>
      </w:tblGrid>
      <w:tr w14:paraId="734A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blHeader/>
        </w:trPr>
        <w:tc>
          <w:tcPr>
            <w:tcW w:w="689" w:type="dxa"/>
            <w:tcBorders>
              <w:bottom w:val="single" w:color="auto" w:sz="4" w:space="0"/>
            </w:tcBorders>
            <w:shd w:val="clear" w:color="auto" w:fill="D9D9D9"/>
            <w:noWrap w:val="0"/>
            <w:vAlign w:val="center"/>
          </w:tcPr>
          <w:p w14:paraId="2D02A064">
            <w:pPr>
              <w:snapToGrid w:val="0"/>
              <w:jc w:val="center"/>
              <w:rPr>
                <w:rFonts w:ascii="宋体" w:hAnsi="宋体"/>
                <w:b w:val="0"/>
                <w:bCs w:val="0"/>
                <w:sz w:val="21"/>
                <w:szCs w:val="21"/>
              </w:rPr>
            </w:pPr>
            <w:r>
              <w:rPr>
                <w:rFonts w:hint="eastAsia" w:ascii="宋体" w:hAnsi="宋体"/>
                <w:b w:val="0"/>
                <w:bCs w:val="0"/>
                <w:sz w:val="21"/>
                <w:szCs w:val="21"/>
              </w:rPr>
              <w:t>序号</w:t>
            </w:r>
          </w:p>
        </w:tc>
        <w:tc>
          <w:tcPr>
            <w:tcW w:w="4550" w:type="dxa"/>
            <w:tcBorders>
              <w:bottom w:val="single" w:color="auto" w:sz="4" w:space="0"/>
            </w:tcBorders>
            <w:shd w:val="clear" w:color="auto" w:fill="D9D9D9"/>
            <w:noWrap w:val="0"/>
            <w:vAlign w:val="center"/>
          </w:tcPr>
          <w:p w14:paraId="244387DE">
            <w:pPr>
              <w:snapToGrid w:val="0"/>
              <w:jc w:val="center"/>
              <w:rPr>
                <w:rFonts w:ascii="宋体" w:hAnsi="宋体"/>
                <w:b w:val="0"/>
                <w:bCs w:val="0"/>
                <w:sz w:val="21"/>
                <w:szCs w:val="21"/>
              </w:rPr>
            </w:pPr>
            <w:r>
              <w:rPr>
                <w:rFonts w:hint="eastAsia" w:ascii="宋体" w:hAnsi="宋体"/>
                <w:b w:val="0"/>
                <w:bCs w:val="0"/>
                <w:sz w:val="21"/>
                <w:szCs w:val="21"/>
                <w:lang w:eastAsia="zh-CN"/>
              </w:rPr>
              <w:t>竞争性磋商文件</w:t>
            </w:r>
            <w:r>
              <w:rPr>
                <w:rFonts w:hint="eastAsia" w:ascii="宋体" w:hAnsi="宋体"/>
                <w:b w:val="0"/>
                <w:bCs w:val="0"/>
                <w:sz w:val="21"/>
                <w:szCs w:val="21"/>
              </w:rPr>
              <w:t>商务条款描述</w:t>
            </w:r>
          </w:p>
        </w:tc>
        <w:tc>
          <w:tcPr>
            <w:tcW w:w="2456" w:type="dxa"/>
            <w:tcBorders>
              <w:bottom w:val="single" w:color="auto" w:sz="4" w:space="0"/>
            </w:tcBorders>
            <w:shd w:val="clear" w:color="auto" w:fill="D9D9D9"/>
            <w:noWrap w:val="0"/>
            <w:vAlign w:val="center"/>
          </w:tcPr>
          <w:p w14:paraId="14665D7C">
            <w:pPr>
              <w:snapToGrid w:val="0"/>
              <w:jc w:val="center"/>
              <w:rPr>
                <w:rFonts w:ascii="宋体" w:hAnsi="宋体"/>
                <w:b w:val="0"/>
                <w:bCs w:val="0"/>
                <w:sz w:val="21"/>
                <w:szCs w:val="21"/>
              </w:rPr>
            </w:pPr>
            <w:r>
              <w:rPr>
                <w:rFonts w:hint="eastAsia" w:ascii="宋体" w:hAnsi="宋体"/>
                <w:b w:val="0"/>
                <w:bCs w:val="0"/>
                <w:sz w:val="21"/>
                <w:szCs w:val="21"/>
                <w:lang w:eastAsia="zh-CN"/>
              </w:rPr>
              <w:t>供应商</w:t>
            </w:r>
            <w:r>
              <w:rPr>
                <w:rFonts w:hint="eastAsia" w:ascii="宋体" w:hAnsi="宋体"/>
                <w:b w:val="0"/>
                <w:bCs w:val="0"/>
                <w:sz w:val="21"/>
                <w:szCs w:val="21"/>
              </w:rPr>
              <w:t>商务响应情况描述</w:t>
            </w:r>
          </w:p>
        </w:tc>
        <w:tc>
          <w:tcPr>
            <w:tcW w:w="1629" w:type="dxa"/>
            <w:tcBorders>
              <w:bottom w:val="single" w:color="auto" w:sz="4" w:space="0"/>
            </w:tcBorders>
            <w:shd w:val="clear" w:color="auto" w:fill="D9D9D9"/>
            <w:noWrap w:val="0"/>
            <w:vAlign w:val="center"/>
          </w:tcPr>
          <w:p w14:paraId="07BBE50B">
            <w:pPr>
              <w:snapToGrid w:val="0"/>
              <w:jc w:val="center"/>
              <w:rPr>
                <w:rFonts w:ascii="宋体" w:hAnsi="宋体"/>
                <w:b w:val="0"/>
                <w:bCs w:val="0"/>
                <w:sz w:val="21"/>
                <w:szCs w:val="21"/>
              </w:rPr>
            </w:pPr>
            <w:r>
              <w:rPr>
                <w:rFonts w:hint="eastAsia" w:ascii="宋体" w:hAnsi="宋体"/>
                <w:b w:val="0"/>
                <w:bCs w:val="0"/>
                <w:sz w:val="21"/>
                <w:szCs w:val="21"/>
              </w:rPr>
              <w:t>响应情况说明（＋/</w:t>
            </w:r>
            <w:r>
              <w:rPr>
                <w:rFonts w:hint="eastAsia" w:ascii="宋体" w:hAnsi="宋体"/>
                <w:b w:val="0"/>
                <w:bCs w:val="0"/>
                <w:sz w:val="21"/>
                <w:szCs w:val="21"/>
                <w:lang w:val="en-US" w:eastAsia="zh-CN"/>
              </w:rPr>
              <w:t>=</w:t>
            </w:r>
            <w:r>
              <w:rPr>
                <w:rFonts w:hint="eastAsia" w:ascii="宋体" w:hAnsi="宋体"/>
                <w:b w:val="0"/>
                <w:bCs w:val="0"/>
                <w:sz w:val="21"/>
                <w:szCs w:val="21"/>
              </w:rPr>
              <w:t>/</w:t>
            </w:r>
            <w:r>
              <w:rPr>
                <w:rFonts w:hint="eastAsia" w:ascii="宋体" w:hAnsi="宋体"/>
                <w:b w:val="0"/>
                <w:bCs w:val="0"/>
                <w:sz w:val="21"/>
                <w:szCs w:val="21"/>
                <w:lang w:val="en-US" w:eastAsia="zh-CN"/>
              </w:rPr>
              <w:t>-</w:t>
            </w:r>
            <w:r>
              <w:rPr>
                <w:rFonts w:hint="eastAsia" w:ascii="宋体" w:hAnsi="宋体"/>
                <w:b w:val="0"/>
                <w:bCs w:val="0"/>
                <w:sz w:val="21"/>
                <w:szCs w:val="21"/>
              </w:rPr>
              <w:t>）</w:t>
            </w:r>
          </w:p>
        </w:tc>
        <w:tc>
          <w:tcPr>
            <w:tcW w:w="662" w:type="dxa"/>
            <w:tcBorders>
              <w:bottom w:val="single" w:color="auto" w:sz="4" w:space="0"/>
            </w:tcBorders>
            <w:shd w:val="clear" w:color="auto" w:fill="D9D9D9"/>
            <w:noWrap w:val="0"/>
            <w:vAlign w:val="center"/>
          </w:tcPr>
          <w:p w14:paraId="5DDBF62B">
            <w:pPr>
              <w:snapToGrid w:val="0"/>
              <w:jc w:val="center"/>
              <w:rPr>
                <w:rFonts w:ascii="宋体" w:hAnsi="宋体"/>
                <w:b w:val="0"/>
                <w:bCs w:val="0"/>
                <w:sz w:val="21"/>
                <w:szCs w:val="21"/>
              </w:rPr>
            </w:pPr>
            <w:r>
              <w:rPr>
                <w:rFonts w:hint="eastAsia" w:ascii="宋体" w:hAnsi="宋体"/>
                <w:b w:val="0"/>
                <w:bCs w:val="0"/>
                <w:sz w:val="21"/>
                <w:szCs w:val="21"/>
              </w:rPr>
              <w:t>备注</w:t>
            </w:r>
          </w:p>
        </w:tc>
      </w:tr>
      <w:tr w14:paraId="5BCA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Header/>
        </w:trPr>
        <w:tc>
          <w:tcPr>
            <w:tcW w:w="689" w:type="dxa"/>
            <w:noWrap w:val="0"/>
            <w:vAlign w:val="center"/>
          </w:tcPr>
          <w:p w14:paraId="586621D0">
            <w:pPr>
              <w:jc w:val="center"/>
              <w:rPr>
                <w:rFonts w:ascii="宋体" w:hAnsi="宋体"/>
                <w:b w:val="0"/>
                <w:bCs w:val="0"/>
                <w:sz w:val="21"/>
                <w:szCs w:val="21"/>
              </w:rPr>
            </w:pPr>
            <w:r>
              <w:rPr>
                <w:rFonts w:hint="eastAsia" w:ascii="宋体" w:hAnsi="宋体"/>
                <w:b w:val="0"/>
                <w:bCs w:val="0"/>
                <w:sz w:val="21"/>
                <w:szCs w:val="21"/>
              </w:rPr>
              <w:t>1</w:t>
            </w:r>
          </w:p>
        </w:tc>
        <w:tc>
          <w:tcPr>
            <w:tcW w:w="4550" w:type="dxa"/>
            <w:noWrap w:val="0"/>
            <w:vAlign w:val="center"/>
          </w:tcPr>
          <w:p w14:paraId="39BAC4A1">
            <w:pPr>
              <w:pStyle w:val="9"/>
              <w:jc w:val="both"/>
              <w:rPr>
                <w:rFonts w:ascii="宋体" w:hAnsi="宋体" w:cs="宋体"/>
                <w:b w:val="0"/>
                <w:bCs w:val="0"/>
                <w:sz w:val="21"/>
                <w:szCs w:val="21"/>
              </w:rPr>
            </w:pPr>
            <w:r>
              <w:rPr>
                <w:rFonts w:hint="eastAsia" w:ascii="宋体" w:hAnsi="宋体" w:cs="宋体"/>
                <w:b w:val="0"/>
                <w:bCs w:val="0"/>
                <w:sz w:val="21"/>
                <w:szCs w:val="21"/>
              </w:rPr>
              <w:t>（一）服务期限：一年</w:t>
            </w:r>
          </w:p>
        </w:tc>
        <w:tc>
          <w:tcPr>
            <w:tcW w:w="2456" w:type="dxa"/>
            <w:noWrap w:val="0"/>
            <w:vAlign w:val="center"/>
          </w:tcPr>
          <w:p w14:paraId="4C091C86">
            <w:pPr>
              <w:snapToGrid w:val="0"/>
              <w:jc w:val="center"/>
              <w:rPr>
                <w:rFonts w:ascii="宋体" w:hAnsi="宋体"/>
                <w:b w:val="0"/>
                <w:bCs w:val="0"/>
                <w:sz w:val="21"/>
                <w:szCs w:val="21"/>
              </w:rPr>
            </w:pPr>
          </w:p>
        </w:tc>
        <w:tc>
          <w:tcPr>
            <w:tcW w:w="1629" w:type="dxa"/>
            <w:noWrap w:val="0"/>
            <w:vAlign w:val="center"/>
          </w:tcPr>
          <w:p w14:paraId="4C4A1510">
            <w:pPr>
              <w:snapToGrid w:val="0"/>
              <w:jc w:val="center"/>
              <w:rPr>
                <w:rFonts w:ascii="宋体" w:hAnsi="宋体"/>
                <w:b w:val="0"/>
                <w:bCs w:val="0"/>
                <w:sz w:val="21"/>
                <w:szCs w:val="21"/>
              </w:rPr>
            </w:pPr>
          </w:p>
        </w:tc>
        <w:tc>
          <w:tcPr>
            <w:tcW w:w="662" w:type="dxa"/>
            <w:noWrap w:val="0"/>
            <w:vAlign w:val="center"/>
          </w:tcPr>
          <w:p w14:paraId="23054F1B">
            <w:pPr>
              <w:snapToGrid w:val="0"/>
              <w:jc w:val="center"/>
              <w:rPr>
                <w:rFonts w:ascii="宋体" w:hAnsi="宋体"/>
                <w:b w:val="0"/>
                <w:bCs w:val="0"/>
                <w:sz w:val="21"/>
                <w:szCs w:val="21"/>
              </w:rPr>
            </w:pPr>
          </w:p>
        </w:tc>
      </w:tr>
      <w:tr w14:paraId="5B12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blHeader/>
        </w:trPr>
        <w:tc>
          <w:tcPr>
            <w:tcW w:w="689" w:type="dxa"/>
            <w:noWrap w:val="0"/>
            <w:vAlign w:val="center"/>
          </w:tcPr>
          <w:p w14:paraId="5E11A45D">
            <w:pPr>
              <w:jc w:val="center"/>
              <w:rPr>
                <w:rFonts w:ascii="宋体" w:hAnsi="宋体"/>
                <w:b w:val="0"/>
                <w:bCs w:val="0"/>
                <w:sz w:val="21"/>
                <w:szCs w:val="21"/>
              </w:rPr>
            </w:pPr>
            <w:r>
              <w:rPr>
                <w:rFonts w:hint="eastAsia" w:ascii="宋体" w:hAnsi="宋体"/>
                <w:b w:val="0"/>
                <w:bCs w:val="0"/>
                <w:sz w:val="21"/>
                <w:szCs w:val="21"/>
              </w:rPr>
              <w:t>2</w:t>
            </w:r>
          </w:p>
        </w:tc>
        <w:tc>
          <w:tcPr>
            <w:tcW w:w="4550" w:type="dxa"/>
            <w:noWrap w:val="0"/>
            <w:vAlign w:val="center"/>
          </w:tcPr>
          <w:p w14:paraId="156AE709">
            <w:pPr>
              <w:pStyle w:val="9"/>
              <w:jc w:val="both"/>
              <w:rPr>
                <w:rFonts w:ascii="宋体" w:hAnsi="宋体" w:cs="宋体"/>
                <w:b w:val="0"/>
                <w:bCs w:val="0"/>
                <w:sz w:val="21"/>
                <w:szCs w:val="21"/>
              </w:rPr>
            </w:pPr>
            <w:r>
              <w:rPr>
                <w:rFonts w:hint="eastAsia" w:ascii="宋体" w:hAnsi="宋体" w:cs="宋体"/>
                <w:b w:val="0"/>
                <w:bCs w:val="0"/>
                <w:sz w:val="21"/>
                <w:szCs w:val="21"/>
              </w:rPr>
              <w:t>（二）项目服务地点：采购人指定地点</w:t>
            </w:r>
          </w:p>
        </w:tc>
        <w:tc>
          <w:tcPr>
            <w:tcW w:w="2456" w:type="dxa"/>
            <w:noWrap w:val="0"/>
            <w:vAlign w:val="center"/>
          </w:tcPr>
          <w:p w14:paraId="3045A101">
            <w:pPr>
              <w:snapToGrid w:val="0"/>
              <w:jc w:val="center"/>
              <w:rPr>
                <w:rFonts w:ascii="宋体" w:hAnsi="宋体"/>
                <w:b w:val="0"/>
                <w:bCs w:val="0"/>
                <w:sz w:val="21"/>
                <w:szCs w:val="21"/>
              </w:rPr>
            </w:pPr>
          </w:p>
        </w:tc>
        <w:tc>
          <w:tcPr>
            <w:tcW w:w="1629" w:type="dxa"/>
            <w:noWrap w:val="0"/>
            <w:vAlign w:val="center"/>
          </w:tcPr>
          <w:p w14:paraId="7BA4062B">
            <w:pPr>
              <w:snapToGrid w:val="0"/>
              <w:jc w:val="center"/>
              <w:rPr>
                <w:rFonts w:ascii="宋体" w:hAnsi="宋体"/>
                <w:b w:val="0"/>
                <w:bCs w:val="0"/>
                <w:sz w:val="21"/>
                <w:szCs w:val="21"/>
              </w:rPr>
            </w:pPr>
          </w:p>
        </w:tc>
        <w:tc>
          <w:tcPr>
            <w:tcW w:w="662" w:type="dxa"/>
            <w:noWrap w:val="0"/>
            <w:vAlign w:val="center"/>
          </w:tcPr>
          <w:p w14:paraId="0C70D0C2">
            <w:pPr>
              <w:snapToGrid w:val="0"/>
              <w:jc w:val="center"/>
              <w:rPr>
                <w:rFonts w:ascii="宋体" w:hAnsi="宋体"/>
                <w:b w:val="0"/>
                <w:bCs w:val="0"/>
                <w:sz w:val="21"/>
                <w:szCs w:val="21"/>
              </w:rPr>
            </w:pPr>
          </w:p>
        </w:tc>
      </w:tr>
      <w:tr w14:paraId="722C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9" w:hRule="atLeast"/>
          <w:tblHeader/>
        </w:trPr>
        <w:tc>
          <w:tcPr>
            <w:tcW w:w="689" w:type="dxa"/>
            <w:noWrap w:val="0"/>
            <w:vAlign w:val="center"/>
          </w:tcPr>
          <w:p w14:paraId="3AF97458">
            <w:pPr>
              <w:rPr>
                <w:rFonts w:ascii="宋体" w:hAnsi="宋体"/>
                <w:b w:val="0"/>
                <w:bCs w:val="0"/>
                <w:sz w:val="21"/>
                <w:szCs w:val="21"/>
              </w:rPr>
            </w:pPr>
            <w:r>
              <w:rPr>
                <w:rFonts w:hint="eastAsia" w:ascii="宋体" w:hAnsi="宋体"/>
                <w:b w:val="0"/>
                <w:bCs w:val="0"/>
                <w:sz w:val="21"/>
                <w:szCs w:val="21"/>
              </w:rPr>
              <w:t xml:space="preserve">   3</w:t>
            </w:r>
          </w:p>
        </w:tc>
        <w:tc>
          <w:tcPr>
            <w:tcW w:w="4550" w:type="dxa"/>
            <w:noWrap w:val="0"/>
            <w:vAlign w:val="center"/>
          </w:tcPr>
          <w:p w14:paraId="0965DADB">
            <w:pPr>
              <w:pStyle w:val="9"/>
              <w:jc w:val="both"/>
              <w:rPr>
                <w:rFonts w:hint="eastAsia" w:ascii="宋体" w:hAnsi="宋体" w:cs="宋体"/>
                <w:b w:val="0"/>
                <w:bCs w:val="0"/>
                <w:sz w:val="21"/>
                <w:szCs w:val="21"/>
              </w:rPr>
            </w:pPr>
            <w:r>
              <w:rPr>
                <w:rFonts w:hint="eastAsia" w:ascii="宋体" w:hAnsi="宋体" w:cs="宋体"/>
                <w:b w:val="0"/>
                <w:bCs w:val="0"/>
                <w:sz w:val="21"/>
                <w:szCs w:val="21"/>
              </w:rPr>
              <w:t>（三）付款方式</w:t>
            </w:r>
          </w:p>
          <w:p w14:paraId="628BDDD7">
            <w:pPr>
              <w:pStyle w:val="9"/>
              <w:jc w:val="both"/>
              <w:rPr>
                <w:rFonts w:hint="eastAsia" w:ascii="宋体" w:hAnsi="宋体" w:cs="宋体"/>
                <w:b w:val="0"/>
                <w:bCs w:val="0"/>
                <w:sz w:val="21"/>
                <w:szCs w:val="21"/>
              </w:rPr>
            </w:pPr>
            <w:r>
              <w:rPr>
                <w:rFonts w:hint="eastAsia" w:ascii="宋体" w:hAnsi="宋体" w:cs="宋体"/>
                <w:b w:val="0"/>
                <w:bCs w:val="0"/>
                <w:sz w:val="21"/>
                <w:szCs w:val="21"/>
              </w:rPr>
              <w:t>1、合同签订后，采购人收到结算票据后3个工作日内，支付合同金额的40% ；服务期满3个月后，采购人收到结算票据后3个工作日内，支付合同金额的30%；服务期满6个月后，采购人收到结算票据后3个工作日内，支付合同金额的30%；服务期满后，采购人收到结算票据后3个工作日内，支付剩余合同金额20%。如考核不及格，按97%支付第四次费用。</w:t>
            </w:r>
          </w:p>
          <w:p w14:paraId="1100FA08">
            <w:pPr>
              <w:pStyle w:val="9"/>
              <w:jc w:val="both"/>
              <w:rPr>
                <w:rFonts w:hint="eastAsia" w:ascii="宋体" w:hAnsi="宋体" w:cs="宋体"/>
                <w:b w:val="0"/>
                <w:bCs w:val="0"/>
                <w:sz w:val="21"/>
                <w:szCs w:val="21"/>
              </w:rPr>
            </w:pPr>
            <w:r>
              <w:rPr>
                <w:rFonts w:hint="eastAsia" w:ascii="宋体" w:hAnsi="宋体" w:cs="宋体"/>
                <w:b w:val="0"/>
                <w:bCs w:val="0"/>
                <w:sz w:val="21"/>
                <w:szCs w:val="21"/>
              </w:rPr>
              <w:t>2、因中标单位未提供真实合法有效发票导致的付款延迟，采购单位不承担任何责任。</w:t>
            </w:r>
          </w:p>
          <w:p w14:paraId="70009DAD">
            <w:pPr>
              <w:pStyle w:val="9"/>
              <w:jc w:val="both"/>
              <w:rPr>
                <w:rFonts w:ascii="宋体" w:hAnsi="宋体" w:cs="宋体"/>
                <w:b w:val="0"/>
                <w:bCs w:val="0"/>
                <w:sz w:val="21"/>
                <w:szCs w:val="21"/>
              </w:rPr>
            </w:pPr>
            <w:r>
              <w:rPr>
                <w:rFonts w:hint="eastAsia" w:ascii="宋体" w:hAnsi="宋体" w:cs="宋体"/>
                <w:b w:val="0"/>
                <w:bCs w:val="0"/>
                <w:sz w:val="21"/>
                <w:szCs w:val="21"/>
              </w:rPr>
              <w:t>3、因本项目的资金来源于政府财政性资金，政府财政性资金拨付延迟而导致采购人不能按照合同的约定及时向中标供应商支付合同价款时，不构成采购人的违约行为，中标供应商不得因此追究采购人违约责任。</w:t>
            </w:r>
          </w:p>
        </w:tc>
        <w:tc>
          <w:tcPr>
            <w:tcW w:w="2456" w:type="dxa"/>
            <w:noWrap w:val="0"/>
            <w:vAlign w:val="center"/>
          </w:tcPr>
          <w:p w14:paraId="09E1C791">
            <w:pPr>
              <w:snapToGrid w:val="0"/>
              <w:jc w:val="center"/>
              <w:rPr>
                <w:rFonts w:ascii="宋体" w:hAnsi="宋体"/>
                <w:b w:val="0"/>
                <w:bCs w:val="0"/>
                <w:sz w:val="21"/>
                <w:szCs w:val="21"/>
              </w:rPr>
            </w:pPr>
          </w:p>
        </w:tc>
        <w:tc>
          <w:tcPr>
            <w:tcW w:w="1629" w:type="dxa"/>
            <w:noWrap w:val="0"/>
            <w:vAlign w:val="center"/>
          </w:tcPr>
          <w:p w14:paraId="58B936DB">
            <w:pPr>
              <w:snapToGrid w:val="0"/>
              <w:jc w:val="center"/>
              <w:rPr>
                <w:rFonts w:ascii="宋体" w:hAnsi="宋体"/>
                <w:b w:val="0"/>
                <w:bCs w:val="0"/>
                <w:sz w:val="21"/>
                <w:szCs w:val="21"/>
              </w:rPr>
            </w:pPr>
          </w:p>
        </w:tc>
        <w:tc>
          <w:tcPr>
            <w:tcW w:w="662" w:type="dxa"/>
            <w:noWrap w:val="0"/>
            <w:vAlign w:val="center"/>
          </w:tcPr>
          <w:p w14:paraId="305EDDBC">
            <w:pPr>
              <w:snapToGrid w:val="0"/>
              <w:jc w:val="center"/>
              <w:rPr>
                <w:rFonts w:ascii="宋体" w:hAnsi="宋体"/>
                <w:b w:val="0"/>
                <w:bCs w:val="0"/>
                <w:sz w:val="21"/>
                <w:szCs w:val="21"/>
              </w:rPr>
            </w:pPr>
          </w:p>
        </w:tc>
      </w:tr>
      <w:tr w14:paraId="79DC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blHeader/>
        </w:trPr>
        <w:tc>
          <w:tcPr>
            <w:tcW w:w="689" w:type="dxa"/>
            <w:noWrap w:val="0"/>
            <w:vAlign w:val="center"/>
          </w:tcPr>
          <w:p w14:paraId="08B7CDA7">
            <w:pPr>
              <w:jc w:val="center"/>
              <w:rPr>
                <w:rFonts w:hint="eastAsia" w:ascii="宋体" w:hAnsi="宋体" w:eastAsia="宋体"/>
                <w:b w:val="0"/>
                <w:bCs w:val="0"/>
                <w:sz w:val="21"/>
                <w:szCs w:val="21"/>
                <w:lang w:eastAsia="zh-CN"/>
              </w:rPr>
            </w:pPr>
            <w:r>
              <w:rPr>
                <w:rFonts w:hint="eastAsia" w:ascii="宋体" w:hAnsi="宋体"/>
                <w:b w:val="0"/>
                <w:bCs w:val="0"/>
                <w:sz w:val="21"/>
                <w:szCs w:val="21"/>
                <w:lang w:val="en-US" w:eastAsia="zh-CN"/>
              </w:rPr>
              <w:t>4</w:t>
            </w:r>
          </w:p>
        </w:tc>
        <w:tc>
          <w:tcPr>
            <w:tcW w:w="4550" w:type="dxa"/>
            <w:noWrap w:val="0"/>
            <w:vAlign w:val="center"/>
          </w:tcPr>
          <w:p w14:paraId="5F7B86AC">
            <w:pPr>
              <w:pStyle w:val="9"/>
              <w:jc w:val="both"/>
              <w:rPr>
                <w:rFonts w:hint="eastAsia" w:ascii="宋体" w:hAnsi="宋体" w:cs="宋体"/>
                <w:b w:val="0"/>
                <w:bCs w:val="0"/>
                <w:sz w:val="21"/>
                <w:szCs w:val="21"/>
              </w:rPr>
            </w:pPr>
            <w:r>
              <w:rPr>
                <w:rFonts w:hint="eastAsia" w:ascii="宋体" w:hAnsi="宋体" w:cs="宋体"/>
                <w:b w:val="0"/>
                <w:bCs w:val="0"/>
                <w:sz w:val="21"/>
                <w:szCs w:val="21"/>
              </w:rPr>
              <w:t>（四）考核机制</w:t>
            </w:r>
          </w:p>
          <w:p w14:paraId="4C2FB29E">
            <w:pPr>
              <w:pStyle w:val="9"/>
              <w:jc w:val="both"/>
              <w:rPr>
                <w:rFonts w:hint="eastAsia" w:ascii="宋体" w:hAnsi="宋体" w:cs="宋体"/>
                <w:b w:val="0"/>
                <w:bCs w:val="0"/>
                <w:sz w:val="21"/>
                <w:szCs w:val="21"/>
              </w:rPr>
            </w:pPr>
            <w:r>
              <w:rPr>
                <w:rFonts w:hint="eastAsia" w:ascii="宋体" w:hAnsi="宋体" w:cs="宋体"/>
                <w:b w:val="0"/>
                <w:bCs w:val="0"/>
                <w:sz w:val="21"/>
                <w:szCs w:val="21"/>
              </w:rPr>
              <w:t>1、对保安员的考核由中标人及其管理团队负责，考核细则以中标人在投标文件中提供的考核方案为基础，经采购人合理化建议修订后执行。</w:t>
            </w:r>
          </w:p>
          <w:p w14:paraId="543585A9">
            <w:pPr>
              <w:pStyle w:val="9"/>
              <w:jc w:val="both"/>
              <w:rPr>
                <w:rFonts w:hint="eastAsia" w:ascii="宋体" w:hAnsi="宋体" w:cs="宋体"/>
                <w:b w:val="0"/>
                <w:bCs w:val="0"/>
                <w:sz w:val="21"/>
                <w:szCs w:val="21"/>
              </w:rPr>
            </w:pPr>
            <w:r>
              <w:rPr>
                <w:rFonts w:hint="eastAsia" w:ascii="宋体" w:hAnsi="宋体" w:cs="宋体"/>
                <w:b w:val="0"/>
                <w:bCs w:val="0"/>
                <w:sz w:val="21"/>
                <w:szCs w:val="21"/>
              </w:rPr>
              <w:t>2、采购人每个季度对项目服务质量进行满意度调查以及服务质量进行考评，保安人员季度考核的平均得分作为采购单位对中标人的季度考核得分，考核结果作为支付结算的依据。</w:t>
            </w:r>
          </w:p>
          <w:p w14:paraId="17B40121">
            <w:pPr>
              <w:pStyle w:val="9"/>
              <w:jc w:val="both"/>
              <w:rPr>
                <w:rFonts w:hint="eastAsia" w:ascii="宋体" w:hAnsi="宋体" w:cs="宋体"/>
                <w:b w:val="0"/>
                <w:bCs w:val="0"/>
                <w:sz w:val="21"/>
                <w:szCs w:val="21"/>
              </w:rPr>
            </w:pPr>
            <w:r>
              <w:rPr>
                <w:rFonts w:hint="eastAsia" w:ascii="宋体" w:hAnsi="宋体" w:cs="宋体"/>
                <w:b w:val="0"/>
                <w:bCs w:val="0"/>
                <w:sz w:val="21"/>
                <w:szCs w:val="21"/>
              </w:rPr>
              <w:t>3.考核结果处理</w:t>
            </w:r>
          </w:p>
          <w:p w14:paraId="6603974A">
            <w:pPr>
              <w:pStyle w:val="9"/>
              <w:jc w:val="both"/>
              <w:rPr>
                <w:rFonts w:hint="eastAsia" w:ascii="宋体" w:hAnsi="宋体" w:cs="宋体"/>
                <w:b w:val="0"/>
                <w:bCs w:val="0"/>
                <w:sz w:val="21"/>
                <w:szCs w:val="21"/>
              </w:rPr>
            </w:pPr>
            <w:r>
              <w:rPr>
                <w:rFonts w:hint="eastAsia" w:ascii="宋体" w:hAnsi="宋体" w:cs="宋体"/>
                <w:b w:val="0"/>
                <w:bCs w:val="0"/>
                <w:sz w:val="21"/>
                <w:szCs w:val="21"/>
              </w:rPr>
              <w:t>（1）考核得分90分及以上的，全额支付当个季度服务费；</w:t>
            </w:r>
          </w:p>
          <w:p w14:paraId="4A237256">
            <w:pPr>
              <w:pStyle w:val="9"/>
              <w:jc w:val="both"/>
              <w:rPr>
                <w:rFonts w:hint="eastAsia" w:ascii="宋体" w:hAnsi="宋体" w:cs="宋体"/>
                <w:b w:val="0"/>
                <w:bCs w:val="0"/>
                <w:sz w:val="21"/>
                <w:szCs w:val="21"/>
              </w:rPr>
            </w:pPr>
            <w:r>
              <w:rPr>
                <w:rFonts w:hint="eastAsia" w:ascii="宋体" w:hAnsi="宋体" w:cs="宋体"/>
                <w:b w:val="0"/>
                <w:bCs w:val="0"/>
                <w:sz w:val="21"/>
                <w:szCs w:val="21"/>
              </w:rPr>
              <w:t>（2）考核得分70分—90分（不含）的，只支付当个季度服务费的90%，中标人须在7日内进行整改，整改合格后进行支付；</w:t>
            </w:r>
          </w:p>
          <w:p w14:paraId="04E039F7">
            <w:pPr>
              <w:pStyle w:val="9"/>
              <w:jc w:val="both"/>
              <w:rPr>
                <w:rFonts w:hint="eastAsia" w:ascii="宋体" w:hAnsi="宋体" w:cs="宋体"/>
                <w:b w:val="0"/>
                <w:bCs w:val="0"/>
                <w:sz w:val="21"/>
                <w:szCs w:val="21"/>
              </w:rPr>
            </w:pPr>
            <w:r>
              <w:rPr>
                <w:rFonts w:hint="eastAsia" w:ascii="宋体" w:hAnsi="宋体" w:cs="宋体"/>
                <w:b w:val="0"/>
                <w:bCs w:val="0"/>
                <w:sz w:val="21"/>
                <w:szCs w:val="21"/>
              </w:rPr>
              <w:t>（3）70分以下为不合格，只支付当个季度服务费的80%，并由采购人管理部门约谈中标公司相关负责人，由中标人对保安队伍进行整顿，将整顿报告交由采购人管理部门；</w:t>
            </w:r>
          </w:p>
          <w:p w14:paraId="7982E141">
            <w:pPr>
              <w:pStyle w:val="9"/>
              <w:jc w:val="both"/>
              <w:rPr>
                <w:rFonts w:ascii="宋体" w:hAnsi="宋体" w:cs="宋体"/>
                <w:b w:val="0"/>
                <w:bCs w:val="0"/>
                <w:sz w:val="21"/>
                <w:szCs w:val="21"/>
              </w:rPr>
            </w:pPr>
            <w:r>
              <w:rPr>
                <w:rFonts w:hint="eastAsia" w:ascii="宋体" w:hAnsi="宋体" w:cs="宋体"/>
                <w:b w:val="0"/>
                <w:bCs w:val="0"/>
                <w:sz w:val="21"/>
                <w:szCs w:val="21"/>
              </w:rPr>
              <w:t>（4）中标人如连续两个季度考核不合格，采购人有权无条件解除采购合同。</w:t>
            </w:r>
          </w:p>
        </w:tc>
        <w:tc>
          <w:tcPr>
            <w:tcW w:w="2456" w:type="dxa"/>
            <w:noWrap w:val="0"/>
            <w:vAlign w:val="center"/>
          </w:tcPr>
          <w:p w14:paraId="0ACDCA4C">
            <w:pPr>
              <w:snapToGrid w:val="0"/>
              <w:jc w:val="center"/>
              <w:rPr>
                <w:rFonts w:ascii="宋体" w:hAnsi="宋体"/>
                <w:b w:val="0"/>
                <w:bCs w:val="0"/>
                <w:sz w:val="21"/>
                <w:szCs w:val="21"/>
              </w:rPr>
            </w:pPr>
          </w:p>
        </w:tc>
        <w:tc>
          <w:tcPr>
            <w:tcW w:w="1629" w:type="dxa"/>
            <w:noWrap w:val="0"/>
            <w:vAlign w:val="center"/>
          </w:tcPr>
          <w:p w14:paraId="4E9FD59C">
            <w:pPr>
              <w:snapToGrid w:val="0"/>
              <w:jc w:val="center"/>
              <w:rPr>
                <w:rFonts w:ascii="宋体" w:hAnsi="宋体"/>
                <w:b w:val="0"/>
                <w:bCs w:val="0"/>
                <w:sz w:val="21"/>
                <w:szCs w:val="21"/>
              </w:rPr>
            </w:pPr>
          </w:p>
        </w:tc>
        <w:tc>
          <w:tcPr>
            <w:tcW w:w="662" w:type="dxa"/>
            <w:noWrap w:val="0"/>
            <w:vAlign w:val="center"/>
          </w:tcPr>
          <w:p w14:paraId="32DB13B6">
            <w:pPr>
              <w:snapToGrid w:val="0"/>
              <w:jc w:val="center"/>
              <w:rPr>
                <w:rFonts w:ascii="宋体" w:hAnsi="宋体"/>
                <w:b w:val="0"/>
                <w:bCs w:val="0"/>
                <w:sz w:val="21"/>
                <w:szCs w:val="21"/>
              </w:rPr>
            </w:pPr>
          </w:p>
        </w:tc>
      </w:tr>
      <w:tr w14:paraId="49A84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blHeader/>
        </w:trPr>
        <w:tc>
          <w:tcPr>
            <w:tcW w:w="689" w:type="dxa"/>
            <w:noWrap w:val="0"/>
            <w:vAlign w:val="center"/>
          </w:tcPr>
          <w:p w14:paraId="6059034E">
            <w:pPr>
              <w:jc w:val="center"/>
              <w:rPr>
                <w:rFonts w:hint="eastAsia" w:ascii="宋体" w:hAnsi="宋体" w:eastAsia="宋体"/>
                <w:b w:val="0"/>
                <w:bCs w:val="0"/>
                <w:sz w:val="21"/>
                <w:szCs w:val="21"/>
                <w:lang w:val="en-US" w:eastAsia="zh-CN"/>
              </w:rPr>
            </w:pPr>
            <w:r>
              <w:rPr>
                <w:rFonts w:hint="eastAsia" w:ascii="宋体" w:hAnsi="宋体"/>
                <w:b w:val="0"/>
                <w:bCs w:val="0"/>
                <w:sz w:val="21"/>
                <w:szCs w:val="21"/>
                <w:lang w:val="en-US" w:eastAsia="zh-CN"/>
              </w:rPr>
              <w:t>5</w:t>
            </w:r>
          </w:p>
        </w:tc>
        <w:tc>
          <w:tcPr>
            <w:tcW w:w="4550" w:type="dxa"/>
            <w:noWrap w:val="0"/>
            <w:vAlign w:val="center"/>
          </w:tcPr>
          <w:p w14:paraId="5000ED71">
            <w:pPr>
              <w:pStyle w:val="9"/>
              <w:jc w:val="both"/>
              <w:rPr>
                <w:rFonts w:hint="eastAsia" w:ascii="宋体" w:hAnsi="宋体" w:cs="宋体"/>
                <w:b w:val="0"/>
                <w:bCs w:val="0"/>
                <w:sz w:val="21"/>
                <w:szCs w:val="21"/>
              </w:rPr>
            </w:pPr>
            <w:r>
              <w:rPr>
                <w:rFonts w:hint="eastAsia" w:ascii="宋体" w:hAnsi="宋体" w:cs="宋体"/>
                <w:b w:val="0"/>
                <w:bCs w:val="0"/>
                <w:sz w:val="21"/>
                <w:szCs w:val="21"/>
              </w:rPr>
              <w:t>（五）履约验收方式和标准</w:t>
            </w:r>
          </w:p>
          <w:p w14:paraId="38912F52">
            <w:pPr>
              <w:pStyle w:val="9"/>
              <w:jc w:val="both"/>
              <w:rPr>
                <w:rFonts w:hint="eastAsia" w:ascii="宋体" w:hAnsi="宋体" w:cs="宋体"/>
                <w:b w:val="0"/>
                <w:bCs w:val="0"/>
                <w:sz w:val="21"/>
                <w:szCs w:val="21"/>
              </w:rPr>
            </w:pPr>
            <w:r>
              <w:rPr>
                <w:rFonts w:hint="eastAsia" w:ascii="宋体" w:hAnsi="宋体" w:cs="宋体"/>
                <w:b w:val="0"/>
                <w:bCs w:val="0"/>
                <w:sz w:val="21"/>
                <w:szCs w:val="21"/>
              </w:rPr>
              <w:t xml:space="preserve">1、采购人按采购文件的服务要求和技术指标、中标供应商的投标文件及承诺与本项目合同约定标准进行验收。 </w:t>
            </w:r>
          </w:p>
          <w:p w14:paraId="39C384D8">
            <w:pPr>
              <w:pStyle w:val="9"/>
              <w:jc w:val="both"/>
              <w:rPr>
                <w:rFonts w:ascii="宋体" w:hAnsi="宋体" w:cs="宋体"/>
                <w:b w:val="0"/>
                <w:bCs w:val="0"/>
                <w:sz w:val="21"/>
                <w:szCs w:val="21"/>
              </w:rPr>
            </w:pPr>
            <w:r>
              <w:rPr>
                <w:rFonts w:hint="eastAsia" w:ascii="宋体" w:hAnsi="宋体" w:cs="宋体"/>
                <w:b w:val="0"/>
                <w:bCs w:val="0"/>
                <w:sz w:val="21"/>
                <w:szCs w:val="21"/>
              </w:rPr>
              <w:t>2、严格按照《财政部关于进一步加强政府采购和履约验收管理的指导意见》（财库〔2016〕205号）和《海南省政府采购履约验收管理暂行办法》的通知（琼财采规〔2023〕16号）的要求及其他相关法律法规进行验收。</w:t>
            </w:r>
          </w:p>
        </w:tc>
        <w:tc>
          <w:tcPr>
            <w:tcW w:w="2456" w:type="dxa"/>
            <w:noWrap w:val="0"/>
            <w:vAlign w:val="center"/>
          </w:tcPr>
          <w:p w14:paraId="2C3F280B">
            <w:pPr>
              <w:snapToGrid w:val="0"/>
              <w:jc w:val="center"/>
              <w:rPr>
                <w:rFonts w:ascii="宋体" w:hAnsi="宋体"/>
                <w:b w:val="0"/>
                <w:bCs w:val="0"/>
                <w:sz w:val="21"/>
                <w:szCs w:val="21"/>
              </w:rPr>
            </w:pPr>
          </w:p>
        </w:tc>
        <w:tc>
          <w:tcPr>
            <w:tcW w:w="1629" w:type="dxa"/>
            <w:noWrap w:val="0"/>
            <w:vAlign w:val="center"/>
          </w:tcPr>
          <w:p w14:paraId="106CE575">
            <w:pPr>
              <w:snapToGrid w:val="0"/>
              <w:jc w:val="center"/>
              <w:rPr>
                <w:rFonts w:ascii="宋体" w:hAnsi="宋体"/>
                <w:b w:val="0"/>
                <w:bCs w:val="0"/>
                <w:sz w:val="21"/>
                <w:szCs w:val="21"/>
              </w:rPr>
            </w:pPr>
          </w:p>
        </w:tc>
        <w:tc>
          <w:tcPr>
            <w:tcW w:w="662" w:type="dxa"/>
            <w:noWrap w:val="0"/>
            <w:vAlign w:val="center"/>
          </w:tcPr>
          <w:p w14:paraId="5BEA89E1">
            <w:pPr>
              <w:snapToGrid w:val="0"/>
              <w:jc w:val="center"/>
              <w:rPr>
                <w:rFonts w:ascii="宋体" w:hAnsi="宋体"/>
                <w:b w:val="0"/>
                <w:bCs w:val="0"/>
                <w:sz w:val="21"/>
                <w:szCs w:val="21"/>
              </w:rPr>
            </w:pPr>
          </w:p>
        </w:tc>
      </w:tr>
      <w:tr w14:paraId="573B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blHeader/>
        </w:trPr>
        <w:tc>
          <w:tcPr>
            <w:tcW w:w="689" w:type="dxa"/>
            <w:noWrap w:val="0"/>
            <w:vAlign w:val="center"/>
          </w:tcPr>
          <w:p w14:paraId="3B91AB63">
            <w:pPr>
              <w:jc w:val="center"/>
              <w:rPr>
                <w:rFonts w:hint="default" w:ascii="宋体" w:hAnsi="宋体"/>
                <w:b w:val="0"/>
                <w:bCs w:val="0"/>
                <w:sz w:val="21"/>
                <w:szCs w:val="21"/>
                <w:lang w:val="en-US" w:eastAsia="zh-CN"/>
              </w:rPr>
            </w:pPr>
            <w:r>
              <w:rPr>
                <w:rFonts w:hint="eastAsia" w:ascii="宋体" w:hAnsi="宋体"/>
                <w:b w:val="0"/>
                <w:bCs w:val="0"/>
                <w:sz w:val="21"/>
                <w:szCs w:val="21"/>
                <w:lang w:val="en-US" w:eastAsia="zh-CN"/>
              </w:rPr>
              <w:t>6</w:t>
            </w:r>
          </w:p>
        </w:tc>
        <w:tc>
          <w:tcPr>
            <w:tcW w:w="4550" w:type="dxa"/>
            <w:noWrap w:val="0"/>
            <w:vAlign w:val="center"/>
          </w:tcPr>
          <w:p w14:paraId="2AEFE911">
            <w:pPr>
              <w:pStyle w:val="9"/>
              <w:jc w:val="both"/>
              <w:rPr>
                <w:rFonts w:hint="eastAsia" w:ascii="宋体" w:hAnsi="宋体" w:cs="宋体"/>
                <w:b w:val="0"/>
                <w:bCs w:val="0"/>
                <w:sz w:val="21"/>
                <w:szCs w:val="21"/>
              </w:rPr>
            </w:pPr>
            <w:r>
              <w:rPr>
                <w:rFonts w:hint="eastAsia" w:ascii="宋体" w:hAnsi="宋体" w:cs="宋体"/>
                <w:b w:val="0"/>
                <w:bCs w:val="0"/>
                <w:sz w:val="21"/>
                <w:szCs w:val="21"/>
              </w:rPr>
              <w:t>（六）违约责任与解决争议的方法</w:t>
            </w:r>
          </w:p>
          <w:p w14:paraId="222DCD3A">
            <w:pPr>
              <w:pStyle w:val="9"/>
              <w:jc w:val="both"/>
              <w:rPr>
                <w:rFonts w:hint="eastAsia" w:ascii="宋体" w:hAnsi="宋体" w:cs="宋体"/>
                <w:b w:val="0"/>
                <w:bCs w:val="0"/>
                <w:sz w:val="21"/>
                <w:szCs w:val="21"/>
              </w:rPr>
            </w:pPr>
            <w:r>
              <w:rPr>
                <w:rFonts w:hint="eastAsia" w:ascii="宋体" w:hAnsi="宋体" w:cs="宋体"/>
                <w:b w:val="0"/>
                <w:bCs w:val="0"/>
                <w:sz w:val="21"/>
                <w:szCs w:val="21"/>
              </w:rPr>
              <w:t>（1）合同有效期内，除合同规定及法律规定外任何一方未经对方同意单方解除合同，应承担违的责任。</w:t>
            </w:r>
          </w:p>
          <w:p w14:paraId="66678FB1">
            <w:pPr>
              <w:pStyle w:val="9"/>
              <w:jc w:val="both"/>
              <w:rPr>
                <w:rFonts w:hint="eastAsia" w:ascii="宋体" w:hAnsi="宋体" w:cs="宋体"/>
                <w:b w:val="0"/>
                <w:bCs w:val="0"/>
                <w:sz w:val="21"/>
                <w:szCs w:val="21"/>
              </w:rPr>
            </w:pPr>
            <w:r>
              <w:rPr>
                <w:rFonts w:hint="eastAsia" w:ascii="宋体" w:hAnsi="宋体" w:cs="宋体"/>
                <w:b w:val="0"/>
                <w:bCs w:val="0"/>
                <w:sz w:val="21"/>
                <w:szCs w:val="21"/>
              </w:rPr>
              <w:t>（2）中标方未按合同约定履行合同义务的，应视为中标方违约，采购人有权单方面解除合同，同时中标方还应向采购人支付两个月保安服务费的违约金。违约金不足经弥补采购人经济损失的，采购人有权继续追偿。</w:t>
            </w:r>
          </w:p>
          <w:p w14:paraId="1E4C99B1">
            <w:pPr>
              <w:pStyle w:val="9"/>
              <w:jc w:val="both"/>
              <w:rPr>
                <w:rFonts w:hint="eastAsia" w:ascii="宋体" w:hAnsi="宋体" w:cs="宋体"/>
                <w:b w:val="0"/>
                <w:bCs w:val="0"/>
                <w:sz w:val="21"/>
                <w:szCs w:val="21"/>
              </w:rPr>
            </w:pPr>
            <w:r>
              <w:rPr>
                <w:rFonts w:hint="eastAsia" w:ascii="宋体" w:hAnsi="宋体" w:cs="宋体"/>
                <w:b w:val="0"/>
                <w:bCs w:val="0"/>
                <w:sz w:val="21"/>
                <w:szCs w:val="21"/>
              </w:rPr>
              <w:t>（3）争议的解决：在合同履行中如果发生争议，由双方协商解决，协商不成的，双方均有权向采购人所在地的人民法院提起诉讼。</w:t>
            </w:r>
          </w:p>
        </w:tc>
        <w:tc>
          <w:tcPr>
            <w:tcW w:w="2456" w:type="dxa"/>
            <w:noWrap w:val="0"/>
            <w:vAlign w:val="center"/>
          </w:tcPr>
          <w:p w14:paraId="71FAEB50">
            <w:pPr>
              <w:snapToGrid w:val="0"/>
              <w:jc w:val="center"/>
              <w:rPr>
                <w:rFonts w:ascii="宋体" w:hAnsi="宋体"/>
                <w:b w:val="0"/>
                <w:bCs w:val="0"/>
                <w:sz w:val="21"/>
                <w:szCs w:val="21"/>
              </w:rPr>
            </w:pPr>
          </w:p>
        </w:tc>
        <w:tc>
          <w:tcPr>
            <w:tcW w:w="1629" w:type="dxa"/>
            <w:noWrap w:val="0"/>
            <w:vAlign w:val="center"/>
          </w:tcPr>
          <w:p w14:paraId="42894E31">
            <w:pPr>
              <w:snapToGrid w:val="0"/>
              <w:jc w:val="center"/>
              <w:rPr>
                <w:rFonts w:ascii="宋体" w:hAnsi="宋体"/>
                <w:b w:val="0"/>
                <w:bCs w:val="0"/>
                <w:sz w:val="21"/>
                <w:szCs w:val="21"/>
              </w:rPr>
            </w:pPr>
          </w:p>
        </w:tc>
        <w:tc>
          <w:tcPr>
            <w:tcW w:w="662" w:type="dxa"/>
            <w:noWrap w:val="0"/>
            <w:vAlign w:val="center"/>
          </w:tcPr>
          <w:p w14:paraId="0C830B36">
            <w:pPr>
              <w:snapToGrid w:val="0"/>
              <w:jc w:val="center"/>
              <w:rPr>
                <w:rFonts w:ascii="宋体" w:hAnsi="宋体"/>
                <w:b w:val="0"/>
                <w:bCs w:val="0"/>
                <w:sz w:val="21"/>
                <w:szCs w:val="21"/>
              </w:rPr>
            </w:pPr>
          </w:p>
        </w:tc>
      </w:tr>
    </w:tbl>
    <w:p w14:paraId="23FFD649">
      <w:pPr>
        <w:spacing w:line="360" w:lineRule="auto"/>
        <w:ind w:firstLine="360" w:firstLineChars="200"/>
        <w:rPr>
          <w:rFonts w:hint="eastAsia" w:ascii="宋体" w:hAnsi="宋体"/>
          <w:sz w:val="18"/>
          <w:szCs w:val="18"/>
        </w:rPr>
      </w:pPr>
      <w:r>
        <w:rPr>
          <w:rFonts w:hint="eastAsia" w:ascii="宋体" w:hAnsi="宋体"/>
          <w:sz w:val="18"/>
          <w:szCs w:val="18"/>
        </w:rPr>
        <w:t xml:space="preserve">   </w:t>
      </w:r>
    </w:p>
    <w:p w14:paraId="4C179154">
      <w:pPr>
        <w:spacing w:line="360" w:lineRule="auto"/>
        <w:ind w:firstLine="360" w:firstLineChars="200"/>
        <w:rPr>
          <w:rFonts w:hint="eastAsia" w:ascii="宋体" w:hAnsi="宋体"/>
          <w:sz w:val="24"/>
          <w:szCs w:val="24"/>
        </w:rPr>
      </w:pPr>
      <w:bookmarkStart w:id="0" w:name="_GoBack"/>
      <w:bookmarkEnd w:id="0"/>
      <w:r>
        <w:rPr>
          <w:rFonts w:hint="eastAsia" w:ascii="宋体" w:hAnsi="宋体"/>
          <w:sz w:val="18"/>
          <w:szCs w:val="18"/>
        </w:rPr>
        <w:t xml:space="preserve">           </w:t>
      </w:r>
    </w:p>
    <w:p w14:paraId="240E2810">
      <w:pPr>
        <w:spacing w:line="360" w:lineRule="auto"/>
        <w:ind w:firstLine="360" w:firstLineChars="200"/>
        <w:rPr>
          <w:rFonts w:hint="eastAsia" w:ascii="宋体" w:hAnsi="宋体"/>
          <w:sz w:val="18"/>
          <w:szCs w:val="18"/>
        </w:rPr>
      </w:pPr>
      <w:r>
        <w:rPr>
          <w:rFonts w:hint="eastAsia" w:ascii="宋体" w:hAnsi="宋体"/>
          <w:sz w:val="18"/>
          <w:szCs w:val="18"/>
        </w:rPr>
        <w:t>注：1</w:t>
      </w:r>
      <w:r>
        <w:rPr>
          <w:rFonts w:hint="eastAsia" w:ascii="宋体" w:hAnsi="宋体"/>
          <w:sz w:val="18"/>
          <w:szCs w:val="18"/>
          <w:lang w:val="en-US" w:eastAsia="zh-CN"/>
        </w:rPr>
        <w:t>.</w:t>
      </w:r>
      <w:r>
        <w:rPr>
          <w:rFonts w:hint="eastAsia" w:ascii="宋体" w:hAnsi="宋体"/>
          <w:sz w:val="18"/>
          <w:szCs w:val="18"/>
        </w:rPr>
        <w:t>此表为表样，行数可自行添加，但表式不变。</w:t>
      </w:r>
      <w:r>
        <w:rPr>
          <w:rFonts w:hint="eastAsia" w:ascii="宋体" w:hAnsi="宋体"/>
          <w:sz w:val="18"/>
          <w:szCs w:val="18"/>
        </w:rPr>
        <w:tab/>
      </w:r>
    </w:p>
    <w:p w14:paraId="73E49B92">
      <w:pPr>
        <w:spacing w:line="360" w:lineRule="auto"/>
        <w:ind w:firstLine="360" w:firstLineChars="200"/>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.竞争性磋商</w:t>
      </w:r>
      <w:r>
        <w:rPr>
          <w:rFonts w:hint="eastAsia" w:ascii="宋体" w:hAnsi="宋体"/>
          <w:sz w:val="18"/>
          <w:szCs w:val="18"/>
          <w:lang w:eastAsia="zh-CN"/>
        </w:rPr>
        <w:t>文件“第三章</w:t>
      </w:r>
      <w:r>
        <w:rPr>
          <w:rFonts w:hint="eastAsia" w:ascii="宋体" w:hAnsi="宋体"/>
          <w:sz w:val="18"/>
          <w:szCs w:val="18"/>
          <w:lang w:val="en-US" w:eastAsia="zh-CN"/>
        </w:rPr>
        <w:t xml:space="preserve"> 采购需求</w:t>
      </w:r>
      <w:r>
        <w:rPr>
          <w:rFonts w:hint="eastAsia" w:ascii="宋体" w:hAnsi="宋体"/>
          <w:sz w:val="18"/>
          <w:szCs w:val="18"/>
          <w:lang w:eastAsia="zh-CN"/>
        </w:rPr>
        <w:t>”未要求在该表中进行响应的商务条款，供应商无需填写；可是，供应商</w:t>
      </w:r>
      <w:r>
        <w:rPr>
          <w:rFonts w:hint="eastAsia" w:ascii="宋体" w:hAnsi="宋体"/>
          <w:sz w:val="18"/>
          <w:szCs w:val="18"/>
        </w:rPr>
        <w:t>根据</w:t>
      </w:r>
      <w:r>
        <w:rPr>
          <w:rFonts w:hint="eastAsia" w:ascii="宋体" w:hAnsi="宋体"/>
          <w:sz w:val="18"/>
          <w:szCs w:val="18"/>
          <w:lang w:eastAsia="zh-CN"/>
        </w:rPr>
        <w:t>项目情况需要</w:t>
      </w:r>
      <w:r>
        <w:rPr>
          <w:rFonts w:hint="eastAsia" w:ascii="宋体" w:hAnsi="宋体"/>
          <w:sz w:val="18"/>
          <w:szCs w:val="18"/>
        </w:rPr>
        <w:t>添加的设备、材料</w:t>
      </w:r>
      <w:r>
        <w:rPr>
          <w:rFonts w:hint="eastAsia" w:ascii="宋体" w:hAnsi="宋体"/>
          <w:sz w:val="18"/>
          <w:szCs w:val="18"/>
          <w:lang w:eastAsia="zh-CN"/>
        </w:rPr>
        <w:t>、服务</w:t>
      </w:r>
      <w:r>
        <w:rPr>
          <w:rFonts w:hint="eastAsia" w:ascii="宋体" w:hAnsi="宋体"/>
          <w:sz w:val="18"/>
          <w:szCs w:val="18"/>
        </w:rPr>
        <w:t>等</w:t>
      </w:r>
      <w:r>
        <w:rPr>
          <w:rFonts w:hint="eastAsia" w:ascii="宋体" w:hAnsi="宋体"/>
          <w:sz w:val="18"/>
          <w:szCs w:val="18"/>
          <w:lang w:eastAsia="zh-CN"/>
        </w:rPr>
        <w:t>请</w:t>
      </w:r>
      <w:r>
        <w:rPr>
          <w:rFonts w:hint="eastAsia" w:ascii="宋体" w:hAnsi="宋体"/>
          <w:sz w:val="18"/>
          <w:szCs w:val="18"/>
        </w:rPr>
        <w:t>列出</w:t>
      </w:r>
      <w:r>
        <w:rPr>
          <w:rFonts w:hint="eastAsia" w:ascii="宋体" w:hAnsi="宋体"/>
          <w:sz w:val="18"/>
          <w:szCs w:val="18"/>
          <w:lang w:val="en" w:eastAsia="zh-CN"/>
        </w:rPr>
        <w:t>，</w:t>
      </w:r>
      <w:r>
        <w:rPr>
          <w:rFonts w:hint="eastAsia" w:ascii="宋体" w:hAnsi="宋体"/>
          <w:sz w:val="18"/>
          <w:szCs w:val="18"/>
        </w:rPr>
        <w:t>但不作为无效投标</w:t>
      </w:r>
      <w:r>
        <w:rPr>
          <w:rFonts w:hint="eastAsia" w:ascii="宋体" w:hAnsi="宋体"/>
          <w:sz w:val="18"/>
          <w:szCs w:val="18"/>
          <w:lang w:eastAsia="zh-CN"/>
        </w:rPr>
        <w:t>的依据</w:t>
      </w:r>
      <w:r>
        <w:rPr>
          <w:rFonts w:hint="eastAsia" w:ascii="宋体" w:hAnsi="宋体"/>
          <w:sz w:val="18"/>
          <w:szCs w:val="18"/>
        </w:rPr>
        <w:t>。</w:t>
      </w:r>
    </w:p>
    <w:p w14:paraId="767A680B">
      <w:pPr>
        <w:spacing w:line="360" w:lineRule="auto"/>
        <w:ind w:firstLine="360" w:firstLineChars="200"/>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请在“</w:t>
      </w:r>
      <w:r>
        <w:rPr>
          <w:rFonts w:hint="eastAsia" w:ascii="宋体" w:hAnsi="宋体"/>
          <w:sz w:val="18"/>
          <w:szCs w:val="18"/>
          <w:lang w:eastAsia="zh-CN"/>
        </w:rPr>
        <w:t>供应商</w:t>
      </w:r>
      <w:r>
        <w:rPr>
          <w:rFonts w:hint="eastAsia" w:ascii="宋体" w:hAnsi="宋体"/>
          <w:sz w:val="18"/>
          <w:szCs w:val="18"/>
        </w:rPr>
        <w:t>商务响应情况描述” 中列出</w:t>
      </w:r>
      <w:r>
        <w:rPr>
          <w:rFonts w:hint="eastAsia" w:ascii="宋体" w:hAnsi="宋体"/>
          <w:sz w:val="18"/>
          <w:szCs w:val="18"/>
          <w:lang w:eastAsia="zh-CN"/>
        </w:rPr>
        <w:t>标的</w:t>
      </w:r>
      <w:r>
        <w:rPr>
          <w:rFonts w:hint="eastAsia" w:ascii="宋体" w:hAnsi="宋体"/>
          <w:sz w:val="18"/>
          <w:szCs w:val="18"/>
        </w:rPr>
        <w:t>的详细参数情况。</w:t>
      </w:r>
    </w:p>
    <w:p w14:paraId="5999F2BF">
      <w:pPr>
        <w:spacing w:line="360" w:lineRule="auto"/>
        <w:ind w:firstLine="360" w:firstLineChars="200"/>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“响应情况说明”应按下列规定填写</w:t>
      </w:r>
      <w:r>
        <w:rPr>
          <w:rFonts w:hint="eastAsia" w:ascii="宋体" w:hAnsi="宋体"/>
          <w:sz w:val="18"/>
          <w:szCs w:val="18"/>
          <w:lang w:eastAsia="zh-CN"/>
        </w:rPr>
        <w:t>对</w:t>
      </w:r>
      <w:r>
        <w:rPr>
          <w:rFonts w:hint="eastAsia" w:ascii="宋体" w:hAnsi="宋体"/>
          <w:sz w:val="18"/>
          <w:szCs w:val="18"/>
          <w:lang w:val="en-US" w:eastAsia="zh-CN"/>
        </w:rPr>
        <w:t>竞争性磋商</w:t>
      </w:r>
      <w:r>
        <w:rPr>
          <w:rFonts w:hint="eastAsia" w:ascii="宋体" w:hAnsi="宋体"/>
          <w:sz w:val="18"/>
          <w:szCs w:val="18"/>
          <w:lang w:eastAsia="zh-CN"/>
        </w:rPr>
        <w:t>文件</w:t>
      </w:r>
      <w:r>
        <w:rPr>
          <w:rFonts w:hint="eastAsia" w:ascii="宋体" w:hAnsi="宋体"/>
          <w:sz w:val="18"/>
          <w:szCs w:val="18"/>
        </w:rPr>
        <w:t>商务条款</w:t>
      </w:r>
      <w:r>
        <w:rPr>
          <w:rFonts w:hint="eastAsia" w:ascii="宋体" w:hAnsi="宋体"/>
          <w:sz w:val="18"/>
          <w:szCs w:val="18"/>
          <w:lang w:eastAsia="zh-CN"/>
        </w:rPr>
        <w:t>的响应情况</w:t>
      </w:r>
      <w:r>
        <w:rPr>
          <w:rFonts w:hint="eastAsia" w:ascii="宋体" w:hAnsi="宋体"/>
          <w:sz w:val="18"/>
          <w:szCs w:val="18"/>
        </w:rPr>
        <w:t>：优于的</w:t>
      </w:r>
      <w:r>
        <w:rPr>
          <w:rFonts w:hint="eastAsia" w:ascii="宋体" w:hAnsi="宋体"/>
          <w:sz w:val="18"/>
          <w:szCs w:val="18"/>
          <w:lang w:eastAsia="zh-CN"/>
        </w:rPr>
        <w:t>视为正偏离</w:t>
      </w:r>
      <w:r>
        <w:rPr>
          <w:rFonts w:hint="eastAsia" w:ascii="宋体" w:hAnsi="宋体"/>
          <w:sz w:val="18"/>
          <w:szCs w:val="18"/>
        </w:rPr>
        <w:t>，填写“＋”；符合的</w:t>
      </w:r>
      <w:r>
        <w:rPr>
          <w:rFonts w:hint="eastAsia" w:ascii="宋体" w:hAnsi="宋体"/>
          <w:sz w:val="18"/>
          <w:szCs w:val="18"/>
          <w:lang w:eastAsia="zh-CN"/>
        </w:rPr>
        <w:t>视为满足</w:t>
      </w:r>
      <w:r>
        <w:rPr>
          <w:rFonts w:hint="eastAsia" w:ascii="宋体" w:hAnsi="宋体"/>
          <w:sz w:val="18"/>
          <w:szCs w:val="18"/>
        </w:rPr>
        <w:t>，填写“=”；低于的</w:t>
      </w:r>
      <w:r>
        <w:rPr>
          <w:rFonts w:hint="eastAsia" w:ascii="宋体" w:hAnsi="宋体"/>
          <w:sz w:val="18"/>
          <w:szCs w:val="18"/>
          <w:lang w:eastAsia="zh-CN"/>
        </w:rPr>
        <w:t>视为负偏离或不满足</w:t>
      </w:r>
      <w:r>
        <w:rPr>
          <w:rFonts w:hint="eastAsia" w:ascii="宋体" w:hAnsi="宋体"/>
          <w:sz w:val="18"/>
          <w:szCs w:val="18"/>
        </w:rPr>
        <w:t>，填写“-”</w:t>
      </w:r>
      <w:r>
        <w:rPr>
          <w:rFonts w:hint="eastAsia" w:ascii="宋体" w:hAnsi="宋体"/>
          <w:sz w:val="18"/>
          <w:szCs w:val="18"/>
          <w:lang w:eastAsia="zh-CN"/>
        </w:rPr>
        <w:t>；如不按规定填写或不填写的，均视为不响应</w:t>
      </w:r>
      <w:r>
        <w:rPr>
          <w:rFonts w:hint="eastAsia" w:ascii="宋体" w:hAnsi="宋体"/>
          <w:sz w:val="18"/>
          <w:szCs w:val="18"/>
        </w:rPr>
        <w:t>。</w:t>
      </w:r>
    </w:p>
    <w:p w14:paraId="7FB97C49">
      <w:pPr>
        <w:spacing w:line="360" w:lineRule="auto"/>
        <w:ind w:firstLine="360" w:firstLineChars="200"/>
        <w:rPr>
          <w:rFonts w:hint="eastAsia" w:ascii="宋体" w:hAnsi="宋体"/>
          <w:sz w:val="18"/>
          <w:szCs w:val="18"/>
        </w:rPr>
      </w:pPr>
      <w:r>
        <w:rPr>
          <w:rFonts w:hint="eastAsia" w:ascii="宋体" w:hAnsi="宋体"/>
          <w:sz w:val="18"/>
          <w:szCs w:val="18"/>
        </w:rPr>
        <w:t>5</w:t>
      </w:r>
      <w:r>
        <w:rPr>
          <w:rFonts w:hint="eastAsia" w:ascii="宋体" w:hAnsi="宋体"/>
          <w:sz w:val="18"/>
          <w:szCs w:val="18"/>
          <w:lang w:val="en-US" w:eastAsia="zh-CN"/>
        </w:rPr>
        <w:t>.竞争性磋商</w:t>
      </w:r>
      <w:r>
        <w:rPr>
          <w:rFonts w:hint="eastAsia" w:ascii="宋体" w:hAnsi="宋体"/>
          <w:sz w:val="18"/>
          <w:szCs w:val="18"/>
        </w:rPr>
        <w:t>文件有标注“★”条款</w:t>
      </w:r>
      <w:r>
        <w:rPr>
          <w:rFonts w:hint="eastAsia" w:ascii="宋体" w:hAnsi="宋体"/>
          <w:sz w:val="18"/>
          <w:szCs w:val="18"/>
          <w:lang w:eastAsia="zh-CN"/>
        </w:rPr>
        <w:t>的</w:t>
      </w:r>
      <w:r>
        <w:rPr>
          <w:rFonts w:hint="eastAsia" w:ascii="宋体" w:hAnsi="宋体"/>
          <w:sz w:val="18"/>
          <w:szCs w:val="18"/>
        </w:rPr>
        <w:t>为实质性条款，若有任何一条负偏离或不满足则导致投标无效。</w:t>
      </w:r>
      <w:r>
        <w:rPr>
          <w:rFonts w:hint="eastAsia" w:ascii="宋体" w:hAnsi="宋体"/>
          <w:sz w:val="18"/>
          <w:szCs w:val="18"/>
          <w:lang w:eastAsia="zh-CN"/>
        </w:rPr>
        <w:t>非</w:t>
      </w:r>
      <w:r>
        <w:rPr>
          <w:rFonts w:hint="eastAsia" w:ascii="宋体" w:hAnsi="宋体"/>
          <w:sz w:val="18"/>
          <w:szCs w:val="18"/>
        </w:rPr>
        <w:t>“★”号条款未响应或不满足</w:t>
      </w:r>
      <w:r>
        <w:rPr>
          <w:rFonts w:hint="eastAsia" w:ascii="宋体" w:hAnsi="宋体"/>
          <w:sz w:val="18"/>
          <w:szCs w:val="18"/>
          <w:lang w:eastAsia="zh-CN"/>
        </w:rPr>
        <w:t>（负偏离）</w:t>
      </w:r>
      <w:r>
        <w:rPr>
          <w:rFonts w:hint="eastAsia" w:ascii="宋体" w:hAnsi="宋体"/>
          <w:sz w:val="18"/>
          <w:szCs w:val="18"/>
        </w:rPr>
        <w:t>，将根据评审要求影响其得分，但不作为无效投标条款。</w:t>
      </w:r>
    </w:p>
    <w:p w14:paraId="32886A10">
      <w:pPr>
        <w:spacing w:line="360" w:lineRule="auto"/>
        <w:ind w:firstLine="480" w:firstLineChars="200"/>
        <w:rPr>
          <w:rFonts w:hint="eastAsia" w:ascii="宋体" w:hAnsi="宋体"/>
          <w:sz w:val="24"/>
          <w:szCs w:val="24"/>
        </w:rPr>
      </w:pPr>
    </w:p>
    <w:p w14:paraId="019F3467">
      <w:pPr>
        <w:spacing w:line="360" w:lineRule="auto"/>
        <w:ind w:firstLine="482" w:firstLineChars="200"/>
        <w:jc w:val="right"/>
        <w:rPr>
          <w:rFonts w:hint="eastAsia" w:ascii="宋体" w:hAnsi="宋体"/>
          <w:b/>
          <w:bCs/>
          <w:sz w:val="24"/>
          <w:szCs w:val="24"/>
        </w:rPr>
      </w:pPr>
      <w:r>
        <w:rPr>
          <w:rFonts w:hint="eastAsia" w:ascii="宋体" w:hAnsi="宋体"/>
          <w:b/>
          <w:bCs/>
          <w:sz w:val="24"/>
          <w:szCs w:val="24"/>
          <w:lang w:eastAsia="zh-CN"/>
        </w:rPr>
        <w:t>供应商</w:t>
      </w:r>
      <w:r>
        <w:rPr>
          <w:rFonts w:hint="eastAsia" w:ascii="宋体" w:hAnsi="宋体"/>
          <w:b/>
          <w:bCs/>
          <w:sz w:val="24"/>
          <w:szCs w:val="24"/>
        </w:rPr>
        <w:t>全称（公章）：</w:t>
      </w:r>
    </w:p>
    <w:p w14:paraId="19F1286E">
      <w:pPr>
        <w:jc w:val="right"/>
        <w:rPr>
          <w:rFonts w:hint="eastAsia" w:ascii="宋体" w:hAnsi="宋体"/>
          <w:b/>
          <w:bCs/>
          <w:sz w:val="24"/>
          <w:szCs w:val="24"/>
          <w:lang w:eastAsia="zh-CN"/>
        </w:rPr>
      </w:pPr>
    </w:p>
    <w:p w14:paraId="4478F3D5">
      <w:pPr>
        <w:jc w:val="right"/>
        <w:rPr>
          <w:b/>
          <w:bCs/>
        </w:rPr>
      </w:pPr>
      <w:r>
        <w:rPr>
          <w:rFonts w:hint="eastAsia" w:ascii="宋体" w:hAnsi="宋体"/>
          <w:b/>
          <w:bCs/>
          <w:sz w:val="24"/>
          <w:szCs w:val="24"/>
          <w:lang w:eastAsia="zh-CN"/>
        </w:rPr>
        <w:t>年</w:t>
      </w:r>
      <w:r>
        <w:rPr>
          <w:rFonts w:hint="eastAsia" w:ascii="宋体" w:hAnsi="宋体"/>
          <w:b/>
          <w:bCs/>
          <w:sz w:val="24"/>
          <w:szCs w:val="24"/>
          <w:lang w:val="en-US" w:eastAsia="zh-CN"/>
        </w:rPr>
        <w:t xml:space="preserve">   月   日</w:t>
      </w:r>
      <w:r>
        <w:rPr>
          <w:rFonts w:hint="eastAsia" w:ascii="宋体" w:hAnsi="宋体"/>
          <w:b/>
          <w:bCs/>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Lucida Sans Unicode">
    <w:panose1 w:val="020B0602030504020204"/>
    <w:charset w:val="00"/>
    <w:family w:val="swiss"/>
    <w:pitch w:val="default"/>
    <w:sig w:usb0="80001AFF" w:usb1="0000396B" w:usb2="00000000" w:usb3="00000000" w:csb0="200000BF" w:csb1="D7F7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33F1F"/>
    <w:rsid w:val="0D627511"/>
    <w:rsid w:val="1E666F0F"/>
    <w:rsid w:val="25E06AE5"/>
    <w:rsid w:val="328C7233"/>
    <w:rsid w:val="36DC7E2E"/>
    <w:rsid w:val="6A941C46"/>
    <w:rsid w:val="6B793E0E"/>
    <w:rsid w:val="6F2278C5"/>
    <w:rsid w:val="74D60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Arial" w:hAnsi="Arial" w:eastAsia="黑体"/>
      <w:sz w:val="20"/>
    </w:rPr>
  </w:style>
  <w:style w:type="paragraph" w:styleId="3">
    <w:name w:val="Body Text"/>
    <w:basedOn w:val="1"/>
    <w:next w:val="4"/>
    <w:qFormat/>
    <w:uiPriority w:val="99"/>
    <w:pPr>
      <w:spacing w:after="120" w:line="360" w:lineRule="auto"/>
      <w:ind w:firstLine="420"/>
    </w:pPr>
    <w:rPr>
      <w:rFonts w:ascii="Calibri" w:hAnsi="Calibri"/>
      <w:lang w:val="zh-CN"/>
    </w:rPr>
  </w:style>
  <w:style w:type="paragraph" w:styleId="4">
    <w:name w:val="Body Text First Indent"/>
    <w:basedOn w:val="3"/>
    <w:unhideWhenUsed/>
    <w:qFormat/>
    <w:uiPriority w:val="99"/>
    <w:pPr>
      <w:ind w:firstLine="420" w:firstLineChars="100"/>
    </w:pPr>
    <w:rPr>
      <w:rFonts w:ascii="等线" w:hAnsi="等线" w:eastAsia="等线" w:cs="Times New Roman"/>
      <w:sz w:val="20"/>
    </w:rPr>
  </w:style>
  <w:style w:type="paragraph" w:styleId="5">
    <w:name w:val="Plain Text"/>
    <w:basedOn w:val="1"/>
    <w:qFormat/>
    <w:uiPriority w:val="0"/>
    <w:rPr>
      <w:rFonts w:ascii="宋体" w:hAnsi="Courier New" w:eastAsia="宋体" w:cs="Courier New"/>
      <w:kern w:val="2"/>
      <w:sz w:val="21"/>
      <w:szCs w:val="21"/>
      <w:lang w:val="en-US" w:eastAsia="zh-CN" w:bidi="ar-SA"/>
    </w:rPr>
  </w:style>
  <w:style w:type="paragraph" w:styleId="6">
    <w:name w:val="header"/>
    <w:basedOn w:val="1"/>
    <w:next w:val="2"/>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1231</Words>
  <Characters>1264</Characters>
  <Lines>0</Lines>
  <Paragraphs>0</Paragraphs>
  <TotalTime>1</TotalTime>
  <ScaleCrop>false</ScaleCrop>
  <LinksUpToDate>false</LinksUpToDate>
  <CharactersWithSpaces>1292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2026-03-02T02:31:00Z</dcterms:created>
  <dc:creator>Administrator</dc:creator>
  <cp:lastModifiedBy>LeeYee</cp:lastModifiedBy>
  <dcterms:modified xsi:type="dcterms:W3CDTF">2026-03-19T06:16:35Z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eyJoZGlkIjoiMTNmNTE5ZDZjMzViNzFmODlhNzA0MGI2OWM3MjA2YjUiLCJ1c2VySWQiOiI1Mjc3MjkxNjgifQ==</vt:lpwstr>
  </property>
  <property fmtid="{D5CDD505-2E9C-101B-9397-08002B2CF9AE}" pid="4" name="ICV">
    <vt:lpwstr>23E84C3EFC004ABE974286546C91AA10_12</vt:lpwstr>
  </property>
</Properties>
</file>