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0934">
      <w:pPr>
        <w:keepNext w:val="0"/>
        <w:keepLines w:val="0"/>
        <w:pageBreakBefore w:val="0"/>
        <w:widowControl w:val="0"/>
        <w:suppressLineNumbers w:val="0"/>
        <w:kinsoku/>
        <w:wordWrap/>
        <w:overflowPunct/>
        <w:topLinePunct w:val="0"/>
        <w:autoSpaceDE/>
        <w:autoSpaceDN/>
        <w:bidi w:val="0"/>
        <w:adjustRightInd/>
        <w:snapToGrid/>
        <w:spacing w:beforeAutospacing="0" w:after="313" w:afterLines="100" w:afterAutospacing="0" w:line="480" w:lineRule="auto"/>
        <w:ind w:left="0" w:right="0"/>
        <w:jc w:val="center"/>
        <w:textAlignment w:val="auto"/>
        <w:rPr>
          <w:rFonts w:hint="eastAsia" w:ascii="仿宋" w:hAnsi="仿宋" w:eastAsia="仿宋" w:cs="仿宋"/>
          <w:b/>
          <w:bCs w:val="0"/>
          <w:kern w:val="2"/>
          <w:sz w:val="32"/>
          <w:szCs w:val="32"/>
          <w:highlight w:val="none"/>
          <w:lang w:val="en-US" w:eastAsia="zh-CN" w:bidi="ar"/>
        </w:rPr>
      </w:pPr>
      <w:r>
        <w:rPr>
          <w:rFonts w:hint="eastAsia" w:ascii="仿宋" w:hAnsi="仿宋" w:eastAsia="仿宋" w:cs="仿宋"/>
          <w:b/>
          <w:bCs w:val="0"/>
          <w:kern w:val="2"/>
          <w:sz w:val="32"/>
          <w:szCs w:val="32"/>
          <w:highlight w:val="none"/>
          <w:lang w:val="en-US" w:eastAsia="zh-CN" w:bidi="ar"/>
        </w:rPr>
        <w:t>带★要求偏差一览表</w:t>
      </w:r>
    </w:p>
    <w:p w14:paraId="79687573">
      <w:pPr>
        <w:keepNext w:val="0"/>
        <w:keepLines w:val="0"/>
        <w:widowControl/>
        <w:suppressLineNumbers w:val="0"/>
        <w:spacing w:before="0" w:beforeAutospacing="0" w:after="0" w:afterAutospacing="0" w:line="360" w:lineRule="auto"/>
        <w:ind w:right="0"/>
        <w:jc w:val="left"/>
        <w:rPr>
          <w:rFonts w:hint="eastAsia" w:ascii="仿宋" w:hAnsi="仿宋" w:eastAsia="仿宋" w:cs="仿宋"/>
          <w:kern w:val="0"/>
          <w:sz w:val="24"/>
          <w:szCs w:val="24"/>
          <w:highlight w:val="none"/>
          <w:lang w:val="en-US" w:eastAsia="zh-CN" w:bidi="ar"/>
        </w:rPr>
      </w:pPr>
      <w:r>
        <w:rPr>
          <w:rFonts w:hint="eastAsia" w:ascii="仿宋" w:hAnsi="仿宋" w:eastAsia="仿宋" w:cs="仿宋"/>
          <w:kern w:val="0"/>
          <w:sz w:val="24"/>
          <w:szCs w:val="24"/>
          <w:highlight w:val="none"/>
          <w:lang w:val="en-US" w:eastAsia="zh-CN" w:bidi="ar"/>
        </w:rPr>
        <w:t>项目名称：2026年拆违（含户外广告）与清运建筑垃圾服务项目</w:t>
      </w:r>
    </w:p>
    <w:p w14:paraId="645F7023">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kern w:val="0"/>
          <w:sz w:val="24"/>
          <w:szCs w:val="24"/>
          <w:highlight w:val="none"/>
          <w:lang w:val="en-US" w:eastAsia="zh-CN" w:bidi="ar"/>
        </w:rPr>
      </w:pPr>
      <w:r>
        <w:rPr>
          <w:rFonts w:hint="eastAsia" w:ascii="仿宋" w:hAnsi="仿宋" w:eastAsia="仿宋" w:cs="仿宋"/>
          <w:kern w:val="0"/>
          <w:sz w:val="24"/>
          <w:szCs w:val="24"/>
          <w:highlight w:val="none"/>
          <w:lang w:val="en-US" w:eastAsia="zh-CN" w:bidi="ar"/>
        </w:rPr>
        <w:t>项目编号：[HNSCY-CG]20260300001[CS]</w:t>
      </w:r>
    </w:p>
    <w:tbl>
      <w:tblPr>
        <w:tblStyle w:val="4"/>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813"/>
        <w:gridCol w:w="2510"/>
        <w:gridCol w:w="1358"/>
        <w:gridCol w:w="1430"/>
      </w:tblGrid>
      <w:tr w14:paraId="21E98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tcBorders>
              <w:top w:val="single" w:color="auto" w:sz="4" w:space="0"/>
              <w:left w:val="single" w:color="auto" w:sz="4" w:space="0"/>
              <w:bottom w:val="single" w:color="auto" w:sz="4" w:space="0"/>
              <w:right w:val="single" w:color="auto" w:sz="4" w:space="0"/>
            </w:tcBorders>
            <w:noWrap w:val="0"/>
            <w:vAlign w:val="center"/>
          </w:tcPr>
          <w:p w14:paraId="4E31A662">
            <w:pPr>
              <w:keepNext w:val="0"/>
              <w:keepLines w:val="0"/>
              <w:widowControl/>
              <w:suppressLineNumbers w:val="0"/>
              <w:spacing w:before="0" w:beforeAutospacing="0" w:after="0" w:afterAutospacing="0" w:line="240" w:lineRule="auto"/>
              <w:ind w:left="0" w:right="0"/>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序号</w:t>
            </w:r>
          </w:p>
        </w:tc>
        <w:tc>
          <w:tcPr>
            <w:tcW w:w="2813" w:type="dxa"/>
            <w:tcBorders>
              <w:top w:val="single" w:color="auto" w:sz="4" w:space="0"/>
              <w:left w:val="single" w:color="auto" w:sz="4" w:space="0"/>
              <w:bottom w:val="single" w:color="auto" w:sz="4" w:space="0"/>
              <w:right w:val="single" w:color="auto" w:sz="4" w:space="0"/>
            </w:tcBorders>
            <w:noWrap w:val="0"/>
            <w:vAlign w:val="center"/>
          </w:tcPr>
          <w:p w14:paraId="4F43989B">
            <w:pPr>
              <w:keepNext w:val="0"/>
              <w:keepLines w:val="0"/>
              <w:widowControl/>
              <w:suppressLineNumbers w:val="0"/>
              <w:spacing w:before="0" w:beforeAutospacing="0" w:after="0" w:afterAutospacing="0" w:line="240" w:lineRule="auto"/>
              <w:ind w:left="0" w:right="0"/>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采购文件技术和服务要求、商务要求条款内</w:t>
            </w:r>
            <w:bookmarkStart w:id="0" w:name="_GoBack"/>
            <w:bookmarkEnd w:id="0"/>
            <w:r>
              <w:rPr>
                <w:rFonts w:hint="eastAsia" w:ascii="仿宋" w:hAnsi="仿宋" w:eastAsia="仿宋" w:cs="仿宋"/>
                <w:color w:val="auto"/>
                <w:kern w:val="0"/>
                <w:sz w:val="21"/>
                <w:szCs w:val="21"/>
                <w:highlight w:val="none"/>
                <w:lang w:val="en-US" w:eastAsia="zh-CN" w:bidi="ar"/>
              </w:rPr>
              <w:t>容</w:t>
            </w:r>
          </w:p>
        </w:tc>
        <w:tc>
          <w:tcPr>
            <w:tcW w:w="2510" w:type="dxa"/>
            <w:tcBorders>
              <w:top w:val="single" w:color="auto" w:sz="4" w:space="0"/>
              <w:left w:val="single" w:color="auto" w:sz="4" w:space="0"/>
              <w:bottom w:val="single" w:color="auto" w:sz="4" w:space="0"/>
              <w:right w:val="single" w:color="auto" w:sz="4" w:space="0"/>
            </w:tcBorders>
            <w:noWrap w:val="0"/>
            <w:vAlign w:val="center"/>
          </w:tcPr>
          <w:p w14:paraId="7FD8ED79">
            <w:pPr>
              <w:keepNext w:val="0"/>
              <w:keepLines w:val="0"/>
              <w:widowControl/>
              <w:suppressLineNumbers w:val="0"/>
              <w:spacing w:before="0" w:beforeAutospacing="0" w:after="0" w:afterAutospacing="0" w:line="240" w:lineRule="auto"/>
              <w:ind w:left="0" w:right="0"/>
              <w:jc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供应商技术响应内容</w:t>
            </w:r>
          </w:p>
        </w:tc>
        <w:tc>
          <w:tcPr>
            <w:tcW w:w="1358" w:type="dxa"/>
            <w:tcBorders>
              <w:top w:val="single" w:color="auto" w:sz="4" w:space="0"/>
              <w:left w:val="single" w:color="auto" w:sz="4" w:space="0"/>
              <w:bottom w:val="single" w:color="auto" w:sz="4" w:space="0"/>
              <w:right w:val="single" w:color="auto" w:sz="4" w:space="0"/>
            </w:tcBorders>
            <w:noWrap w:val="0"/>
            <w:vAlign w:val="center"/>
          </w:tcPr>
          <w:p w14:paraId="0C264BB9">
            <w:pPr>
              <w:keepNext w:val="0"/>
              <w:keepLines w:val="0"/>
              <w:widowControl/>
              <w:suppressLineNumbers w:val="0"/>
              <w:spacing w:before="0" w:beforeAutospacing="0" w:after="0" w:afterAutospacing="0" w:line="240" w:lineRule="auto"/>
              <w:ind w:left="0" w:right="0"/>
              <w:jc w:val="center"/>
              <w:rPr>
                <w:rFonts w:hint="eastAsia" w:ascii="仿宋" w:hAnsi="仿宋" w:eastAsia="仿宋" w:cs="仿宋"/>
                <w:b/>
                <w:bCs w:val="0"/>
                <w:color w:val="auto"/>
                <w:kern w:val="2"/>
                <w:sz w:val="21"/>
                <w:szCs w:val="21"/>
                <w:highlight w:val="none"/>
                <w:u w:val="single"/>
              </w:rPr>
            </w:pPr>
            <w:r>
              <w:rPr>
                <w:rFonts w:hint="eastAsia" w:ascii="仿宋" w:hAnsi="仿宋" w:eastAsia="仿宋" w:cs="仿宋"/>
                <w:color w:val="auto"/>
                <w:kern w:val="0"/>
                <w:sz w:val="21"/>
                <w:szCs w:val="21"/>
                <w:highlight w:val="none"/>
                <w:lang w:val="en-US" w:eastAsia="zh-CN" w:bidi="ar"/>
              </w:rPr>
              <w:t>偏离情况</w:t>
            </w:r>
          </w:p>
        </w:tc>
        <w:tc>
          <w:tcPr>
            <w:tcW w:w="1430" w:type="dxa"/>
            <w:tcBorders>
              <w:top w:val="single" w:color="auto" w:sz="4" w:space="0"/>
              <w:left w:val="single" w:color="auto" w:sz="4" w:space="0"/>
              <w:bottom w:val="single" w:color="auto" w:sz="4" w:space="0"/>
              <w:right w:val="single" w:color="auto" w:sz="4" w:space="0"/>
            </w:tcBorders>
            <w:noWrap w:val="0"/>
            <w:vAlign w:val="center"/>
          </w:tcPr>
          <w:p w14:paraId="495F846E">
            <w:pPr>
              <w:keepNext w:val="0"/>
              <w:keepLines w:val="0"/>
              <w:widowControl/>
              <w:suppressLineNumbers w:val="0"/>
              <w:spacing w:before="0" w:beforeAutospacing="0" w:after="0" w:afterAutospacing="0" w:line="240" w:lineRule="auto"/>
              <w:ind w:left="0" w:right="0"/>
              <w:jc w:val="center"/>
              <w:rPr>
                <w:rFonts w:hint="eastAsia" w:ascii="仿宋" w:hAnsi="仿宋" w:eastAsia="仿宋" w:cs="仿宋"/>
                <w:b/>
                <w:bCs w:val="0"/>
                <w:color w:val="auto"/>
                <w:kern w:val="2"/>
                <w:sz w:val="21"/>
                <w:szCs w:val="21"/>
                <w:highlight w:val="none"/>
                <w:u w:val="single"/>
              </w:rPr>
            </w:pPr>
            <w:r>
              <w:rPr>
                <w:rFonts w:hint="eastAsia" w:ascii="仿宋" w:hAnsi="仿宋" w:eastAsia="仿宋" w:cs="仿宋"/>
                <w:color w:val="auto"/>
                <w:kern w:val="0"/>
                <w:sz w:val="21"/>
                <w:szCs w:val="21"/>
                <w:highlight w:val="none"/>
                <w:lang w:val="en-US" w:eastAsia="zh-CN" w:bidi="ar"/>
              </w:rPr>
              <w:t>备注</w:t>
            </w:r>
          </w:p>
        </w:tc>
      </w:tr>
      <w:tr w14:paraId="5D9E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6" w:type="dxa"/>
            <w:gridSpan w:val="5"/>
            <w:tcBorders>
              <w:top w:val="single" w:color="auto" w:sz="4" w:space="0"/>
              <w:left w:val="single" w:color="auto" w:sz="4" w:space="0"/>
              <w:bottom w:val="single" w:color="auto" w:sz="4" w:space="0"/>
              <w:right w:val="single" w:color="auto" w:sz="4" w:space="0"/>
            </w:tcBorders>
            <w:noWrap w:val="0"/>
            <w:vAlign w:val="center"/>
          </w:tcPr>
          <w:p w14:paraId="70B246AA">
            <w:pPr>
              <w:keepNext w:val="0"/>
              <w:keepLines w:val="0"/>
              <w:widowControl/>
              <w:suppressLineNumbers w:val="0"/>
              <w:spacing w:before="0" w:beforeAutospacing="0" w:after="0" w:afterAutospacing="0" w:line="240" w:lineRule="auto"/>
              <w:ind w:left="0" w:right="0"/>
              <w:jc w:val="center"/>
              <w:rPr>
                <w:rFonts w:hint="default" w:ascii="仿宋" w:hAnsi="仿宋" w:eastAsia="仿宋" w:cs="仿宋"/>
                <w:color w:val="auto"/>
                <w:kern w:val="0"/>
                <w:sz w:val="21"/>
                <w:szCs w:val="21"/>
                <w:highlight w:val="none"/>
                <w:lang w:val="en-US" w:eastAsia="zh-CN" w:bidi="ar"/>
              </w:rPr>
            </w:pPr>
            <w:r>
              <w:rPr>
                <w:rFonts w:hint="default" w:ascii="仿宋" w:hAnsi="仿宋" w:eastAsia="仿宋" w:cs="仿宋"/>
                <w:b/>
                <w:bCs/>
                <w:color w:val="auto"/>
                <w:kern w:val="0"/>
                <w:sz w:val="21"/>
                <w:szCs w:val="21"/>
                <w:highlight w:val="none"/>
                <w:lang w:val="en-US" w:eastAsia="zh-CN" w:bidi="ar"/>
              </w:rPr>
              <w:t>违法建（构）筑物拆除服务要求：</w:t>
            </w:r>
          </w:p>
        </w:tc>
      </w:tr>
      <w:tr w14:paraId="0573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restart"/>
            <w:shd w:val="clear" w:color="auto" w:fill="auto"/>
            <w:vAlign w:val="center"/>
          </w:tcPr>
          <w:p w14:paraId="08F30E4A">
            <w:pPr>
              <w:pStyle w:val="7"/>
              <w:keepNext w:val="0"/>
              <w:keepLines w:val="0"/>
              <w:widowControl w:val="0"/>
              <w:suppressLineNumbers w:val="0"/>
              <w:spacing w:before="0" w:beforeAutospacing="0" w:after="0" w:afterAutospacing="0" w:line="240" w:lineRule="auto"/>
              <w:ind w:left="0" w:right="0"/>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w:t>
            </w:r>
          </w:p>
        </w:tc>
        <w:tc>
          <w:tcPr>
            <w:tcW w:w="2813" w:type="dxa"/>
            <w:shd w:val="clear" w:color="auto" w:fill="auto"/>
            <w:vAlign w:val="center"/>
          </w:tcPr>
          <w:p w14:paraId="75767395">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★（1）如采购人安排临时任务，供应商必须积极响应，并快速组织人员设备，及时完成工作任务。</w:t>
            </w:r>
          </w:p>
        </w:tc>
        <w:tc>
          <w:tcPr>
            <w:tcW w:w="2510" w:type="dxa"/>
          </w:tcPr>
          <w:p w14:paraId="493A1775">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25245C9D">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0A44D22B">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112C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shd w:val="clear" w:color="auto" w:fill="auto"/>
            <w:vAlign w:val="top"/>
          </w:tcPr>
          <w:p w14:paraId="31E63866">
            <w:pPr>
              <w:pStyle w:val="7"/>
              <w:keepNext w:val="0"/>
              <w:keepLines w:val="0"/>
              <w:widowControl w:val="0"/>
              <w:suppressLineNumbers w:val="0"/>
              <w:spacing w:before="0" w:beforeAutospacing="0" w:after="0" w:afterAutospacing="0" w:line="240" w:lineRule="auto"/>
              <w:ind w:left="0" w:right="0"/>
              <w:jc w:val="left"/>
              <w:rPr>
                <w:rFonts w:hint="eastAsia" w:ascii="仿宋" w:hAnsi="仿宋" w:eastAsia="仿宋" w:cs="仿宋"/>
                <w:color w:val="auto"/>
                <w:sz w:val="21"/>
                <w:szCs w:val="21"/>
                <w:lang w:val="en-US" w:eastAsia="zh-CN"/>
              </w:rPr>
            </w:pPr>
          </w:p>
        </w:tc>
        <w:tc>
          <w:tcPr>
            <w:tcW w:w="2813" w:type="dxa"/>
            <w:shd w:val="clear" w:color="auto" w:fill="auto"/>
            <w:vAlign w:val="center"/>
          </w:tcPr>
          <w:p w14:paraId="0667BDB9">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★（7）供应商必须落实安全拆除和安全防范措施，拆迁作业范围内安全责任完全由供应商承担。</w:t>
            </w:r>
          </w:p>
        </w:tc>
        <w:tc>
          <w:tcPr>
            <w:tcW w:w="2510" w:type="dxa"/>
          </w:tcPr>
          <w:p w14:paraId="09341F3E">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418338EE">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6FCD9081">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425F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6" w:type="dxa"/>
            <w:gridSpan w:val="5"/>
            <w:shd w:val="clear" w:color="auto" w:fill="auto"/>
            <w:vAlign w:val="center"/>
          </w:tcPr>
          <w:p w14:paraId="26795499">
            <w:pPr>
              <w:pStyle w:val="2"/>
              <w:keepNext w:val="0"/>
              <w:keepLines w:val="0"/>
              <w:widowControl w:val="0"/>
              <w:suppressLineNumbers w:val="0"/>
              <w:spacing w:before="0" w:beforeAutospacing="0" w:after="0" w:afterAutospacing="0" w:line="240" w:lineRule="auto"/>
              <w:ind w:left="0" w:right="0"/>
              <w:jc w:val="center"/>
              <w:rPr>
                <w:rFonts w:hint="default" w:ascii="仿宋" w:hAnsi="仿宋" w:eastAsia="仿宋" w:cs="仿宋"/>
                <w:b w:val="0"/>
                <w:bCs/>
                <w:color w:val="auto"/>
                <w:kern w:val="2"/>
                <w:sz w:val="21"/>
                <w:szCs w:val="21"/>
                <w:highlight w:val="none"/>
                <w:u w:val="none"/>
                <w:lang w:val="en-US" w:eastAsia="zh-CN"/>
              </w:rPr>
            </w:pPr>
            <w:r>
              <w:rPr>
                <w:rFonts w:hint="default" w:ascii="仿宋" w:hAnsi="仿宋" w:eastAsia="仿宋" w:cs="仿宋"/>
                <w:b/>
                <w:bCs w:val="0"/>
                <w:color w:val="auto"/>
                <w:kern w:val="2"/>
                <w:sz w:val="21"/>
                <w:szCs w:val="21"/>
                <w:highlight w:val="none"/>
                <w:u w:val="none"/>
                <w:lang w:val="en-US" w:eastAsia="zh-CN"/>
              </w:rPr>
              <w:t>建筑垃圾装卸收集清运服务要求：</w:t>
            </w:r>
          </w:p>
        </w:tc>
      </w:tr>
      <w:tr w14:paraId="72950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restart"/>
            <w:shd w:val="clear" w:color="auto" w:fill="auto"/>
            <w:vAlign w:val="center"/>
          </w:tcPr>
          <w:p w14:paraId="48B59D23">
            <w:pPr>
              <w:pStyle w:val="7"/>
              <w:keepNext w:val="0"/>
              <w:keepLines w:val="0"/>
              <w:widowControl w:val="0"/>
              <w:suppressLineNumbers w:val="0"/>
              <w:spacing w:before="0" w:beforeAutospacing="0" w:after="0" w:afterAutospacing="0" w:line="240" w:lineRule="auto"/>
              <w:ind w:left="0" w:right="0"/>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w:t>
            </w:r>
          </w:p>
        </w:tc>
        <w:tc>
          <w:tcPr>
            <w:tcW w:w="2813" w:type="dxa"/>
            <w:shd w:val="clear" w:color="auto" w:fill="auto"/>
            <w:vAlign w:val="center"/>
          </w:tcPr>
          <w:p w14:paraId="4113AEC8">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1）应符合垃圾装卸收集清运作业要求及三亚市人民政府相关文件要求（施工前需办理建筑垃圾排放核准、建筑垃圾运输核准，按《关于全市在建工程项目办理建筑垃圾处理电子联单的通知》（三住建〔2024〕1266号）要求排放建筑垃圾），必须全部运往具有住建部门发放“城市建筑垃圾终端设施处置核准证”的收纳点，并提供指定建筑垃圾处理点出具的证明及运距证明，且施工现场需配备洒水车，做好抑制扬尘等环保文明施工措施。</w:t>
            </w:r>
          </w:p>
        </w:tc>
        <w:tc>
          <w:tcPr>
            <w:tcW w:w="2510" w:type="dxa"/>
          </w:tcPr>
          <w:p w14:paraId="0AE62A9A">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6E157006">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4882F01E">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75D0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tcBorders/>
            <w:shd w:val="clear" w:color="auto" w:fill="auto"/>
            <w:vAlign w:val="center"/>
          </w:tcPr>
          <w:p w14:paraId="4321F145">
            <w:pPr>
              <w:pStyle w:val="7"/>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color w:val="auto"/>
                <w:sz w:val="21"/>
                <w:szCs w:val="21"/>
                <w:lang w:val="en-US" w:eastAsia="zh-CN"/>
              </w:rPr>
            </w:pPr>
          </w:p>
        </w:tc>
        <w:tc>
          <w:tcPr>
            <w:tcW w:w="2813" w:type="dxa"/>
            <w:shd w:val="clear" w:color="auto" w:fill="auto"/>
            <w:vAlign w:val="center"/>
          </w:tcPr>
          <w:p w14:paraId="617E93EB">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6）供应商必须有存放整治清理后建筑垃圾（环境综合整治垃圾）的场所（不能在道路主干道两侧、不能影响居民正常生活），存放垃圾不能造成第二次污染，产生的相关费用由供应商承担。因存放垃圾场所引起纠纷的，由供应商负责解决并承担相关责任。</w:t>
            </w:r>
          </w:p>
        </w:tc>
        <w:tc>
          <w:tcPr>
            <w:tcW w:w="2510" w:type="dxa"/>
          </w:tcPr>
          <w:p w14:paraId="36B873F6">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7FA8844E">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4063459F">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6ABB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tcBorders/>
            <w:shd w:val="clear" w:color="auto" w:fill="auto"/>
            <w:vAlign w:val="center"/>
          </w:tcPr>
          <w:p w14:paraId="29987F38">
            <w:pPr>
              <w:pStyle w:val="7"/>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color w:val="auto"/>
                <w:sz w:val="21"/>
                <w:szCs w:val="21"/>
                <w:lang w:val="en-US" w:eastAsia="zh-CN"/>
              </w:rPr>
            </w:pPr>
          </w:p>
        </w:tc>
        <w:tc>
          <w:tcPr>
            <w:tcW w:w="2813" w:type="dxa"/>
            <w:shd w:val="clear" w:color="auto" w:fill="auto"/>
            <w:vAlign w:val="center"/>
          </w:tcPr>
          <w:p w14:paraId="03F3774F">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★（7）供应商必须具有清理建筑垃圾所需要的炮机及其他设备。</w:t>
            </w:r>
          </w:p>
        </w:tc>
        <w:tc>
          <w:tcPr>
            <w:tcW w:w="2510" w:type="dxa"/>
          </w:tcPr>
          <w:p w14:paraId="59ACD6C4">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020C4D1A">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52307C1A">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7D51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tcBorders/>
            <w:shd w:val="clear" w:color="auto" w:fill="auto"/>
            <w:vAlign w:val="center"/>
          </w:tcPr>
          <w:p w14:paraId="76EAD6F6">
            <w:pPr>
              <w:pStyle w:val="7"/>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color w:val="auto"/>
                <w:sz w:val="21"/>
                <w:szCs w:val="21"/>
                <w:lang w:val="en-US" w:eastAsia="zh-CN"/>
              </w:rPr>
            </w:pPr>
          </w:p>
        </w:tc>
        <w:tc>
          <w:tcPr>
            <w:tcW w:w="2813" w:type="dxa"/>
            <w:shd w:val="clear" w:color="auto" w:fill="auto"/>
            <w:vAlign w:val="center"/>
          </w:tcPr>
          <w:p w14:paraId="25547C6D">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★（8）供应商自有车辆满足运输能力要求，车辆密封完好。运输车辆必须加装密闭设施，实施密闭运输，加装卫星定位系统、行车记录仪等监控设备，对运输车辆进行实时监控。</w:t>
            </w:r>
          </w:p>
        </w:tc>
        <w:tc>
          <w:tcPr>
            <w:tcW w:w="2510" w:type="dxa"/>
          </w:tcPr>
          <w:p w14:paraId="0DAAF46C">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6A7E01AA">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6D308E0B">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561B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816" w:type="dxa"/>
            <w:gridSpan w:val="5"/>
            <w:shd w:val="clear" w:color="auto" w:fill="auto"/>
            <w:vAlign w:val="center"/>
          </w:tcPr>
          <w:p w14:paraId="1EC81B49">
            <w:pPr>
              <w:pStyle w:val="2"/>
              <w:keepNext w:val="0"/>
              <w:keepLines w:val="0"/>
              <w:widowControl w:val="0"/>
              <w:suppressLineNumbers w:val="0"/>
              <w:spacing w:before="0" w:beforeAutospacing="0" w:after="0" w:afterAutospacing="0" w:line="240" w:lineRule="auto"/>
              <w:ind w:left="0" w:right="0"/>
              <w:jc w:val="center"/>
              <w:rPr>
                <w:rFonts w:hint="default" w:ascii="仿宋" w:hAnsi="仿宋" w:eastAsia="仿宋" w:cs="仿宋"/>
                <w:b w:val="0"/>
                <w:bCs/>
                <w:color w:val="auto"/>
                <w:kern w:val="2"/>
                <w:sz w:val="21"/>
                <w:szCs w:val="21"/>
                <w:highlight w:val="none"/>
                <w:u w:val="none"/>
                <w:lang w:val="en-US" w:eastAsia="zh-CN"/>
              </w:rPr>
            </w:pPr>
            <w:r>
              <w:rPr>
                <w:rFonts w:hint="default" w:ascii="仿宋" w:hAnsi="仿宋" w:eastAsia="仿宋" w:cs="仿宋"/>
                <w:b/>
                <w:bCs w:val="0"/>
                <w:color w:val="auto"/>
                <w:kern w:val="2"/>
                <w:sz w:val="21"/>
                <w:szCs w:val="21"/>
                <w:highlight w:val="none"/>
                <w:u w:val="none"/>
                <w:lang w:val="en-US" w:eastAsia="zh-CN"/>
              </w:rPr>
              <w:t>服务标准要求：</w:t>
            </w:r>
          </w:p>
        </w:tc>
      </w:tr>
      <w:tr w14:paraId="0BFF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restart"/>
            <w:shd w:val="clear" w:color="auto" w:fill="auto"/>
            <w:vAlign w:val="center"/>
          </w:tcPr>
          <w:p w14:paraId="7905F99F">
            <w:pPr>
              <w:pStyle w:val="7"/>
              <w:keepNext w:val="0"/>
              <w:keepLines w:val="0"/>
              <w:widowControl w:val="0"/>
              <w:suppressLineNumbers w:val="0"/>
              <w:spacing w:before="0" w:beforeAutospacing="0" w:after="0" w:afterAutospacing="0" w:line="240" w:lineRule="auto"/>
              <w:ind w:left="0" w:right="0"/>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w:t>
            </w:r>
          </w:p>
        </w:tc>
        <w:tc>
          <w:tcPr>
            <w:tcW w:w="2813" w:type="dxa"/>
            <w:shd w:val="clear" w:color="auto" w:fill="auto"/>
            <w:vAlign w:val="center"/>
          </w:tcPr>
          <w:p w14:paraId="17CAF3F1">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★（5）因本项目服务性质特殊，为满足服务要求，供应商必须在三亚市辖区设有固定的服务点。</w:t>
            </w:r>
          </w:p>
          <w:p w14:paraId="414B2B11">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证明材料：承诺成交后30天内设立固定办公场所的承诺函。</w:t>
            </w:r>
          </w:p>
        </w:tc>
        <w:tc>
          <w:tcPr>
            <w:tcW w:w="2510" w:type="dxa"/>
          </w:tcPr>
          <w:p w14:paraId="57C7F146">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2DF1DE4F">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61034DD6">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25EF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tcBorders/>
            <w:shd w:val="clear" w:color="auto" w:fill="auto"/>
            <w:vAlign w:val="center"/>
          </w:tcPr>
          <w:p w14:paraId="081D545F">
            <w:pPr>
              <w:pStyle w:val="7"/>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color w:val="auto"/>
                <w:sz w:val="21"/>
                <w:szCs w:val="21"/>
                <w:lang w:val="en-US" w:eastAsia="zh-CN"/>
              </w:rPr>
            </w:pPr>
          </w:p>
        </w:tc>
        <w:tc>
          <w:tcPr>
            <w:tcW w:w="2813" w:type="dxa"/>
            <w:shd w:val="clear" w:color="auto" w:fill="auto"/>
            <w:vAlign w:val="center"/>
          </w:tcPr>
          <w:p w14:paraId="6D001B89">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6）供应商必须提供快速的服务响应，在接到采购人通知后立即响应，并在一个小时内派人到现场处理。服从采购人的统一安排，及时组织人员、设备按要求开展违建拆除及建筑垃圾清运工作，遇突发应急情况时，无条件配合采购人调度。</w:t>
            </w:r>
          </w:p>
        </w:tc>
        <w:tc>
          <w:tcPr>
            <w:tcW w:w="2510" w:type="dxa"/>
          </w:tcPr>
          <w:p w14:paraId="1D034018">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3F4E4BDA">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7AC03DC7">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1BB6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tcBorders/>
            <w:shd w:val="clear" w:color="auto" w:fill="auto"/>
            <w:vAlign w:val="center"/>
          </w:tcPr>
          <w:p w14:paraId="111E3F83">
            <w:pPr>
              <w:pStyle w:val="7"/>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color w:val="auto"/>
                <w:sz w:val="21"/>
                <w:szCs w:val="21"/>
                <w:lang w:val="en-US" w:eastAsia="zh-CN"/>
              </w:rPr>
            </w:pPr>
          </w:p>
        </w:tc>
        <w:tc>
          <w:tcPr>
            <w:tcW w:w="2813" w:type="dxa"/>
            <w:shd w:val="clear" w:color="auto" w:fill="auto"/>
            <w:vAlign w:val="center"/>
          </w:tcPr>
          <w:p w14:paraId="0CAC818E">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7）供应商必须服从采购人调度，不得拒绝采购人任务安排，若确属特殊情况无法开展工作的，需以书面形式告知采购人无法开展工作的原因和自愿放弃拆除事项的说明。若无故拒绝采购人任务安排且没有书面告知的，采购人有权单方面终止合同。</w:t>
            </w:r>
          </w:p>
        </w:tc>
        <w:tc>
          <w:tcPr>
            <w:tcW w:w="2510" w:type="dxa"/>
          </w:tcPr>
          <w:p w14:paraId="0D98B66E">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76321072">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757F6619">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6004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16" w:type="dxa"/>
            <w:gridSpan w:val="5"/>
            <w:tcBorders/>
            <w:shd w:val="clear" w:color="auto" w:fill="auto"/>
            <w:vAlign w:val="center"/>
          </w:tcPr>
          <w:p w14:paraId="2B5F5726">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r>
              <w:rPr>
                <w:rFonts w:hint="eastAsia" w:ascii="仿宋" w:hAnsi="仿宋" w:eastAsia="仿宋" w:cs="仿宋"/>
                <w:b/>
                <w:bCs w:val="0"/>
                <w:color w:val="auto"/>
                <w:kern w:val="2"/>
                <w:sz w:val="21"/>
                <w:szCs w:val="21"/>
                <w:highlight w:val="none"/>
                <w:u w:val="none"/>
              </w:rPr>
              <w:t>商务要求</w:t>
            </w:r>
          </w:p>
        </w:tc>
      </w:tr>
      <w:tr w14:paraId="3F07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restart"/>
            <w:tcBorders/>
            <w:shd w:val="clear" w:color="auto" w:fill="auto"/>
            <w:vAlign w:val="center"/>
          </w:tcPr>
          <w:p w14:paraId="69132D2C">
            <w:pPr>
              <w:pStyle w:val="7"/>
              <w:keepNext w:val="0"/>
              <w:keepLines w:val="0"/>
              <w:widowControl w:val="0"/>
              <w:suppressLineNumbers w:val="0"/>
              <w:spacing w:before="0" w:beforeAutospacing="0" w:after="0" w:afterAutospacing="0" w:line="240" w:lineRule="auto"/>
              <w:ind w:left="0" w:right="0"/>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四</w:t>
            </w:r>
          </w:p>
        </w:tc>
        <w:tc>
          <w:tcPr>
            <w:tcW w:w="2813" w:type="dxa"/>
            <w:shd w:val="clear" w:color="auto" w:fill="auto"/>
            <w:vAlign w:val="center"/>
          </w:tcPr>
          <w:p w14:paraId="66360231">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★②违法建（构）筑物拆除工作结束后，供应商须在3个工作日内与采购人共同确定实际工作量，并进行签单确认。</w:t>
            </w:r>
          </w:p>
        </w:tc>
        <w:tc>
          <w:tcPr>
            <w:tcW w:w="2510" w:type="dxa"/>
          </w:tcPr>
          <w:p w14:paraId="2BDFC9B9">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590CFEB5">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2889E9DA">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r w14:paraId="7B3A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5" w:type="dxa"/>
            <w:vMerge w:val="continue"/>
            <w:tcBorders/>
            <w:shd w:val="clear" w:color="auto" w:fill="auto"/>
            <w:vAlign w:val="center"/>
          </w:tcPr>
          <w:p w14:paraId="105C2BBE">
            <w:pPr>
              <w:pStyle w:val="7"/>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color w:val="auto"/>
                <w:sz w:val="21"/>
                <w:szCs w:val="21"/>
                <w:lang w:val="en-US" w:eastAsia="zh-CN"/>
              </w:rPr>
            </w:pPr>
          </w:p>
        </w:tc>
        <w:tc>
          <w:tcPr>
            <w:tcW w:w="2813" w:type="dxa"/>
            <w:shd w:val="clear" w:color="auto" w:fill="auto"/>
            <w:vAlign w:val="center"/>
          </w:tcPr>
          <w:p w14:paraId="2BF1349E">
            <w:pPr>
              <w:keepNext w:val="0"/>
              <w:keepLines w:val="0"/>
              <w:suppressLineNumbers w:val="0"/>
              <w:kinsoku/>
              <w:autoSpaceDE/>
              <w:autoSpaceDN/>
              <w:adjustRightInd/>
              <w:snapToGrid/>
              <w:spacing w:before="0" w:beforeAutospacing="0" w:after="0" w:afterAutospacing="0"/>
              <w:ind w:left="0" w:right="0"/>
              <w:jc w:val="both"/>
              <w:textAlignment w:val="auto"/>
              <w:rPr>
                <w:rFonts w:hint="eastAsia" w:ascii="仿宋" w:hAnsi="仿宋" w:eastAsia="仿宋" w:cs="仿宋"/>
                <w:b w:val="0"/>
                <w:bCs w:val="0"/>
                <w:snapToGrid/>
                <w:sz w:val="21"/>
                <w:szCs w:val="21"/>
                <w:lang w:eastAsia="zh-CN"/>
              </w:rPr>
            </w:pPr>
            <w:r>
              <w:rPr>
                <w:rFonts w:hint="eastAsia" w:ascii="仿宋" w:hAnsi="仿宋" w:eastAsia="仿宋" w:cs="仿宋"/>
                <w:b w:val="0"/>
                <w:bCs w:val="0"/>
                <w:snapToGrid/>
                <w:sz w:val="21"/>
                <w:szCs w:val="21"/>
                <w:lang w:eastAsia="zh-CN"/>
              </w:rPr>
              <w:t>★③建筑垃圾收集清运工作结束后，供应商须在5个工作日内与采购人共同确定实际工作量，并进行签单确认。</w:t>
            </w:r>
          </w:p>
        </w:tc>
        <w:tc>
          <w:tcPr>
            <w:tcW w:w="2510" w:type="dxa"/>
          </w:tcPr>
          <w:p w14:paraId="2EEA544C">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358" w:type="dxa"/>
          </w:tcPr>
          <w:p w14:paraId="1D910EF8">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c>
          <w:tcPr>
            <w:tcW w:w="1430" w:type="dxa"/>
          </w:tcPr>
          <w:p w14:paraId="1A80ACD6">
            <w:pPr>
              <w:pStyle w:val="2"/>
              <w:keepNext w:val="0"/>
              <w:keepLines w:val="0"/>
              <w:widowControl w:val="0"/>
              <w:suppressLineNumbers w:val="0"/>
              <w:spacing w:before="0" w:beforeAutospacing="0" w:after="0" w:afterAutospacing="0" w:line="240" w:lineRule="auto"/>
              <w:ind w:left="0" w:right="0"/>
              <w:jc w:val="center"/>
              <w:rPr>
                <w:rFonts w:hint="eastAsia" w:ascii="仿宋" w:hAnsi="仿宋" w:eastAsia="仿宋" w:cs="仿宋"/>
                <w:b w:val="0"/>
                <w:bCs/>
                <w:color w:val="auto"/>
                <w:kern w:val="2"/>
                <w:sz w:val="21"/>
                <w:szCs w:val="21"/>
                <w:highlight w:val="none"/>
                <w:u w:val="none"/>
              </w:rPr>
            </w:pPr>
          </w:p>
        </w:tc>
      </w:tr>
    </w:tbl>
    <w:p w14:paraId="79BBEE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注：1.供应商必须仔细阅读采购文件“第三章 采购需求”中的带“★”号的要求，并在《带★要求偏差一览表》中对★条款逐项响应，未响应或产生偏离的将视为无效投标。“★”号条款要求提供证明材料的，须在《带★要求偏差一览表》中体现或另页说明（提供），否则视为无效投标。</w:t>
      </w:r>
    </w:p>
    <w:p w14:paraId="5C7F61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2.“偏离情况”列应据实填写“无偏离”、“正偏离”或“负偏离”。</w:t>
      </w:r>
    </w:p>
    <w:p w14:paraId="182D5540">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b/>
          <w:bCs/>
          <w:kern w:val="0"/>
          <w:sz w:val="22"/>
          <w:szCs w:val="22"/>
          <w:highlight w:val="none"/>
          <w:lang w:val="en-US" w:eastAsia="zh-CN" w:bidi="ar"/>
        </w:rPr>
      </w:pPr>
    </w:p>
    <w:p w14:paraId="0CD9CA4C">
      <w:pPr>
        <w:keepNext w:val="0"/>
        <w:keepLines w:val="0"/>
        <w:widowControl/>
        <w:suppressLineNumbers w:val="0"/>
        <w:spacing w:before="0" w:beforeAutospacing="0" w:after="0" w:afterAutospacing="0" w:line="360" w:lineRule="auto"/>
        <w:ind w:left="0" w:right="0"/>
        <w:jc w:val="left"/>
        <w:rPr>
          <w:rFonts w:hint="eastAsia" w:ascii="仿宋" w:hAnsi="仿宋" w:eastAsia="仿宋" w:cs="仿宋"/>
          <w:b/>
          <w:bCs/>
          <w:kern w:val="2"/>
          <w:sz w:val="22"/>
          <w:szCs w:val="22"/>
          <w:highlight w:val="none"/>
        </w:rPr>
      </w:pPr>
      <w:r>
        <w:rPr>
          <w:rFonts w:hint="eastAsia" w:ascii="仿宋" w:hAnsi="仿宋" w:eastAsia="仿宋" w:cs="仿宋"/>
          <w:b/>
          <w:bCs/>
          <w:kern w:val="0"/>
          <w:sz w:val="22"/>
          <w:szCs w:val="22"/>
          <w:highlight w:val="none"/>
          <w:lang w:val="en-US" w:eastAsia="zh-CN" w:bidi="ar"/>
        </w:rPr>
        <w:t>供应商名称（加盖公章）：</w:t>
      </w:r>
    </w:p>
    <w:p w14:paraId="3B1DC13A">
      <w:pPr>
        <w:keepNext w:val="0"/>
        <w:keepLines w:val="0"/>
        <w:widowControl/>
        <w:suppressLineNumbers w:val="0"/>
        <w:spacing w:before="0" w:beforeAutospacing="0" w:after="0" w:afterAutospacing="0" w:line="360" w:lineRule="auto"/>
        <w:ind w:left="0" w:right="0"/>
        <w:jc w:val="left"/>
        <w:rPr>
          <w:b/>
          <w:bCs/>
        </w:rPr>
      </w:pPr>
      <w:r>
        <w:rPr>
          <w:rFonts w:hint="eastAsia" w:ascii="仿宋" w:hAnsi="仿宋" w:eastAsia="仿宋" w:cs="仿宋"/>
          <w:b/>
          <w:bCs/>
          <w:kern w:val="0"/>
          <w:sz w:val="22"/>
          <w:szCs w:val="22"/>
          <w:highlight w:val="none"/>
          <w:lang w:val="en-US" w:eastAsia="zh-CN" w:bidi="ar"/>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0138"/>
    <w:rsid w:val="01132C7B"/>
    <w:rsid w:val="0173706F"/>
    <w:rsid w:val="02D87F35"/>
    <w:rsid w:val="03F47C2B"/>
    <w:rsid w:val="0798557E"/>
    <w:rsid w:val="0B1701D0"/>
    <w:rsid w:val="155C2C83"/>
    <w:rsid w:val="1F2C1918"/>
    <w:rsid w:val="211B179B"/>
    <w:rsid w:val="27ED49C0"/>
    <w:rsid w:val="33C97CC0"/>
    <w:rsid w:val="386F6789"/>
    <w:rsid w:val="3B163750"/>
    <w:rsid w:val="4E084F8F"/>
    <w:rsid w:val="56105BDC"/>
    <w:rsid w:val="5CA40764"/>
    <w:rsid w:val="61406582"/>
    <w:rsid w:val="63456D60"/>
    <w:rsid w:val="63A02E0A"/>
    <w:rsid w:val="63B01FC6"/>
    <w:rsid w:val="65424FBE"/>
    <w:rsid w:val="65672E18"/>
    <w:rsid w:val="6DB45EC8"/>
    <w:rsid w:val="70534064"/>
    <w:rsid w:val="71B72890"/>
    <w:rsid w:val="7CD44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table" w:styleId="4">
    <w:name w:val="Table Grid"/>
    <w:basedOn w:val="3"/>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Strong"/>
    <w:basedOn w:val="5"/>
    <w:qFormat/>
    <w:uiPriority w:val="0"/>
    <w:rPr>
      <w:b/>
    </w:rPr>
  </w:style>
  <w:style w:type="paragraph" w:customStyle="1" w:styleId="7">
    <w:name w:val="null3"/>
    <w:qFormat/>
    <w:uiPriority w:val="0"/>
    <w:rPr>
      <w:rFonts w:hint="eastAsia" w:ascii="Calibri" w:hAnsi="Calibri" w:eastAsia="宋体" w:cs="Times New Roman"/>
      <w:lang w:val="en-US" w:eastAsia="zh-Hans"/>
    </w:rPr>
  </w:style>
  <w:style w:type="paragraph" w:customStyle="1" w:styleId="8">
    <w:name w:val="无间隔1"/>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7847</Words>
  <Characters>8230</Characters>
  <Lines>0</Lines>
  <Paragraphs>0</Paragraphs>
  <TotalTime>6</TotalTime>
  <ScaleCrop>false</ScaleCrop>
  <LinksUpToDate>false</LinksUpToDate>
  <CharactersWithSpaces>8246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2025-03-24T07:38:00Z</dcterms:created>
  <dc:creator>JIJUN</dc:creator>
  <cp:lastModifiedBy>WPS_1551085096</cp:lastModifiedBy>
  <dcterms:modified xsi:type="dcterms:W3CDTF">2026-03-20T01:21:37Z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eyJoZGlkIjoiZTAxYTI3NzM5NmU5ZjJmMmE3ZDJkN2I0ZTMzNDJlODkiLCJ1c2VySWQiOiI0ODM0OTQ0NTcifQ==</vt:lpwstr>
  </property>
  <property fmtid="{D5CDD505-2E9C-101B-9397-08002B2CF9AE}" pid="4" name="ICV">
    <vt:lpwstr>B8127B5186A34D78AFEF2B600B736915_12</vt:lpwstr>
  </property>
</Properties>
</file>