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29861">
      <w:pPr>
        <w:jc w:val="left"/>
        <w:rPr>
          <w:rFonts w:hint="eastAsia" w:ascii="宋体" w:hAnsi="宋体" w:eastAsia="宋体" w:cs="宋体"/>
          <w:color w:val="auto"/>
          <w:sz w:val="28"/>
          <w:szCs w:val="28"/>
          <w:lang w:eastAsia="zh-CN"/>
        </w:rPr>
      </w:pPr>
      <w:r>
        <w:rPr>
          <w:rFonts w:hint="eastAsia" w:ascii="宋体" w:hAnsi="宋体" w:eastAsia="宋体" w:cs="宋体"/>
          <w:color w:val="000000" w:themeColor="text1"/>
          <w:sz w:val="28"/>
          <w:szCs w:val="28"/>
          <w:highlight w:val="none"/>
          <w:lang w:val="en-US" w:eastAsia="zh-CN"/>
        </w:rPr>
        <w:t>项目</w:t>
      </w:r>
      <w:r>
        <w:rPr>
          <w:rFonts w:hint="eastAsia" w:ascii="宋体" w:hAnsi="宋体" w:eastAsia="宋体" w:cs="宋体"/>
          <w:color w:val="000000" w:themeColor="text1"/>
          <w:sz w:val="28"/>
          <w:szCs w:val="28"/>
          <w:highlight w:val="none"/>
        </w:rPr>
        <w:t>编号：</w:t>
      </w:r>
    </w:p>
    <w:p w14:paraId="73EA0BAE">
      <w:pPr>
        <w:jc w:val="left"/>
        <w:rPr>
          <w:rFonts w:ascii="微软雅黑" w:hAnsi="微软雅黑" w:eastAsia="微软雅黑" w:cs="微软雅黑"/>
          <w:color w:val="auto"/>
          <w:sz w:val="44"/>
          <w:szCs w:val="44"/>
        </w:rPr>
      </w:pPr>
    </w:p>
    <w:p w14:paraId="12AFB5B8">
      <w:pPr>
        <w:jc w:val="center"/>
        <w:rPr>
          <w:b/>
          <w:bCs/>
          <w:color w:val="auto"/>
          <w:sz w:val="56"/>
          <w:szCs w:val="96"/>
        </w:rPr>
      </w:pPr>
      <w:r>
        <w:rPr>
          <w:rFonts w:hint="eastAsia"/>
          <w:b/>
          <w:bCs/>
          <w:color w:val="auto"/>
          <w:sz w:val="56"/>
          <w:szCs w:val="96"/>
        </w:rPr>
        <w:t>202</w:t>
      </w:r>
      <w:r>
        <w:rPr>
          <w:rFonts w:hint="eastAsia"/>
          <w:b/>
          <w:bCs/>
          <w:color w:val="auto"/>
          <w:sz w:val="56"/>
          <w:szCs w:val="96"/>
          <w:lang w:val="en-US" w:eastAsia="zh-CN"/>
        </w:rPr>
        <w:t>6</w:t>
      </w:r>
      <w:r>
        <w:rPr>
          <w:rFonts w:hint="eastAsia"/>
          <w:b/>
          <w:bCs/>
          <w:color w:val="auto"/>
          <w:sz w:val="56"/>
          <w:szCs w:val="96"/>
        </w:rPr>
        <w:t>年拆违（含户外广告）与清运建筑垃圾服务项目</w:t>
      </w:r>
    </w:p>
    <w:p w14:paraId="64B5A38E">
      <w:pPr>
        <w:jc w:val="center"/>
        <w:rPr>
          <w:b/>
          <w:bCs/>
          <w:color w:val="auto"/>
          <w:sz w:val="56"/>
          <w:szCs w:val="96"/>
        </w:rPr>
      </w:pPr>
    </w:p>
    <w:p w14:paraId="687C0D3A">
      <w:pPr>
        <w:jc w:val="center"/>
        <w:rPr>
          <w:b/>
          <w:bCs/>
          <w:color w:val="auto"/>
          <w:sz w:val="56"/>
          <w:szCs w:val="96"/>
        </w:rPr>
      </w:pPr>
    </w:p>
    <w:p w14:paraId="596ABC2B">
      <w:pPr>
        <w:jc w:val="center"/>
        <w:rPr>
          <w:b/>
          <w:bCs/>
          <w:color w:val="auto"/>
          <w:sz w:val="56"/>
          <w:szCs w:val="96"/>
        </w:rPr>
      </w:pPr>
      <w:r>
        <w:rPr>
          <w:rFonts w:hint="eastAsia"/>
          <w:b/>
          <w:bCs/>
          <w:color w:val="auto"/>
          <w:sz w:val="56"/>
          <w:szCs w:val="96"/>
        </w:rPr>
        <w:t>合</w:t>
      </w:r>
    </w:p>
    <w:p w14:paraId="2E3367B8">
      <w:pPr>
        <w:jc w:val="center"/>
        <w:rPr>
          <w:b/>
          <w:bCs/>
          <w:color w:val="auto"/>
          <w:sz w:val="56"/>
          <w:szCs w:val="96"/>
        </w:rPr>
      </w:pPr>
    </w:p>
    <w:p w14:paraId="06BCAEB2">
      <w:pPr>
        <w:jc w:val="center"/>
        <w:rPr>
          <w:b/>
          <w:bCs/>
          <w:color w:val="auto"/>
          <w:sz w:val="56"/>
          <w:szCs w:val="96"/>
        </w:rPr>
      </w:pPr>
      <w:r>
        <w:rPr>
          <w:rFonts w:hint="eastAsia"/>
          <w:b/>
          <w:bCs/>
          <w:color w:val="auto"/>
          <w:sz w:val="56"/>
          <w:szCs w:val="96"/>
        </w:rPr>
        <w:t>同</w:t>
      </w:r>
    </w:p>
    <w:p w14:paraId="77DD7AC8">
      <w:pPr>
        <w:jc w:val="center"/>
        <w:rPr>
          <w:b/>
          <w:bCs/>
          <w:color w:val="auto"/>
          <w:sz w:val="32"/>
          <w:szCs w:val="40"/>
        </w:rPr>
      </w:pPr>
    </w:p>
    <w:p w14:paraId="57B2D00F">
      <w:pPr>
        <w:jc w:val="center"/>
        <w:rPr>
          <w:b/>
          <w:bCs/>
          <w:color w:val="auto"/>
          <w:sz w:val="32"/>
          <w:szCs w:val="40"/>
        </w:rPr>
      </w:pPr>
    </w:p>
    <w:p w14:paraId="71BE4378">
      <w:pPr>
        <w:jc w:val="center"/>
        <w:rPr>
          <w:b/>
          <w:bCs/>
          <w:color w:val="auto"/>
          <w:sz w:val="56"/>
          <w:szCs w:val="96"/>
        </w:rPr>
      </w:pPr>
      <w:r>
        <w:rPr>
          <w:rFonts w:hint="eastAsia"/>
          <w:b/>
          <w:bCs/>
          <w:color w:val="auto"/>
          <w:sz w:val="56"/>
          <w:szCs w:val="96"/>
        </w:rPr>
        <w:t>书</w:t>
      </w:r>
    </w:p>
    <w:p w14:paraId="250F55DF">
      <w:pPr>
        <w:jc w:val="center"/>
        <w:rPr>
          <w:rFonts w:hint="eastAsia"/>
          <w:b/>
          <w:bCs/>
          <w:color w:val="auto"/>
          <w:sz w:val="56"/>
          <w:szCs w:val="96"/>
          <w:lang w:eastAsia="zh-CN"/>
        </w:rPr>
      </w:pPr>
    </w:p>
    <w:p w14:paraId="3E471035">
      <w:pPr>
        <w:jc w:val="center"/>
        <w:rPr>
          <w:b/>
          <w:bCs/>
          <w:color w:val="auto"/>
          <w:sz w:val="56"/>
          <w:szCs w:val="96"/>
        </w:rPr>
      </w:pPr>
    </w:p>
    <w:p w14:paraId="597268AC">
      <w:pPr>
        <w:rPr>
          <w:b/>
          <w:bCs/>
          <w:color w:val="auto"/>
          <w:sz w:val="56"/>
          <w:szCs w:val="96"/>
        </w:rPr>
      </w:pPr>
    </w:p>
    <w:p w14:paraId="5392D9C5">
      <w:pPr>
        <w:rPr>
          <w:b/>
          <w:bCs/>
          <w:color w:val="auto"/>
          <w:sz w:val="36"/>
          <w:szCs w:val="36"/>
        </w:rPr>
      </w:pPr>
    </w:p>
    <w:p w14:paraId="00D680E0">
      <w:pPr>
        <w:spacing w:line="360" w:lineRule="auto"/>
        <w:ind w:firstLine="720" w:firstLineChars="200"/>
        <w:rPr>
          <w:rFonts w:ascii="宋体" w:hAnsi="宋体" w:eastAsia="宋体" w:cs="宋体"/>
          <w:color w:val="auto"/>
          <w:sz w:val="36"/>
          <w:szCs w:val="36"/>
          <w:u w:val="single"/>
        </w:rPr>
      </w:pPr>
      <w:r>
        <w:rPr>
          <w:rFonts w:hint="eastAsia" w:ascii="宋体" w:hAnsi="宋体" w:eastAsia="宋体" w:cs="宋体"/>
          <w:color w:val="auto"/>
          <w:sz w:val="36"/>
          <w:szCs w:val="36"/>
        </w:rPr>
        <w:t>甲  方：</w:t>
      </w:r>
      <w:r>
        <w:rPr>
          <w:rFonts w:hint="eastAsia" w:ascii="宋体" w:hAnsi="宋体" w:eastAsia="宋体" w:cs="宋体"/>
          <w:color w:val="auto"/>
          <w:sz w:val="36"/>
          <w:szCs w:val="36"/>
          <w:u w:val="single"/>
        </w:rPr>
        <w:t xml:space="preserve"> </w:t>
      </w:r>
      <w:r>
        <w:rPr>
          <w:rFonts w:hint="eastAsia" w:ascii="宋体" w:hAnsi="宋体" w:eastAsia="宋体" w:cs="宋体"/>
          <w:color w:val="auto"/>
          <w:sz w:val="36"/>
          <w:szCs w:val="36"/>
          <w:u w:val="single"/>
          <w:lang w:val="en-US" w:eastAsia="zh-CN"/>
        </w:rPr>
        <w:t xml:space="preserve">                            </w:t>
      </w:r>
      <w:r>
        <w:rPr>
          <w:rFonts w:hint="eastAsia" w:ascii="宋体" w:hAnsi="宋体" w:eastAsia="宋体" w:cs="宋体"/>
          <w:color w:val="auto"/>
          <w:sz w:val="36"/>
          <w:szCs w:val="36"/>
          <w:u w:val="single"/>
        </w:rPr>
        <w:t xml:space="preserve"> </w:t>
      </w:r>
    </w:p>
    <w:p w14:paraId="08C5435C">
      <w:pPr>
        <w:spacing w:line="360" w:lineRule="auto"/>
        <w:ind w:firstLine="720" w:firstLineChars="200"/>
        <w:rPr>
          <w:rFonts w:ascii="宋体" w:hAnsi="宋体" w:eastAsia="宋体" w:cs="宋体"/>
          <w:color w:val="auto"/>
          <w:sz w:val="36"/>
          <w:szCs w:val="36"/>
        </w:rPr>
      </w:pPr>
      <w:r>
        <w:rPr>
          <w:rFonts w:hint="eastAsia" w:ascii="宋体" w:hAnsi="宋体" w:eastAsia="宋体" w:cs="宋体"/>
          <w:color w:val="auto"/>
          <w:sz w:val="36"/>
          <w:szCs w:val="36"/>
        </w:rPr>
        <w:t>乙  方：</w:t>
      </w:r>
      <w:r>
        <w:rPr>
          <w:rFonts w:hint="eastAsia" w:ascii="宋体" w:hAnsi="宋体" w:eastAsia="宋体" w:cs="宋体"/>
          <w:color w:val="auto"/>
          <w:sz w:val="36"/>
          <w:szCs w:val="36"/>
          <w:u w:val="single"/>
        </w:rPr>
        <w:t xml:space="preserve"> </w:t>
      </w:r>
      <w:r>
        <w:rPr>
          <w:rFonts w:hint="eastAsia" w:ascii="宋体" w:hAnsi="宋体" w:eastAsia="宋体" w:cs="宋体"/>
          <w:color w:val="auto"/>
          <w:sz w:val="36"/>
          <w:szCs w:val="36"/>
          <w:u w:val="single"/>
          <w:lang w:val="en-US" w:eastAsia="zh-CN"/>
        </w:rPr>
        <w:t xml:space="preserve">                           </w:t>
      </w:r>
      <w:r>
        <w:rPr>
          <w:rFonts w:hint="eastAsia" w:ascii="宋体" w:hAnsi="宋体" w:eastAsia="宋体" w:cs="宋体"/>
          <w:color w:val="auto"/>
          <w:sz w:val="36"/>
          <w:szCs w:val="36"/>
          <w:u w:val="single"/>
        </w:rPr>
        <w:t xml:space="preserve">  </w:t>
      </w:r>
    </w:p>
    <w:p w14:paraId="4BF769B5">
      <w:pPr>
        <w:jc w:val="center"/>
        <w:rPr>
          <w:b/>
          <w:bCs/>
          <w:color w:val="auto"/>
          <w:sz w:val="32"/>
          <w:szCs w:val="40"/>
        </w:rPr>
      </w:pPr>
    </w:p>
    <w:p w14:paraId="571E07FD">
      <w:pPr>
        <w:rPr>
          <w:b/>
          <w:bCs/>
          <w:color w:val="auto"/>
          <w:sz w:val="32"/>
          <w:szCs w:val="40"/>
        </w:rPr>
      </w:pPr>
    </w:p>
    <w:p w14:paraId="69CE0898">
      <w:pPr>
        <w:jc w:val="center"/>
        <w:rPr>
          <w:b/>
          <w:bCs/>
          <w:color w:val="auto"/>
          <w:sz w:val="32"/>
          <w:szCs w:val="40"/>
        </w:rPr>
      </w:pPr>
    </w:p>
    <w:p w14:paraId="086AFC9F">
      <w:pPr>
        <w:jc w:val="center"/>
        <w:rPr>
          <w:b/>
          <w:bCs/>
          <w:color w:val="auto"/>
          <w:sz w:val="32"/>
          <w:szCs w:val="40"/>
        </w:rPr>
      </w:pPr>
    </w:p>
    <w:p w14:paraId="50BF65B8">
      <w:pPr>
        <w:jc w:val="center"/>
        <w:rPr>
          <w:b/>
          <w:bCs/>
          <w:color w:val="auto"/>
          <w:sz w:val="32"/>
          <w:szCs w:val="40"/>
        </w:rPr>
        <w:sectPr>
          <w:footerReference r:id="rId3" w:type="default"/>
          <w:pgSz w:w="11906" w:h="16839"/>
          <w:pgMar w:top="1431" w:right="1417" w:bottom="1128" w:left="1785" w:header="0" w:footer="454" w:gutter="0"/>
          <w:pgNumType w:fmt="decimal" w:start="1"/>
          <w:cols w:equalWidth="0" w:num="1">
            <w:col w:w="8420"/>
          </w:cols>
        </w:sectPr>
      </w:pPr>
    </w:p>
    <w:p w14:paraId="1A41F783">
      <w:pPr>
        <w:keepNext w:val="0"/>
        <w:keepLines w:val="0"/>
        <w:pageBreakBefore w:val="0"/>
        <w:widowControl w:val="0"/>
        <w:kinsoku/>
        <w:wordWrap/>
        <w:overflowPunct/>
        <w:topLinePunct w:val="0"/>
        <w:autoSpaceDE/>
        <w:autoSpaceDN/>
        <w:bidi w:val="0"/>
        <w:adjustRightInd/>
        <w:spacing w:line="578" w:lineRule="exact"/>
        <w:jc w:val="center"/>
        <w:textAlignment w:val="auto"/>
        <w:rPr>
          <w:b/>
          <w:bCs/>
          <w:color w:val="auto"/>
          <w:sz w:val="32"/>
          <w:szCs w:val="40"/>
        </w:rPr>
      </w:pPr>
      <w:r>
        <w:rPr>
          <w:rFonts w:hint="eastAsia"/>
          <w:b/>
          <w:bCs/>
          <w:color w:val="auto"/>
          <w:sz w:val="32"/>
          <w:szCs w:val="40"/>
        </w:rPr>
        <w:t>202</w:t>
      </w:r>
      <w:r>
        <w:rPr>
          <w:rFonts w:hint="eastAsia"/>
          <w:b/>
          <w:bCs/>
          <w:color w:val="auto"/>
          <w:sz w:val="32"/>
          <w:szCs w:val="40"/>
          <w:lang w:val="en-US" w:eastAsia="zh-CN"/>
        </w:rPr>
        <w:t>6</w:t>
      </w:r>
      <w:r>
        <w:rPr>
          <w:rFonts w:hint="eastAsia"/>
          <w:b/>
          <w:bCs/>
          <w:color w:val="auto"/>
          <w:sz w:val="32"/>
          <w:szCs w:val="40"/>
        </w:rPr>
        <w:t>年拆违（含户外广告）与清运建筑垃圾服务项目合同</w:t>
      </w:r>
    </w:p>
    <w:p w14:paraId="1D2F5E20">
      <w:pPr>
        <w:keepNext w:val="0"/>
        <w:keepLines w:val="0"/>
        <w:pageBreakBefore w:val="0"/>
        <w:widowControl w:val="0"/>
        <w:kinsoku/>
        <w:wordWrap/>
        <w:overflowPunct/>
        <w:topLinePunct w:val="0"/>
        <w:autoSpaceDE/>
        <w:autoSpaceDN/>
        <w:bidi w:val="0"/>
        <w:adjustRightInd/>
        <w:spacing w:line="578" w:lineRule="exact"/>
        <w:textAlignment w:val="auto"/>
        <w:rPr>
          <w:color w:val="auto"/>
        </w:rPr>
      </w:pPr>
    </w:p>
    <w:p w14:paraId="0FC09723">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甲 方：</w:t>
      </w:r>
    </w:p>
    <w:p w14:paraId="38EF3583">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rPr>
        <w:t>乙 方：</w:t>
      </w:r>
    </w:p>
    <w:p w14:paraId="1A5078BD">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rPr>
        <w:t>见证方：</w:t>
      </w:r>
    </w:p>
    <w:p w14:paraId="64425D19">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lang w:val="en-US" w:eastAsia="zh-CN"/>
        </w:rPr>
        <w:t>依据《中华人民共和国政府采购法》《中华人民共和国政府采购法实施条例》</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中华人民共和国民法典</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等相关法律法规，以及</w:t>
      </w:r>
      <w:r>
        <w:rPr>
          <w:rFonts w:hint="eastAsia" w:ascii="宋体" w:hAnsi="宋体" w:eastAsia="宋体" w:cs="宋体"/>
          <w:color w:val="auto"/>
          <w:sz w:val="28"/>
          <w:szCs w:val="28"/>
        </w:rPr>
        <w:t>（项目名称：202</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年拆违（含户外广告）与清运建筑垃圾服务项目）（项目编号：</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）的</w:t>
      </w:r>
      <w:r>
        <w:rPr>
          <w:rFonts w:hint="eastAsia" w:ascii="宋体" w:hAnsi="宋体" w:eastAsia="宋体" w:cs="宋体"/>
          <w:color w:val="auto"/>
          <w:sz w:val="28"/>
          <w:szCs w:val="28"/>
          <w:lang w:val="en-US" w:eastAsia="zh-CN"/>
        </w:rPr>
        <w:t>采购</w:t>
      </w:r>
      <w:r>
        <w:rPr>
          <w:rFonts w:hint="eastAsia" w:ascii="宋体" w:hAnsi="宋体" w:eastAsia="宋体" w:cs="宋体"/>
          <w:color w:val="auto"/>
          <w:sz w:val="28"/>
          <w:szCs w:val="28"/>
        </w:rPr>
        <w:t>文件及</w:t>
      </w:r>
      <w:r>
        <w:rPr>
          <w:rFonts w:hint="eastAsia" w:ascii="宋体" w:hAnsi="宋体" w:eastAsia="宋体" w:cs="宋体"/>
          <w:color w:val="auto"/>
          <w:sz w:val="28"/>
          <w:szCs w:val="28"/>
          <w:lang w:val="en-US" w:eastAsia="zh-CN"/>
        </w:rPr>
        <w:t>成交</w:t>
      </w:r>
      <w:r>
        <w:rPr>
          <w:rFonts w:hint="eastAsia" w:ascii="宋体" w:hAnsi="宋体" w:eastAsia="宋体" w:cs="宋体"/>
          <w:color w:val="auto"/>
          <w:sz w:val="28"/>
          <w:szCs w:val="28"/>
        </w:rPr>
        <w:t>的</w:t>
      </w:r>
      <w:r>
        <w:rPr>
          <w:rFonts w:hint="eastAsia" w:ascii="宋体" w:hAnsi="宋体" w:eastAsia="宋体" w:cs="宋体"/>
          <w:color w:val="auto"/>
          <w:sz w:val="28"/>
          <w:szCs w:val="28"/>
          <w:lang w:val="en-US" w:eastAsia="zh-CN"/>
        </w:rPr>
        <w:t>响应</w:t>
      </w:r>
      <w:r>
        <w:rPr>
          <w:rFonts w:hint="eastAsia" w:ascii="宋体" w:hAnsi="宋体" w:eastAsia="宋体" w:cs="宋体"/>
          <w:color w:val="auto"/>
          <w:sz w:val="28"/>
          <w:szCs w:val="28"/>
        </w:rPr>
        <w:t>文件和</w:t>
      </w:r>
      <w:r>
        <w:rPr>
          <w:rFonts w:hint="eastAsia" w:ascii="宋体" w:hAnsi="宋体" w:eastAsia="宋体" w:cs="宋体"/>
          <w:color w:val="auto"/>
          <w:sz w:val="28"/>
          <w:szCs w:val="28"/>
          <w:lang w:val="en-US" w:eastAsia="zh-CN"/>
        </w:rPr>
        <w:t>成交</w:t>
      </w:r>
      <w:r>
        <w:rPr>
          <w:rFonts w:hint="eastAsia" w:ascii="宋体" w:hAnsi="宋体" w:eastAsia="宋体" w:cs="宋体"/>
          <w:color w:val="auto"/>
          <w:sz w:val="28"/>
          <w:szCs w:val="28"/>
        </w:rPr>
        <w:t>通知书，</w:t>
      </w:r>
      <w:r>
        <w:rPr>
          <w:rFonts w:hint="eastAsia" w:ascii="宋体" w:hAnsi="宋体" w:eastAsia="宋体" w:cs="宋体"/>
          <w:color w:val="auto"/>
          <w:sz w:val="28"/>
          <w:szCs w:val="28"/>
          <w:lang w:val="en-US" w:eastAsia="zh-CN"/>
        </w:rPr>
        <w:t>经过双方友好协商，同意签订以下合同条款，以便双方共同遵守、履行</w:t>
      </w:r>
      <w:r>
        <w:rPr>
          <w:rFonts w:hint="eastAsia" w:ascii="宋体" w:hAnsi="宋体" w:eastAsia="宋体" w:cs="宋体"/>
          <w:color w:val="auto"/>
          <w:sz w:val="28"/>
          <w:szCs w:val="28"/>
        </w:rPr>
        <w:t>。</w:t>
      </w:r>
    </w:p>
    <w:p w14:paraId="55CA9742">
      <w:pPr>
        <w:keepNext w:val="0"/>
        <w:keepLines w:val="0"/>
        <w:pageBreakBefore w:val="0"/>
        <w:widowControl w:val="0"/>
        <w:kinsoku/>
        <w:wordWrap/>
        <w:overflowPunct/>
        <w:topLinePunct w:val="0"/>
        <w:autoSpaceDE/>
        <w:autoSpaceDN/>
        <w:bidi w:val="0"/>
        <w:adjustRightInd/>
        <w:spacing w:line="578" w:lineRule="exact"/>
        <w:ind w:firstLine="562" w:firstLineChars="200"/>
        <w:textAlignment w:val="auto"/>
        <w:rPr>
          <w:rFonts w:ascii="宋体" w:hAnsi="宋体" w:eastAsia="宋体" w:cs="宋体"/>
          <w:b/>
          <w:bCs/>
          <w:color w:val="auto"/>
          <w:sz w:val="28"/>
          <w:szCs w:val="28"/>
        </w:rPr>
      </w:pPr>
      <w:r>
        <w:rPr>
          <w:rFonts w:hint="eastAsia" w:ascii="宋体" w:hAnsi="宋体" w:eastAsia="宋体" w:cs="宋体"/>
          <w:b/>
          <w:bCs/>
          <w:color w:val="auto"/>
          <w:sz w:val="28"/>
          <w:szCs w:val="28"/>
        </w:rPr>
        <w:t>一、服务内容：</w:t>
      </w:r>
    </w:p>
    <w:p w14:paraId="686C1E31">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三亚市综合行政执法局吉阳分局通过政府采购的方式选择有实力、有资质、信誉好的服务公司提供三亚市吉阳区全区违法建筑、违建广告、简易棚等建（构）筑物拆除及拆后建筑垃圾的清运工作，需要人工拆除的违建的拆除及拆后建筑垃圾清运工作，其他部门移交给采购人的拆除及清运工作，市政公共区域建筑垃圾清运工作，原拆除未放倒违建的拆除及清运工作。</w:t>
      </w:r>
    </w:p>
    <w:p w14:paraId="48CD0054">
      <w:pPr>
        <w:keepNext w:val="0"/>
        <w:keepLines w:val="0"/>
        <w:pageBreakBefore w:val="0"/>
        <w:widowControl w:val="0"/>
        <w:kinsoku/>
        <w:wordWrap/>
        <w:overflowPunct/>
        <w:topLinePunct w:val="0"/>
        <w:autoSpaceDE/>
        <w:autoSpaceDN/>
        <w:bidi w:val="0"/>
        <w:adjustRightInd/>
        <w:spacing w:line="578" w:lineRule="exact"/>
        <w:ind w:firstLine="562" w:firstLineChars="200"/>
        <w:textAlignment w:val="auto"/>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二、服务要求：</w:t>
      </w:r>
    </w:p>
    <w:p w14:paraId="21F5FD67">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lang w:val="en-US" w:eastAsia="zh-CN"/>
        </w:rPr>
        <w:t>一</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rPr>
        <w:t>违法建（构）筑物拆除服务要求</w:t>
      </w:r>
    </w:p>
    <w:p w14:paraId="4FAA7B16">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1.</w:t>
      </w:r>
      <w:r>
        <w:rPr>
          <w:rFonts w:hint="eastAsia" w:ascii="宋体" w:hAnsi="宋体" w:eastAsia="宋体" w:cs="宋体"/>
          <w:color w:val="000000" w:themeColor="text1"/>
          <w:sz w:val="28"/>
          <w:szCs w:val="28"/>
          <w:highlight w:val="none"/>
          <w:lang w:eastAsia="zh-CN"/>
        </w:rPr>
        <w:t>甲方</w:t>
      </w:r>
      <w:r>
        <w:rPr>
          <w:rFonts w:hint="default" w:ascii="Times New Roman" w:hAnsi="Times New Roman" w:eastAsia="宋体" w:cs="Times New Roman"/>
          <w:color w:val="auto"/>
          <w:sz w:val="28"/>
          <w:szCs w:val="28"/>
          <w:u w:val="none"/>
        </w:rPr>
        <w:t>安排临时任务</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eastAsia="zh-CN"/>
        </w:rPr>
        <w:t>乙方</w:t>
      </w:r>
      <w:r>
        <w:rPr>
          <w:rFonts w:hint="eastAsia" w:ascii="宋体" w:hAnsi="宋体" w:eastAsia="宋体" w:cs="宋体"/>
          <w:color w:val="000000" w:themeColor="text1"/>
          <w:sz w:val="28"/>
          <w:szCs w:val="28"/>
          <w:highlight w:val="none"/>
        </w:rPr>
        <w:t>必须</w:t>
      </w:r>
      <w:r>
        <w:rPr>
          <w:rFonts w:hint="eastAsia" w:ascii="宋体" w:hAnsi="宋体" w:eastAsia="宋体" w:cs="宋体"/>
          <w:color w:val="000000" w:themeColor="text1"/>
          <w:sz w:val="28"/>
          <w:szCs w:val="28"/>
          <w:highlight w:val="none"/>
          <w:lang w:val="en-US" w:eastAsia="zh-CN"/>
        </w:rPr>
        <w:t>积极</w:t>
      </w:r>
      <w:r>
        <w:rPr>
          <w:rFonts w:hint="eastAsia" w:ascii="宋体" w:hAnsi="宋体" w:eastAsia="宋体" w:cs="宋体"/>
          <w:color w:val="000000" w:themeColor="text1"/>
          <w:sz w:val="28"/>
          <w:szCs w:val="28"/>
          <w:highlight w:val="none"/>
        </w:rPr>
        <w:t>响应，快速组织人员设备，及时完成工作任务。</w:t>
      </w:r>
    </w:p>
    <w:p w14:paraId="162ED190">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2.</w:t>
      </w:r>
      <w:r>
        <w:rPr>
          <w:rFonts w:hint="eastAsia" w:ascii="Times New Roman" w:hAnsi="Times New Roman" w:eastAsia="宋体" w:cs="Times New Roman"/>
          <w:color w:val="auto"/>
          <w:sz w:val="28"/>
          <w:szCs w:val="28"/>
          <w:u w:val="none"/>
          <w:lang w:val="en-US" w:eastAsia="zh-CN"/>
        </w:rPr>
        <w:t>乙方</w:t>
      </w:r>
      <w:r>
        <w:rPr>
          <w:rFonts w:hint="eastAsia" w:ascii="Times New Roman" w:hAnsi="Times New Roman" w:eastAsia="宋体" w:cs="Times New Roman"/>
          <w:color w:val="auto"/>
          <w:sz w:val="28"/>
          <w:szCs w:val="28"/>
          <w:u w:val="none"/>
          <w:lang w:eastAsia="zh-CN"/>
        </w:rPr>
        <w:t>应具备整体或局部安全拆除各种常见结构类型建构筑物的技术能力，具有专业设备和专业技术人员。制定拆除方案完成时间、安全风险评估、安全措施等。</w:t>
      </w:r>
    </w:p>
    <w:p w14:paraId="7EE20392">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default" w:ascii="宋体" w:hAnsi="宋体" w:eastAsia="宋体" w:cs="宋体"/>
          <w:color w:val="000000" w:themeColor="text1"/>
          <w:sz w:val="28"/>
          <w:szCs w:val="28"/>
          <w:highlight w:val="none"/>
          <w:lang w:val="en-US"/>
        </w:rPr>
      </w:pPr>
      <w:r>
        <w:rPr>
          <w:rFonts w:hint="eastAsia" w:ascii="宋体" w:hAnsi="宋体" w:eastAsia="宋体" w:cs="宋体"/>
          <w:color w:val="000000" w:themeColor="text1"/>
          <w:sz w:val="28"/>
          <w:szCs w:val="28"/>
          <w:highlight w:val="none"/>
          <w:lang w:val="en-US" w:eastAsia="zh-CN"/>
        </w:rPr>
        <w:t>3.拆除作业前，乙方应派出专业技术人员前往预拆地进行现场勘查、风险评估、安全技术鉴定、施工方案、技术方案论证等工作。排除拆除过程中可能存在的安全隐患，并核实拆除现场的水、电、燃气设施处置情况，并有义务将上述情况及采取的应对措施告知甲方。若经现场核实，拆除风险系数大、难度系数高的情况，乙方无法实施拆除，无法响应服务的情形，需乙方将不能实施拆除的原因以书面形式告知甲方，并明确表明自愿放弃拆除事项，甲方可另选择其他公司实施此项工程。</w:t>
      </w:r>
    </w:p>
    <w:p w14:paraId="56D202E6">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4.人工拆除局部框架混泥土结构房屋时，乙方应派出专业技术人员前往预拆地进行现场勘查、风险评估、和安全技术鉴定。作业前，乙方根据技术能力和条件明确施工方案并按照甲方要求，结合现场实际情况准备机械和工具。在拆除过程中，乙方应对合法保留的建筑物进行临时防护或加固，避免因拆除工作导致合法建筑区域破坏或结构失效。如因技术问题或操作不当未能按要求实施整体或部分的完全拆除，将不计算拆除面积。若造成设备设施或人员伤亡等第三方损失的，由乙方负责恢复原状并承担所有责任，若甲方因此对外承担法律责任的，有权向乙方追责。</w:t>
      </w:r>
    </w:p>
    <w:p w14:paraId="3AB2F688">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5.</w:t>
      </w:r>
      <w:r>
        <w:rPr>
          <w:rFonts w:hint="default" w:ascii="Times New Roman" w:hAnsi="Times New Roman" w:eastAsia="宋体" w:cs="Times New Roman"/>
          <w:color w:val="000000" w:themeColor="text1"/>
          <w:sz w:val="28"/>
          <w:szCs w:val="28"/>
          <w:highlight w:val="none"/>
        </w:rPr>
        <w:t>拆除作业中，</w:t>
      </w:r>
      <w:r>
        <w:rPr>
          <w:rFonts w:hint="eastAsia" w:ascii="Times New Roman" w:hAnsi="Times New Roman" w:eastAsia="宋体" w:cs="Times New Roman"/>
          <w:color w:val="000000" w:themeColor="text1"/>
          <w:sz w:val="28"/>
          <w:szCs w:val="28"/>
          <w:highlight w:val="none"/>
          <w:lang w:val="en-US" w:eastAsia="zh-CN"/>
        </w:rPr>
        <w:t>乙方</w:t>
      </w:r>
      <w:r>
        <w:rPr>
          <w:rFonts w:hint="default" w:ascii="Times New Roman" w:hAnsi="Times New Roman" w:eastAsia="宋体" w:cs="Times New Roman"/>
          <w:color w:val="000000" w:themeColor="text1"/>
          <w:sz w:val="28"/>
          <w:szCs w:val="28"/>
          <w:highlight w:val="none"/>
        </w:rPr>
        <w:t>拆除作业现场人员、机械需满足实际要求，做到随时24小时待命。在接到</w:t>
      </w:r>
      <w:r>
        <w:rPr>
          <w:rFonts w:hint="eastAsia" w:ascii="Times New Roman" w:hAnsi="Times New Roman" w:eastAsia="宋体" w:cs="Times New Roman"/>
          <w:color w:val="000000" w:themeColor="text1"/>
          <w:sz w:val="28"/>
          <w:szCs w:val="28"/>
          <w:highlight w:val="none"/>
          <w:lang w:val="en-US" w:eastAsia="zh-CN"/>
        </w:rPr>
        <w:t>甲方</w:t>
      </w:r>
      <w:r>
        <w:rPr>
          <w:rFonts w:hint="default" w:ascii="Times New Roman" w:hAnsi="Times New Roman" w:eastAsia="宋体" w:cs="Times New Roman"/>
          <w:color w:val="000000" w:themeColor="text1"/>
          <w:sz w:val="28"/>
          <w:szCs w:val="28"/>
          <w:highlight w:val="none"/>
        </w:rPr>
        <w:t>拆除通知后立即组织人员、机械到达拆除作业现场实施拆除作业，并做到安全有效的拆除，</w:t>
      </w:r>
      <w:r>
        <w:rPr>
          <w:rFonts w:hint="eastAsia" w:ascii="Times New Roman" w:hAnsi="Times New Roman" w:eastAsia="宋体" w:cs="Times New Roman"/>
          <w:color w:val="000000" w:themeColor="text1"/>
          <w:sz w:val="28"/>
          <w:szCs w:val="28"/>
          <w:highlight w:val="none"/>
          <w:lang w:val="en-US" w:eastAsia="zh-CN"/>
        </w:rPr>
        <w:t>乙方</w:t>
      </w:r>
      <w:r>
        <w:rPr>
          <w:rFonts w:hint="default" w:ascii="Times New Roman" w:hAnsi="Times New Roman" w:eastAsia="宋体" w:cs="Times New Roman"/>
          <w:color w:val="000000" w:themeColor="text1"/>
          <w:sz w:val="28"/>
          <w:szCs w:val="28"/>
          <w:highlight w:val="none"/>
        </w:rPr>
        <w:t>参加拆除的工作人员安全问题由</w:t>
      </w:r>
      <w:r>
        <w:rPr>
          <w:rFonts w:hint="eastAsia" w:ascii="Times New Roman" w:hAnsi="Times New Roman" w:eastAsia="宋体" w:cs="Times New Roman"/>
          <w:color w:val="000000" w:themeColor="text1"/>
          <w:sz w:val="28"/>
          <w:szCs w:val="28"/>
          <w:highlight w:val="none"/>
          <w:lang w:val="en-US" w:eastAsia="zh-CN"/>
        </w:rPr>
        <w:t>乙方</w:t>
      </w:r>
      <w:r>
        <w:rPr>
          <w:rFonts w:hint="default" w:ascii="Times New Roman" w:hAnsi="Times New Roman" w:eastAsia="宋体" w:cs="Times New Roman"/>
          <w:color w:val="000000" w:themeColor="text1"/>
          <w:sz w:val="28"/>
          <w:szCs w:val="28"/>
          <w:highlight w:val="none"/>
        </w:rPr>
        <w:t>自行负责，同时确保拆除现场周边民房及居民等相关人财物的安全。在拆除过程中，如因技术问题或操作不当造成路面污染、周围地面附属物损坏、设施损坏或人员伤亡等第三方损失的，由</w:t>
      </w:r>
      <w:r>
        <w:rPr>
          <w:rFonts w:hint="eastAsia" w:ascii="Times New Roman" w:hAnsi="Times New Roman" w:eastAsia="宋体" w:cs="Times New Roman"/>
          <w:color w:val="000000" w:themeColor="text1"/>
          <w:sz w:val="28"/>
          <w:szCs w:val="28"/>
          <w:highlight w:val="none"/>
          <w:lang w:val="en-US" w:eastAsia="zh-CN"/>
        </w:rPr>
        <w:t>乙方</w:t>
      </w:r>
      <w:r>
        <w:rPr>
          <w:rFonts w:hint="default" w:ascii="Times New Roman" w:hAnsi="Times New Roman" w:eastAsia="宋体" w:cs="Times New Roman"/>
          <w:color w:val="000000" w:themeColor="text1"/>
          <w:sz w:val="28"/>
          <w:szCs w:val="28"/>
          <w:highlight w:val="none"/>
        </w:rPr>
        <w:t>负责清理、恢复原状并承担所有责任，若</w:t>
      </w:r>
      <w:r>
        <w:rPr>
          <w:rFonts w:hint="eastAsia" w:ascii="Times New Roman" w:hAnsi="Times New Roman" w:eastAsia="宋体" w:cs="Times New Roman"/>
          <w:color w:val="000000" w:themeColor="text1"/>
          <w:sz w:val="28"/>
          <w:szCs w:val="28"/>
          <w:highlight w:val="none"/>
          <w:lang w:val="en-US" w:eastAsia="zh-CN"/>
        </w:rPr>
        <w:t>甲方</w:t>
      </w:r>
      <w:r>
        <w:rPr>
          <w:rFonts w:hint="default" w:ascii="Times New Roman" w:hAnsi="Times New Roman" w:eastAsia="宋体" w:cs="Times New Roman"/>
          <w:color w:val="000000" w:themeColor="text1"/>
          <w:sz w:val="28"/>
          <w:szCs w:val="28"/>
          <w:highlight w:val="none"/>
        </w:rPr>
        <w:t>因此对外承担法律责任的，有权向</w:t>
      </w:r>
      <w:r>
        <w:rPr>
          <w:rFonts w:hint="eastAsia" w:ascii="Times New Roman" w:hAnsi="Times New Roman" w:eastAsia="宋体" w:cs="Times New Roman"/>
          <w:color w:val="000000" w:themeColor="text1"/>
          <w:sz w:val="28"/>
          <w:szCs w:val="28"/>
          <w:highlight w:val="none"/>
          <w:lang w:val="en-US" w:eastAsia="zh-CN"/>
        </w:rPr>
        <w:t>乙方</w:t>
      </w:r>
      <w:r>
        <w:rPr>
          <w:rFonts w:hint="default" w:ascii="Times New Roman" w:hAnsi="Times New Roman" w:eastAsia="宋体" w:cs="Times New Roman"/>
          <w:color w:val="000000" w:themeColor="text1"/>
          <w:sz w:val="28"/>
          <w:szCs w:val="28"/>
          <w:highlight w:val="none"/>
        </w:rPr>
        <w:t>追责。</w:t>
      </w:r>
    </w:p>
    <w:p w14:paraId="3DE14C53">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在拆除作业时，</w:t>
      </w:r>
      <w:r>
        <w:rPr>
          <w:rFonts w:hint="eastAsia" w:ascii="宋体" w:hAnsi="宋体" w:eastAsia="宋体" w:cs="宋体"/>
          <w:color w:val="000000" w:themeColor="text1"/>
          <w:sz w:val="28"/>
          <w:szCs w:val="28"/>
          <w:highlight w:val="none"/>
          <w:lang w:eastAsia="zh-CN"/>
        </w:rPr>
        <w:t>乙方</w:t>
      </w:r>
      <w:r>
        <w:rPr>
          <w:rFonts w:hint="eastAsia" w:ascii="宋体" w:hAnsi="宋体" w:eastAsia="宋体" w:cs="宋体"/>
          <w:color w:val="000000" w:themeColor="text1"/>
          <w:sz w:val="28"/>
          <w:szCs w:val="28"/>
          <w:highlight w:val="none"/>
        </w:rPr>
        <w:t>应文明施工，降低拆除过程中机械设备噪音及人为噪音。加强对扬尘污染的控制，采取洒水降尘措施，始终使用喷淋专用车喷淋、洒水、喷雾等有效降尘措施控制尘土飞扬，防止拆迁现场扬尘污染，保持良好的生态环境。</w:t>
      </w:r>
    </w:p>
    <w:p w14:paraId="3C7956F7">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合同约定以外的拆除事项，</w:t>
      </w:r>
      <w:r>
        <w:rPr>
          <w:rFonts w:hint="eastAsia" w:ascii="宋体" w:hAnsi="宋体" w:eastAsia="宋体" w:cs="宋体"/>
          <w:color w:val="auto"/>
          <w:sz w:val="28"/>
          <w:szCs w:val="28"/>
          <w:lang w:eastAsia="zh-CN"/>
        </w:rPr>
        <w:t>甲乙</w:t>
      </w:r>
      <w:r>
        <w:rPr>
          <w:rFonts w:hint="eastAsia" w:ascii="宋体" w:hAnsi="宋体" w:eastAsia="宋体" w:cs="宋体"/>
          <w:color w:val="auto"/>
          <w:sz w:val="28"/>
          <w:szCs w:val="28"/>
        </w:rPr>
        <w:t>双方可另行签订补充合同/协议，</w:t>
      </w:r>
      <w:r>
        <w:rPr>
          <w:rFonts w:hint="eastAsia" w:ascii="宋体" w:hAnsi="宋体" w:eastAsia="宋体" w:cs="宋体"/>
          <w:color w:val="auto"/>
          <w:sz w:val="28"/>
          <w:szCs w:val="28"/>
          <w:lang w:eastAsia="zh-CN"/>
        </w:rPr>
        <w:t>乙方</w:t>
      </w:r>
      <w:r>
        <w:rPr>
          <w:rFonts w:hint="eastAsia" w:ascii="宋体" w:hAnsi="宋体" w:eastAsia="宋体" w:cs="宋体"/>
          <w:color w:val="auto"/>
          <w:sz w:val="28"/>
          <w:szCs w:val="28"/>
        </w:rPr>
        <w:t>按合同/协议约定进行施工。</w:t>
      </w:r>
    </w:p>
    <w:p w14:paraId="1F7E7E2A">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lang w:eastAsia="zh-CN"/>
        </w:rPr>
        <w:t>乙方</w:t>
      </w:r>
      <w:r>
        <w:rPr>
          <w:rFonts w:hint="eastAsia" w:ascii="宋体" w:hAnsi="宋体" w:eastAsia="宋体" w:cs="宋体"/>
          <w:color w:val="auto"/>
          <w:sz w:val="28"/>
          <w:szCs w:val="28"/>
        </w:rPr>
        <w:t>必须落实安全拆除和安全防范措施，拆迁作业范围内安全责任完全由</w:t>
      </w:r>
      <w:r>
        <w:rPr>
          <w:rFonts w:hint="eastAsia" w:ascii="宋体" w:hAnsi="宋体" w:eastAsia="宋体" w:cs="宋体"/>
          <w:color w:val="auto"/>
          <w:sz w:val="28"/>
          <w:szCs w:val="28"/>
          <w:lang w:eastAsia="zh-CN"/>
        </w:rPr>
        <w:t>乙方</w:t>
      </w:r>
      <w:r>
        <w:rPr>
          <w:rFonts w:hint="eastAsia" w:ascii="宋体" w:hAnsi="宋体" w:eastAsia="宋体" w:cs="宋体"/>
          <w:color w:val="auto"/>
          <w:sz w:val="28"/>
          <w:szCs w:val="28"/>
        </w:rPr>
        <w:t>承担。</w:t>
      </w:r>
    </w:p>
    <w:p w14:paraId="3FF0C5FF">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9.严禁乙方擅自将拆违工作转包或分包。除拆违工作中需要特种技术支持且乙方无法满足等特殊情况外，乙方未征得甲方同意，擅自将部分或全部工作项目转包或分包给第三方的，甲方有权单方面终止合同，同时乙方要向甲方支付本项目合同金额（***万）的5%作为违约金。</w:t>
      </w:r>
    </w:p>
    <w:p w14:paraId="4DE3DE0A">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10.乙方在服务期间应服从甲方安排。若发生意见偏差，乙方应出具相关的书面证明验证其意见的可实施性，否则均按甲方意见实施；若乙方不能出具书面证明验证其意见的可实施性并不按甲方意见安排服务，乙方需向甲方支付合同金额（***万）的5%作为违约金。</w:t>
      </w:r>
    </w:p>
    <w:p w14:paraId="77F5685A">
      <w:pPr>
        <w:pStyle w:val="6"/>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11.乙方不得无故停止工作。乙方无故停止工作的，甲方有权按损失的数额扣减合同金额，同时乙方要向甲方支付合同金额（***万）的5%作为违约金。若无故停工累计达7天，甲方有权单方面终止合同。</w:t>
      </w:r>
    </w:p>
    <w:p w14:paraId="78BADC61">
      <w:pPr>
        <w:pStyle w:val="6"/>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12.乙方应严格遵守国家法律、法规等相关规定，不得有违反国家法律、法规的行为。如乙方及其员工有任何违法乱纪的行为，由乙方及其员工自行承担一切经济责任和法律责任；如甲方承担上述责任后，有权向乙方追偿。</w:t>
      </w:r>
    </w:p>
    <w:p w14:paraId="58D10016">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二</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建筑垃圾装卸收集清运服务要求</w:t>
      </w:r>
    </w:p>
    <w:p w14:paraId="5F89B787">
      <w:pPr>
        <w:keepNext w:val="0"/>
        <w:keepLines w:val="0"/>
        <w:pageBreakBefore w:val="0"/>
        <w:widowControl w:val="0"/>
        <w:kinsoku/>
        <w:wordWrap/>
        <w:overflowPunct/>
        <w:topLinePunct w:val="0"/>
        <w:autoSpaceDE/>
        <w:autoSpaceDN/>
        <w:bidi w:val="0"/>
        <w:adjustRightInd/>
        <w:spacing w:line="578" w:lineRule="exact"/>
        <w:ind w:firstLine="560" w:firstLineChars="200"/>
        <w:textAlignment w:val="auto"/>
        <w:rPr>
          <w:rFonts w:hint="eastAsia" w:ascii="宋体" w:hAnsi="宋体" w:eastAsia="宋体" w:cs="宋体"/>
          <w:color w:val="auto"/>
          <w:sz w:val="28"/>
          <w:szCs w:val="28"/>
          <w:highlight w:val="yellow"/>
          <w:lang w:eastAsia="zh-CN"/>
        </w:rPr>
      </w:pPr>
      <w:r>
        <w:rPr>
          <w:rFonts w:hint="eastAsia" w:ascii="宋体" w:hAnsi="宋体" w:eastAsia="宋体" w:cs="宋体"/>
          <w:color w:val="auto"/>
          <w:sz w:val="28"/>
          <w:szCs w:val="28"/>
          <w:highlight w:val="none"/>
          <w:lang w:val="en-US" w:eastAsia="zh-CN"/>
        </w:rPr>
        <w:t>1.框架、混合结构按0.75m³/㎡建筑面积折算成建筑垃圾，简易结构按（砖墙、硬化地板、石棉瓦顶或铁皮顶）0.45m³/㎡建筑面积折算成建筑垃圾，简易铁皮房（架）不计算建筑垃圾。</w:t>
      </w:r>
    </w:p>
    <w:p w14:paraId="3D8E59B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应符合垃圾装卸收集清运作业要求及三亚市人民政府相关文件要求（施工前需办理建筑垃圾排放核准、建筑垃圾运输核准，按《关于全市在建工程项目办理建筑垃圾处理电子联单的通知》（三住建〔2024〕1266号）要求排放建筑垃圾），必须全部运往具有住建部门发放“城市建筑垃圾终端设施处置核准证”的收纳点，并提供指定建筑垃圾处理点出具的证明及运距证明，且施工现场需配备洒水车，做好抑制扬尘等环保文明施工措施。</w:t>
      </w:r>
    </w:p>
    <w:p w14:paraId="72CC03A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3.乙方</w:t>
      </w:r>
      <w:r>
        <w:rPr>
          <w:rFonts w:hint="eastAsia" w:ascii="宋体" w:hAnsi="宋体" w:eastAsia="宋体" w:cs="宋体"/>
          <w:color w:val="auto"/>
          <w:sz w:val="28"/>
          <w:szCs w:val="28"/>
        </w:rPr>
        <w:t>需按照建筑垃圾清运作业要求，完成吉阳区建筑垃圾清运工作；严格实行分类运输，不得混装混运，按规定运输路线、时间进行运输，沿途不得随意倾倒，抛撒，堆放建筑垃圾；若因垃圾堆放违反法律法规，由</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承担相关行政处罚或者仲裁、诉讼负全部责任，因此给</w:t>
      </w:r>
      <w:r>
        <w:rPr>
          <w:rFonts w:hint="eastAsia" w:ascii="宋体" w:hAnsi="宋体" w:eastAsia="宋体" w:cs="宋体"/>
          <w:color w:val="auto"/>
          <w:sz w:val="28"/>
          <w:szCs w:val="28"/>
          <w:lang w:val="en-US" w:eastAsia="zh-CN"/>
        </w:rPr>
        <w:t>甲方</w:t>
      </w:r>
      <w:r>
        <w:rPr>
          <w:rFonts w:hint="eastAsia" w:ascii="宋体" w:hAnsi="宋体" w:eastAsia="宋体" w:cs="宋体"/>
          <w:color w:val="auto"/>
          <w:sz w:val="28"/>
          <w:szCs w:val="28"/>
        </w:rPr>
        <w:t>造成损失的，</w:t>
      </w:r>
      <w:r>
        <w:rPr>
          <w:rFonts w:hint="eastAsia" w:ascii="宋体" w:hAnsi="宋体" w:eastAsia="宋体" w:cs="宋体"/>
          <w:color w:val="auto"/>
          <w:sz w:val="28"/>
          <w:szCs w:val="28"/>
          <w:lang w:val="en-US" w:eastAsia="zh-CN"/>
        </w:rPr>
        <w:t>甲方</w:t>
      </w:r>
      <w:r>
        <w:rPr>
          <w:rFonts w:hint="eastAsia" w:ascii="宋体" w:hAnsi="宋体" w:eastAsia="宋体" w:cs="宋体"/>
          <w:color w:val="auto"/>
          <w:sz w:val="28"/>
          <w:szCs w:val="28"/>
        </w:rPr>
        <w:t>有权向</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追责。</w:t>
      </w:r>
    </w:p>
    <w:p w14:paraId="06DD6D9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运输车辆周围应整洁，无建筑垃圾满溢落地现象，确保建筑垃圾及时得到收集清运；车容保持整洁，密闭化运输，运输建筑垃圾过程中要遮盖防尘，不沿路撒漏飞扬，符合环保要求；车体外部无污物、污垢，标志清晰；车辆使用后无乱停放现象。</w:t>
      </w:r>
    </w:p>
    <w:p w14:paraId="1FF3796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垃圾装运量应与车辆的额定荷载和有效容积为限，不得超重，如因超重、超速或其他违反交通法规造成财产损失或人员伤亡的，由</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承担全部责任。</w:t>
      </w:r>
    </w:p>
    <w:p w14:paraId="68D8B33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装卸收集清运作业过程中，如因</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失误造成造成路面污染、周围地面附属物损坏、设施损坏或人员伤亡等第三方损失的，由</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负责清理、恢复原状并承担所有责任，若</w:t>
      </w:r>
      <w:r>
        <w:rPr>
          <w:rFonts w:hint="eastAsia" w:ascii="宋体" w:hAnsi="宋体" w:eastAsia="宋体" w:cs="宋体"/>
          <w:color w:val="auto"/>
          <w:sz w:val="28"/>
          <w:szCs w:val="28"/>
          <w:lang w:val="en-US" w:eastAsia="zh-CN"/>
        </w:rPr>
        <w:t>甲方</w:t>
      </w:r>
      <w:r>
        <w:rPr>
          <w:rFonts w:hint="eastAsia" w:ascii="宋体" w:hAnsi="宋体" w:eastAsia="宋体" w:cs="宋体"/>
          <w:color w:val="auto"/>
          <w:sz w:val="28"/>
          <w:szCs w:val="28"/>
        </w:rPr>
        <w:t>因此对外承担法律责任的，有权向</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追责。</w:t>
      </w:r>
    </w:p>
    <w:p w14:paraId="31D87AD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7.乙方</w:t>
      </w:r>
      <w:r>
        <w:rPr>
          <w:rFonts w:hint="eastAsia" w:ascii="宋体" w:hAnsi="宋体" w:eastAsia="宋体" w:cs="宋体"/>
          <w:color w:val="auto"/>
          <w:sz w:val="28"/>
          <w:szCs w:val="28"/>
        </w:rPr>
        <w:t>必须有存放整治清理后建筑垃圾（环境综合整治垃圾）的场所（不能在道路主干道两侧、不能影响居民正常生活），存放垃圾不能造成第二次污染，产生的相关费用由</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承担。因存放垃圾场所引起纠纷的，由</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负责解决并承担相关责任。</w:t>
      </w:r>
    </w:p>
    <w:p w14:paraId="0BC5DF5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8.乙方</w:t>
      </w:r>
      <w:r>
        <w:rPr>
          <w:rFonts w:hint="eastAsia" w:ascii="宋体" w:hAnsi="宋体" w:eastAsia="宋体" w:cs="宋体"/>
          <w:color w:val="auto"/>
          <w:sz w:val="28"/>
          <w:szCs w:val="28"/>
        </w:rPr>
        <w:t>必须具有清理建筑垃圾所需要的炮机及其他设备。</w:t>
      </w:r>
    </w:p>
    <w:p w14:paraId="6DA216B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9.乙方</w:t>
      </w:r>
      <w:r>
        <w:rPr>
          <w:rFonts w:hint="eastAsia" w:ascii="宋体" w:hAnsi="宋体" w:eastAsia="宋体" w:cs="宋体"/>
          <w:color w:val="auto"/>
          <w:sz w:val="28"/>
          <w:szCs w:val="28"/>
        </w:rPr>
        <w:t>自有车辆满足运输能力要求，车辆密封完好。运输车辆必须加装密闭设施，实施密闭运输，加装卫星定位系统、行车记录仪等监控设备，对运输车辆进行实时监控。</w:t>
      </w:r>
    </w:p>
    <w:p w14:paraId="3B970F2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装卸收集清运作业范围内安全责任安全由</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承担。</w:t>
      </w:r>
    </w:p>
    <w:p w14:paraId="0F6601F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lang w:val="en-US" w:eastAsia="zh-CN"/>
        </w:rPr>
        <w:t>11.</w:t>
      </w:r>
      <w:r>
        <w:rPr>
          <w:rFonts w:hint="eastAsia" w:ascii="宋体" w:hAnsi="宋体" w:eastAsia="宋体" w:cs="宋体"/>
          <w:color w:val="auto"/>
          <w:sz w:val="28"/>
          <w:szCs w:val="28"/>
        </w:rPr>
        <w:t>在应急情况下，无条件服从</w:t>
      </w:r>
      <w:r>
        <w:rPr>
          <w:rFonts w:hint="eastAsia" w:ascii="宋体" w:hAnsi="宋体" w:eastAsia="宋体" w:cs="宋体"/>
          <w:color w:val="auto"/>
          <w:sz w:val="28"/>
          <w:szCs w:val="28"/>
          <w:lang w:val="en-US" w:eastAsia="zh-CN"/>
        </w:rPr>
        <w:t>甲方</w:t>
      </w:r>
      <w:r>
        <w:rPr>
          <w:rFonts w:hint="eastAsia" w:ascii="宋体" w:hAnsi="宋体" w:eastAsia="宋体" w:cs="宋体"/>
          <w:color w:val="auto"/>
          <w:sz w:val="28"/>
          <w:szCs w:val="28"/>
        </w:rPr>
        <w:t>安排进行其他建筑垃圾的清运。</w:t>
      </w:r>
    </w:p>
    <w:p w14:paraId="07B4F32B">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宋体" w:hAnsi="宋体" w:eastAsia="宋体" w:cs="宋体"/>
          <w:b/>
          <w:bCs/>
          <w:color w:val="auto"/>
          <w:sz w:val="28"/>
          <w:szCs w:val="28"/>
        </w:rPr>
      </w:pPr>
      <w:r>
        <w:rPr>
          <w:rFonts w:hint="eastAsia" w:ascii="宋体" w:hAnsi="宋体" w:eastAsia="宋体" w:cs="宋体"/>
          <w:b/>
          <w:bCs/>
          <w:color w:val="auto"/>
          <w:sz w:val="28"/>
          <w:szCs w:val="28"/>
        </w:rPr>
        <w:t>三、服务过程监督：由甲乙双方商定</w:t>
      </w:r>
    </w:p>
    <w:p w14:paraId="646A2039">
      <w:pPr>
        <w:keepNext w:val="0"/>
        <w:keepLines w:val="0"/>
        <w:pageBreakBefore w:val="0"/>
        <w:widowControl w:val="0"/>
        <w:kinsoku/>
        <w:wordWrap/>
        <w:overflowPunct/>
        <w:topLinePunct w:val="0"/>
        <w:autoSpaceDE/>
        <w:autoSpaceDN/>
        <w:bidi w:val="0"/>
        <w:adjustRightInd/>
        <w:snapToGrid/>
        <w:spacing w:line="540" w:lineRule="exact"/>
        <w:ind w:left="840" w:leftChars="266" w:hanging="281" w:hangingChars="1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四、服务期限：</w:t>
      </w:r>
    </w:p>
    <w:p w14:paraId="58ABE6C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rPr>
        <w:t>本项目</w:t>
      </w:r>
      <w:r>
        <w:rPr>
          <w:rFonts w:hint="eastAsia" w:ascii="宋体" w:hAnsi="宋体" w:eastAsia="宋体" w:cs="宋体"/>
          <w:color w:val="auto"/>
          <w:sz w:val="28"/>
          <w:szCs w:val="28"/>
          <w:lang w:val="en-US" w:eastAsia="zh-CN"/>
        </w:rPr>
        <w:t>合同</w:t>
      </w:r>
      <w:r>
        <w:rPr>
          <w:rFonts w:hint="eastAsia" w:ascii="宋体" w:hAnsi="宋体" w:eastAsia="宋体" w:cs="宋体"/>
          <w:color w:val="auto"/>
          <w:sz w:val="28"/>
          <w:szCs w:val="28"/>
        </w:rPr>
        <w:t>服务期限为一年</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自</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日起至</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u w:val="none"/>
          <w:lang w:val="en-US" w:eastAsia="zh-CN"/>
        </w:rPr>
        <w:t>日止</w:t>
      </w:r>
      <w:r>
        <w:rPr>
          <w:rFonts w:hint="eastAsia" w:ascii="宋体" w:hAnsi="宋体" w:eastAsia="宋体" w:cs="宋体"/>
          <w:color w:val="auto"/>
          <w:sz w:val="28"/>
          <w:szCs w:val="28"/>
        </w:rPr>
        <w:t>或采购金额达到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万元</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时合同自行终止，两者中以先达到者为准。</w:t>
      </w:r>
    </w:p>
    <w:p w14:paraId="5648804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（二）乙方理解并同意：本合同履约期间，如遇政府出台政策性调整文件或因甲方工作调整，需要终止合同的，本服务合同无条件解除，乙方不得提出任何赔偿或补偿要求。</w:t>
      </w:r>
    </w:p>
    <w:p w14:paraId="2E3AA8CA">
      <w:pPr>
        <w:keepNext w:val="0"/>
        <w:keepLines w:val="0"/>
        <w:pageBreakBefore w:val="0"/>
        <w:widowControl w:val="0"/>
        <w:kinsoku/>
        <w:wordWrap/>
        <w:overflowPunct/>
        <w:topLinePunct w:val="0"/>
        <w:autoSpaceDE/>
        <w:autoSpaceDN/>
        <w:bidi w:val="0"/>
        <w:adjustRightInd/>
        <w:spacing w:line="578" w:lineRule="exact"/>
        <w:ind w:firstLine="562" w:firstLineChars="200"/>
        <w:textAlignment w:val="auto"/>
        <w:rPr>
          <w:rFonts w:ascii="宋体" w:hAnsi="宋体" w:eastAsia="宋体" w:cs="宋体"/>
          <w:b/>
          <w:bCs/>
          <w:color w:val="auto"/>
          <w:sz w:val="28"/>
          <w:szCs w:val="28"/>
        </w:rPr>
      </w:pPr>
      <w:r>
        <w:rPr>
          <w:rFonts w:hint="eastAsia" w:ascii="宋体" w:hAnsi="宋体" w:eastAsia="宋体" w:cs="宋体"/>
          <w:b/>
          <w:bCs/>
          <w:color w:val="auto"/>
          <w:sz w:val="28"/>
          <w:szCs w:val="28"/>
        </w:rPr>
        <w:t>五、增加工程内容及支付费用:</w:t>
      </w:r>
    </w:p>
    <w:tbl>
      <w:tblPr>
        <w:tblStyle w:val="7"/>
        <w:tblW w:w="9345"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3934"/>
        <w:gridCol w:w="916"/>
        <w:gridCol w:w="1190"/>
        <w:gridCol w:w="2505"/>
      </w:tblGrid>
      <w:tr w14:paraId="6BF6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noWrap w:val="0"/>
            <w:vAlign w:val="center"/>
          </w:tcPr>
          <w:p w14:paraId="2FC5B3F4">
            <w:pPr>
              <w:pStyle w:val="4"/>
              <w:spacing w:line="380" w:lineRule="exact"/>
              <w:jc w:val="center"/>
              <w:rPr>
                <w:color w:val="000000"/>
                <w:sz w:val="21"/>
                <w:szCs w:val="21"/>
              </w:rPr>
            </w:pPr>
            <w:r>
              <w:rPr>
                <w:rFonts w:hint="eastAsia"/>
                <w:color w:val="000000"/>
                <w:sz w:val="21"/>
                <w:szCs w:val="21"/>
              </w:rPr>
              <w:t>序号</w:t>
            </w:r>
          </w:p>
        </w:tc>
        <w:tc>
          <w:tcPr>
            <w:tcW w:w="3934" w:type="dxa"/>
            <w:noWrap w:val="0"/>
            <w:vAlign w:val="center"/>
          </w:tcPr>
          <w:p w14:paraId="7F747686">
            <w:pPr>
              <w:pStyle w:val="4"/>
              <w:spacing w:line="380" w:lineRule="exact"/>
              <w:jc w:val="center"/>
              <w:rPr>
                <w:color w:val="000000"/>
                <w:sz w:val="21"/>
                <w:szCs w:val="21"/>
              </w:rPr>
            </w:pPr>
            <w:r>
              <w:rPr>
                <w:rFonts w:hint="eastAsia"/>
                <w:color w:val="000000"/>
                <w:sz w:val="21"/>
                <w:szCs w:val="21"/>
              </w:rPr>
              <w:t>分项内容</w:t>
            </w:r>
          </w:p>
        </w:tc>
        <w:tc>
          <w:tcPr>
            <w:tcW w:w="916" w:type="dxa"/>
            <w:noWrap w:val="0"/>
            <w:vAlign w:val="center"/>
          </w:tcPr>
          <w:p w14:paraId="128EDCF9">
            <w:pPr>
              <w:pStyle w:val="4"/>
              <w:spacing w:line="380" w:lineRule="exact"/>
              <w:jc w:val="center"/>
              <w:rPr>
                <w:color w:val="000000"/>
                <w:sz w:val="21"/>
                <w:szCs w:val="21"/>
                <w:lang w:eastAsia="zh-CN"/>
              </w:rPr>
            </w:pPr>
            <w:r>
              <w:rPr>
                <w:rFonts w:hint="eastAsia"/>
                <w:color w:val="000000"/>
                <w:sz w:val="21"/>
                <w:szCs w:val="21"/>
                <w:lang w:eastAsia="zh-CN"/>
              </w:rPr>
              <w:t>单位</w:t>
            </w:r>
          </w:p>
        </w:tc>
        <w:tc>
          <w:tcPr>
            <w:tcW w:w="1190" w:type="dxa"/>
            <w:noWrap w:val="0"/>
            <w:vAlign w:val="center"/>
          </w:tcPr>
          <w:p w14:paraId="026B01AA">
            <w:pPr>
              <w:pStyle w:val="4"/>
              <w:spacing w:line="380" w:lineRule="exact"/>
              <w:jc w:val="center"/>
              <w:rPr>
                <w:rFonts w:hint="eastAsia" w:eastAsia="宋体"/>
                <w:color w:val="000000"/>
                <w:sz w:val="21"/>
                <w:szCs w:val="21"/>
                <w:lang w:eastAsia="zh-CN"/>
              </w:rPr>
            </w:pPr>
            <w:r>
              <w:rPr>
                <w:rFonts w:hint="eastAsia"/>
                <w:color w:val="000000"/>
                <w:sz w:val="21"/>
                <w:szCs w:val="21"/>
              </w:rPr>
              <w:t>单价</w:t>
            </w:r>
            <w:r>
              <w:rPr>
                <w:rFonts w:hint="eastAsia"/>
                <w:color w:val="000000"/>
                <w:sz w:val="21"/>
                <w:szCs w:val="21"/>
                <w:lang w:eastAsia="zh-CN"/>
              </w:rPr>
              <w:t>（</w:t>
            </w:r>
            <w:r>
              <w:rPr>
                <w:rFonts w:hint="eastAsia"/>
                <w:color w:val="000000"/>
                <w:sz w:val="21"/>
                <w:szCs w:val="21"/>
                <w:lang w:val="en-US" w:eastAsia="zh-CN"/>
              </w:rPr>
              <w:t>元</w:t>
            </w:r>
            <w:r>
              <w:rPr>
                <w:rFonts w:hint="eastAsia"/>
                <w:color w:val="000000"/>
                <w:sz w:val="21"/>
                <w:szCs w:val="21"/>
                <w:lang w:eastAsia="zh-CN"/>
              </w:rPr>
              <w:t>）</w:t>
            </w:r>
          </w:p>
        </w:tc>
        <w:tc>
          <w:tcPr>
            <w:tcW w:w="2505" w:type="dxa"/>
            <w:noWrap w:val="0"/>
            <w:vAlign w:val="center"/>
          </w:tcPr>
          <w:p w14:paraId="7BD1626A">
            <w:pPr>
              <w:pStyle w:val="4"/>
              <w:spacing w:line="380" w:lineRule="exact"/>
              <w:jc w:val="center"/>
              <w:rPr>
                <w:color w:val="000000"/>
                <w:sz w:val="21"/>
                <w:szCs w:val="21"/>
              </w:rPr>
            </w:pPr>
            <w:r>
              <w:rPr>
                <w:rFonts w:hint="eastAsia"/>
                <w:color w:val="000000"/>
                <w:sz w:val="21"/>
                <w:szCs w:val="21"/>
              </w:rPr>
              <w:t>备注</w:t>
            </w:r>
          </w:p>
        </w:tc>
      </w:tr>
      <w:tr w14:paraId="0468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5783D15C">
            <w:pPr>
              <w:pStyle w:val="4"/>
              <w:spacing w:line="380" w:lineRule="exact"/>
              <w:jc w:val="center"/>
              <w:rPr>
                <w:color w:val="000000"/>
                <w:sz w:val="21"/>
                <w:szCs w:val="21"/>
                <w:lang w:eastAsia="zh-CN"/>
              </w:rPr>
            </w:pPr>
            <w:r>
              <w:rPr>
                <w:rFonts w:hint="eastAsia"/>
                <w:color w:val="000000"/>
                <w:sz w:val="21"/>
                <w:szCs w:val="21"/>
                <w:lang w:eastAsia="zh-CN"/>
              </w:rPr>
              <w:t>1</w:t>
            </w:r>
          </w:p>
        </w:tc>
        <w:tc>
          <w:tcPr>
            <w:tcW w:w="3934" w:type="dxa"/>
            <w:noWrap w:val="0"/>
            <w:vAlign w:val="center"/>
          </w:tcPr>
          <w:p w14:paraId="0CD54646">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val="en-US" w:eastAsia="zh-CN"/>
              </w:rPr>
              <w:t>一般</w:t>
            </w:r>
            <w:r>
              <w:rPr>
                <w:rFonts w:hint="eastAsia" w:ascii="宋体" w:hAnsi="宋体" w:eastAsia="宋体" w:cs="宋体"/>
                <w:color w:val="000000"/>
                <w:kern w:val="0"/>
                <w:szCs w:val="21"/>
              </w:rPr>
              <w:t>拆除框架、混合结构</w:t>
            </w:r>
          </w:p>
        </w:tc>
        <w:tc>
          <w:tcPr>
            <w:tcW w:w="916" w:type="dxa"/>
            <w:noWrap w:val="0"/>
            <w:vAlign w:val="center"/>
          </w:tcPr>
          <w:p w14:paraId="5AFC9069">
            <w:pPr>
              <w:widowControl/>
              <w:jc w:val="center"/>
              <w:textAlignment w:val="center"/>
              <w:rPr>
                <w:rFonts w:ascii="宋体" w:hAnsi="宋体" w:eastAsia="宋体" w:cs="宋体"/>
                <w:color w:val="000000"/>
                <w:kern w:val="0"/>
                <w:szCs w:val="21"/>
              </w:rPr>
            </w:pPr>
            <w:r>
              <w:rPr>
                <w:rFonts w:ascii="宋体" w:hAnsi="宋体" w:eastAsia="宋体" w:cs="宋体"/>
                <w:color w:val="000000"/>
                <w:kern w:val="0"/>
                <w:szCs w:val="21"/>
              </w:rPr>
              <w:t>㎡</w:t>
            </w:r>
          </w:p>
        </w:tc>
        <w:tc>
          <w:tcPr>
            <w:tcW w:w="1190" w:type="dxa"/>
            <w:noWrap w:val="0"/>
            <w:vAlign w:val="center"/>
          </w:tcPr>
          <w:p w14:paraId="28C74F1F">
            <w:pPr>
              <w:widowControl/>
              <w:jc w:val="center"/>
              <w:textAlignment w:val="center"/>
              <w:rPr>
                <w:rFonts w:ascii="宋体" w:hAnsi="宋体" w:eastAsia="宋体" w:cs="宋体"/>
                <w:color w:val="000000"/>
                <w:szCs w:val="21"/>
              </w:rPr>
            </w:pPr>
          </w:p>
        </w:tc>
        <w:tc>
          <w:tcPr>
            <w:tcW w:w="2505" w:type="dxa"/>
            <w:noWrap w:val="0"/>
            <w:vAlign w:val="center"/>
          </w:tcPr>
          <w:p w14:paraId="3AF7D263">
            <w:pPr>
              <w:pStyle w:val="4"/>
              <w:spacing w:line="380" w:lineRule="exact"/>
              <w:jc w:val="center"/>
              <w:rPr>
                <w:color w:val="000000"/>
                <w:sz w:val="21"/>
                <w:szCs w:val="21"/>
              </w:rPr>
            </w:pPr>
          </w:p>
        </w:tc>
      </w:tr>
      <w:tr w14:paraId="77C3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1B4A9235">
            <w:pPr>
              <w:pStyle w:val="4"/>
              <w:spacing w:line="380" w:lineRule="exact"/>
              <w:jc w:val="center"/>
              <w:rPr>
                <w:color w:val="000000"/>
                <w:sz w:val="21"/>
                <w:szCs w:val="21"/>
                <w:lang w:eastAsia="zh-CN"/>
              </w:rPr>
            </w:pPr>
            <w:r>
              <w:rPr>
                <w:rFonts w:hint="eastAsia"/>
                <w:color w:val="000000"/>
                <w:sz w:val="21"/>
                <w:szCs w:val="21"/>
                <w:lang w:eastAsia="zh-CN"/>
              </w:rPr>
              <w:t>2</w:t>
            </w:r>
          </w:p>
        </w:tc>
        <w:tc>
          <w:tcPr>
            <w:tcW w:w="3934" w:type="dxa"/>
            <w:noWrap w:val="0"/>
            <w:vAlign w:val="center"/>
          </w:tcPr>
          <w:p w14:paraId="08D83667">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val="en-US" w:eastAsia="zh-CN"/>
              </w:rPr>
              <w:t>一般</w:t>
            </w:r>
            <w:r>
              <w:rPr>
                <w:rFonts w:hint="eastAsia" w:ascii="宋体" w:hAnsi="宋体" w:eastAsia="宋体" w:cs="宋体"/>
                <w:color w:val="000000"/>
                <w:kern w:val="0"/>
                <w:szCs w:val="21"/>
              </w:rPr>
              <w:t>拆除简易结构</w:t>
            </w:r>
          </w:p>
        </w:tc>
        <w:tc>
          <w:tcPr>
            <w:tcW w:w="916" w:type="dxa"/>
            <w:noWrap w:val="0"/>
            <w:vAlign w:val="center"/>
          </w:tcPr>
          <w:p w14:paraId="3E1C0EF7">
            <w:pPr>
              <w:widowControl/>
              <w:jc w:val="center"/>
              <w:textAlignment w:val="center"/>
              <w:rPr>
                <w:rFonts w:ascii="宋体" w:hAnsi="宋体" w:eastAsia="宋体" w:cs="宋体"/>
                <w:color w:val="000000"/>
                <w:kern w:val="0"/>
                <w:szCs w:val="21"/>
              </w:rPr>
            </w:pPr>
            <w:r>
              <w:rPr>
                <w:rFonts w:ascii="宋体" w:hAnsi="宋体" w:eastAsia="宋体" w:cs="宋体"/>
                <w:color w:val="000000"/>
                <w:kern w:val="0"/>
                <w:szCs w:val="21"/>
              </w:rPr>
              <w:t>㎡</w:t>
            </w:r>
          </w:p>
        </w:tc>
        <w:tc>
          <w:tcPr>
            <w:tcW w:w="1190" w:type="dxa"/>
            <w:noWrap w:val="0"/>
            <w:vAlign w:val="center"/>
          </w:tcPr>
          <w:p w14:paraId="3F477E25">
            <w:pPr>
              <w:widowControl/>
              <w:jc w:val="center"/>
              <w:textAlignment w:val="center"/>
              <w:rPr>
                <w:rFonts w:ascii="宋体" w:hAnsi="宋体" w:eastAsia="宋体" w:cs="宋体"/>
                <w:color w:val="000000"/>
                <w:szCs w:val="21"/>
              </w:rPr>
            </w:pPr>
          </w:p>
        </w:tc>
        <w:tc>
          <w:tcPr>
            <w:tcW w:w="2505" w:type="dxa"/>
            <w:noWrap w:val="0"/>
            <w:vAlign w:val="center"/>
          </w:tcPr>
          <w:p w14:paraId="39CB0225">
            <w:pPr>
              <w:pStyle w:val="4"/>
              <w:spacing w:line="380" w:lineRule="exact"/>
              <w:jc w:val="center"/>
              <w:rPr>
                <w:rFonts w:hint="default"/>
                <w:color w:val="000000"/>
                <w:sz w:val="21"/>
                <w:szCs w:val="21"/>
                <w:lang w:val="en-US"/>
              </w:rPr>
            </w:pPr>
            <w:r>
              <w:rPr>
                <w:rFonts w:hint="eastAsia" w:ascii="宋体" w:hAnsi="宋体" w:eastAsia="宋体" w:cs="宋体"/>
                <w:color w:val="000000"/>
                <w:kern w:val="0"/>
                <w:sz w:val="21"/>
                <w:szCs w:val="18"/>
              </w:rPr>
              <w:t>含户外广告牌</w:t>
            </w:r>
            <w:r>
              <w:rPr>
                <w:rFonts w:hint="eastAsia" w:cs="宋体"/>
                <w:color w:val="000000"/>
                <w:kern w:val="0"/>
                <w:sz w:val="21"/>
                <w:szCs w:val="18"/>
                <w:lang w:eastAsia="zh-CN"/>
              </w:rPr>
              <w:t>（</w:t>
            </w:r>
            <w:r>
              <w:rPr>
                <w:rFonts w:hint="eastAsia" w:cs="宋体"/>
                <w:color w:val="000000"/>
                <w:kern w:val="0"/>
                <w:sz w:val="21"/>
                <w:szCs w:val="18"/>
                <w:lang w:val="en-US" w:eastAsia="zh-CN"/>
              </w:rPr>
              <w:t>店招</w:t>
            </w:r>
            <w:r>
              <w:rPr>
                <w:rFonts w:hint="eastAsia" w:cs="宋体"/>
                <w:color w:val="000000"/>
                <w:kern w:val="0"/>
                <w:sz w:val="21"/>
                <w:szCs w:val="18"/>
                <w:lang w:eastAsia="zh-CN"/>
              </w:rPr>
              <w:t>）</w:t>
            </w:r>
            <w:r>
              <w:rPr>
                <w:rFonts w:hint="eastAsia" w:ascii="宋体" w:hAnsi="宋体" w:eastAsia="宋体" w:cs="宋体"/>
                <w:color w:val="000000"/>
                <w:kern w:val="0"/>
                <w:sz w:val="21"/>
                <w:szCs w:val="18"/>
              </w:rPr>
              <w:t>、硬化</w:t>
            </w:r>
            <w:r>
              <w:rPr>
                <w:rFonts w:hint="eastAsia" w:ascii="宋体" w:hAnsi="宋体" w:eastAsia="宋体" w:cs="宋体"/>
                <w:color w:val="000000"/>
                <w:kern w:val="0"/>
                <w:sz w:val="21"/>
                <w:szCs w:val="18"/>
                <w:lang w:val="en-US" w:eastAsia="zh-CN"/>
              </w:rPr>
              <w:t>地板</w:t>
            </w:r>
            <w:r>
              <w:rPr>
                <w:rFonts w:hint="eastAsia" w:cs="宋体"/>
                <w:color w:val="000000"/>
                <w:kern w:val="0"/>
                <w:sz w:val="21"/>
                <w:szCs w:val="18"/>
                <w:lang w:val="en-US" w:eastAsia="zh-CN"/>
              </w:rPr>
              <w:t>等构筑物</w:t>
            </w:r>
          </w:p>
        </w:tc>
      </w:tr>
      <w:tr w14:paraId="58D2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35B6B5C2">
            <w:pPr>
              <w:pStyle w:val="4"/>
              <w:spacing w:line="380" w:lineRule="exact"/>
              <w:jc w:val="center"/>
              <w:rPr>
                <w:color w:val="000000"/>
                <w:sz w:val="21"/>
                <w:szCs w:val="21"/>
                <w:lang w:eastAsia="zh-CN"/>
              </w:rPr>
            </w:pPr>
            <w:r>
              <w:rPr>
                <w:rFonts w:hint="eastAsia"/>
                <w:color w:val="000000"/>
                <w:sz w:val="21"/>
                <w:szCs w:val="21"/>
                <w:lang w:eastAsia="zh-CN"/>
              </w:rPr>
              <w:t>3</w:t>
            </w:r>
          </w:p>
        </w:tc>
        <w:tc>
          <w:tcPr>
            <w:tcW w:w="3934" w:type="dxa"/>
            <w:noWrap w:val="0"/>
            <w:vAlign w:val="center"/>
          </w:tcPr>
          <w:p w14:paraId="55B726B1">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人工拆除框架、混合结构</w:t>
            </w:r>
          </w:p>
        </w:tc>
        <w:tc>
          <w:tcPr>
            <w:tcW w:w="916" w:type="dxa"/>
            <w:noWrap w:val="0"/>
            <w:vAlign w:val="center"/>
          </w:tcPr>
          <w:p w14:paraId="4BFA0C2B">
            <w:pPr>
              <w:widowControl/>
              <w:jc w:val="center"/>
              <w:textAlignment w:val="center"/>
              <w:rPr>
                <w:rFonts w:ascii="宋体" w:hAnsi="宋体" w:eastAsia="宋体" w:cs="宋体"/>
                <w:color w:val="000000"/>
                <w:kern w:val="0"/>
                <w:szCs w:val="21"/>
              </w:rPr>
            </w:pPr>
            <w:r>
              <w:rPr>
                <w:rFonts w:ascii="宋体" w:hAnsi="宋体" w:eastAsia="宋体" w:cs="宋体"/>
                <w:color w:val="000000"/>
                <w:kern w:val="0"/>
                <w:szCs w:val="21"/>
              </w:rPr>
              <w:t>㎡</w:t>
            </w:r>
          </w:p>
        </w:tc>
        <w:tc>
          <w:tcPr>
            <w:tcW w:w="1190" w:type="dxa"/>
            <w:noWrap w:val="0"/>
            <w:vAlign w:val="center"/>
          </w:tcPr>
          <w:p w14:paraId="640B11D5">
            <w:pPr>
              <w:widowControl/>
              <w:jc w:val="center"/>
              <w:textAlignment w:val="center"/>
              <w:rPr>
                <w:rFonts w:ascii="宋体" w:hAnsi="宋体" w:eastAsia="宋体" w:cs="宋体"/>
                <w:color w:val="000000"/>
                <w:szCs w:val="21"/>
              </w:rPr>
            </w:pPr>
          </w:p>
        </w:tc>
        <w:tc>
          <w:tcPr>
            <w:tcW w:w="2505" w:type="dxa"/>
            <w:noWrap w:val="0"/>
            <w:vAlign w:val="center"/>
          </w:tcPr>
          <w:p w14:paraId="1E968BDA">
            <w:pPr>
              <w:pStyle w:val="4"/>
              <w:spacing w:line="380" w:lineRule="exact"/>
              <w:jc w:val="center"/>
              <w:rPr>
                <w:rFonts w:hint="default" w:eastAsia="宋体"/>
                <w:color w:val="000000"/>
                <w:sz w:val="21"/>
                <w:szCs w:val="21"/>
                <w:lang w:val="en-US" w:eastAsia="zh-CN"/>
              </w:rPr>
            </w:pPr>
            <w:r>
              <w:rPr>
                <w:rFonts w:hint="eastAsia"/>
                <w:color w:val="000000"/>
                <w:sz w:val="21"/>
                <w:szCs w:val="21"/>
                <w:lang w:val="en-US" w:eastAsia="zh-CN"/>
              </w:rPr>
              <w:t>含使用任何拆除措施</w:t>
            </w:r>
          </w:p>
        </w:tc>
      </w:tr>
      <w:tr w14:paraId="47DE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6F5C03F5">
            <w:pPr>
              <w:pStyle w:val="4"/>
              <w:spacing w:line="380" w:lineRule="exact"/>
              <w:jc w:val="center"/>
              <w:rPr>
                <w:color w:val="000000"/>
                <w:sz w:val="21"/>
                <w:szCs w:val="21"/>
                <w:lang w:eastAsia="zh-CN"/>
              </w:rPr>
            </w:pPr>
            <w:r>
              <w:rPr>
                <w:rFonts w:hint="eastAsia"/>
                <w:color w:val="000000"/>
                <w:sz w:val="21"/>
                <w:szCs w:val="21"/>
                <w:lang w:eastAsia="zh-CN"/>
              </w:rPr>
              <w:t>4</w:t>
            </w:r>
          </w:p>
        </w:tc>
        <w:tc>
          <w:tcPr>
            <w:tcW w:w="3934" w:type="dxa"/>
            <w:noWrap w:val="0"/>
            <w:vAlign w:val="center"/>
          </w:tcPr>
          <w:p w14:paraId="2C8F9B3B">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人工拆除简易结构</w:t>
            </w:r>
          </w:p>
        </w:tc>
        <w:tc>
          <w:tcPr>
            <w:tcW w:w="916" w:type="dxa"/>
            <w:noWrap w:val="0"/>
            <w:vAlign w:val="center"/>
          </w:tcPr>
          <w:p w14:paraId="2A8F22CC">
            <w:pPr>
              <w:widowControl/>
              <w:jc w:val="center"/>
              <w:textAlignment w:val="center"/>
              <w:rPr>
                <w:rFonts w:ascii="宋体" w:hAnsi="宋体" w:eastAsia="宋体" w:cs="宋体"/>
                <w:color w:val="000000"/>
                <w:kern w:val="0"/>
                <w:szCs w:val="21"/>
              </w:rPr>
            </w:pPr>
            <w:r>
              <w:rPr>
                <w:rFonts w:ascii="宋体" w:hAnsi="宋体" w:eastAsia="宋体" w:cs="宋体"/>
                <w:color w:val="000000"/>
                <w:kern w:val="0"/>
                <w:szCs w:val="21"/>
              </w:rPr>
              <w:t>㎡</w:t>
            </w:r>
          </w:p>
        </w:tc>
        <w:tc>
          <w:tcPr>
            <w:tcW w:w="1190" w:type="dxa"/>
            <w:noWrap w:val="0"/>
            <w:vAlign w:val="center"/>
          </w:tcPr>
          <w:p w14:paraId="675EB3ED">
            <w:pPr>
              <w:widowControl/>
              <w:jc w:val="center"/>
              <w:textAlignment w:val="center"/>
              <w:rPr>
                <w:rFonts w:ascii="宋体" w:hAnsi="宋体" w:eastAsia="宋体" w:cs="宋体"/>
                <w:color w:val="000000"/>
                <w:szCs w:val="21"/>
              </w:rPr>
            </w:pPr>
          </w:p>
        </w:tc>
        <w:tc>
          <w:tcPr>
            <w:tcW w:w="2505" w:type="dxa"/>
            <w:noWrap w:val="0"/>
            <w:vAlign w:val="center"/>
          </w:tcPr>
          <w:p w14:paraId="346325EA">
            <w:pPr>
              <w:pStyle w:val="4"/>
              <w:spacing w:line="380" w:lineRule="exact"/>
              <w:jc w:val="center"/>
              <w:rPr>
                <w:color w:val="000000"/>
                <w:sz w:val="21"/>
                <w:szCs w:val="21"/>
              </w:rPr>
            </w:pPr>
            <w:r>
              <w:rPr>
                <w:rFonts w:hint="eastAsia"/>
                <w:color w:val="000000"/>
                <w:sz w:val="21"/>
                <w:szCs w:val="21"/>
                <w:lang w:val="en-US" w:eastAsia="zh-CN"/>
              </w:rPr>
              <w:t>含使用任何拆除措施</w:t>
            </w:r>
          </w:p>
        </w:tc>
      </w:tr>
      <w:tr w14:paraId="524B3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5F4B3F6C">
            <w:pPr>
              <w:pStyle w:val="4"/>
              <w:spacing w:line="380" w:lineRule="exact"/>
              <w:jc w:val="center"/>
              <w:rPr>
                <w:color w:val="000000"/>
                <w:sz w:val="21"/>
                <w:szCs w:val="21"/>
                <w:lang w:eastAsia="zh-CN"/>
              </w:rPr>
            </w:pPr>
            <w:r>
              <w:rPr>
                <w:rFonts w:hint="eastAsia"/>
                <w:color w:val="000000"/>
                <w:sz w:val="21"/>
                <w:szCs w:val="21"/>
                <w:lang w:eastAsia="zh-CN"/>
              </w:rPr>
              <w:t>5</w:t>
            </w:r>
          </w:p>
        </w:tc>
        <w:tc>
          <w:tcPr>
            <w:tcW w:w="3934" w:type="dxa"/>
            <w:noWrap w:val="0"/>
            <w:vAlign w:val="center"/>
          </w:tcPr>
          <w:p w14:paraId="7EFDBE9D">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搬家工人</w:t>
            </w:r>
          </w:p>
        </w:tc>
        <w:tc>
          <w:tcPr>
            <w:tcW w:w="916" w:type="dxa"/>
            <w:noWrap w:val="0"/>
            <w:vAlign w:val="center"/>
          </w:tcPr>
          <w:p w14:paraId="0AE35001">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人</w:t>
            </w:r>
          </w:p>
        </w:tc>
        <w:tc>
          <w:tcPr>
            <w:tcW w:w="1190" w:type="dxa"/>
            <w:noWrap w:val="0"/>
            <w:vAlign w:val="center"/>
          </w:tcPr>
          <w:p w14:paraId="7FA7B608">
            <w:pPr>
              <w:widowControl/>
              <w:jc w:val="center"/>
              <w:textAlignment w:val="center"/>
              <w:rPr>
                <w:rFonts w:ascii="宋体" w:hAnsi="宋体" w:eastAsia="宋体" w:cs="宋体"/>
                <w:color w:val="000000"/>
                <w:szCs w:val="21"/>
              </w:rPr>
            </w:pPr>
          </w:p>
        </w:tc>
        <w:tc>
          <w:tcPr>
            <w:tcW w:w="2505" w:type="dxa"/>
            <w:noWrap w:val="0"/>
            <w:vAlign w:val="center"/>
          </w:tcPr>
          <w:p w14:paraId="2FE1ACD5">
            <w:pPr>
              <w:pStyle w:val="4"/>
              <w:spacing w:line="380" w:lineRule="exact"/>
              <w:jc w:val="center"/>
              <w:rPr>
                <w:color w:val="000000"/>
                <w:sz w:val="21"/>
                <w:szCs w:val="21"/>
              </w:rPr>
            </w:pPr>
          </w:p>
        </w:tc>
      </w:tr>
      <w:tr w14:paraId="337C8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5B521EF3">
            <w:pPr>
              <w:pStyle w:val="4"/>
              <w:spacing w:line="380" w:lineRule="exact"/>
              <w:jc w:val="center"/>
              <w:rPr>
                <w:color w:val="000000"/>
                <w:sz w:val="21"/>
                <w:szCs w:val="21"/>
                <w:lang w:eastAsia="zh-CN"/>
              </w:rPr>
            </w:pPr>
            <w:r>
              <w:rPr>
                <w:rFonts w:hint="eastAsia"/>
                <w:color w:val="000000"/>
                <w:sz w:val="21"/>
                <w:szCs w:val="21"/>
                <w:lang w:eastAsia="zh-CN"/>
              </w:rPr>
              <w:t>6</w:t>
            </w:r>
          </w:p>
        </w:tc>
        <w:tc>
          <w:tcPr>
            <w:tcW w:w="3934" w:type="dxa"/>
            <w:noWrap w:val="0"/>
            <w:vAlign w:val="center"/>
          </w:tcPr>
          <w:p w14:paraId="45B3AE7F">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平整场地（砂场）</w:t>
            </w:r>
          </w:p>
        </w:tc>
        <w:tc>
          <w:tcPr>
            <w:tcW w:w="916" w:type="dxa"/>
            <w:noWrap w:val="0"/>
            <w:vAlign w:val="center"/>
          </w:tcPr>
          <w:p w14:paraId="115235CA">
            <w:pPr>
              <w:widowControl/>
              <w:jc w:val="center"/>
              <w:textAlignment w:val="center"/>
              <w:rPr>
                <w:rFonts w:ascii="宋体" w:hAnsi="宋体" w:eastAsia="宋体" w:cs="宋体"/>
                <w:color w:val="000000"/>
                <w:kern w:val="0"/>
                <w:szCs w:val="21"/>
              </w:rPr>
            </w:pPr>
            <w:r>
              <w:rPr>
                <w:rFonts w:ascii="宋体" w:hAnsi="宋体" w:eastAsia="宋体" w:cs="宋体"/>
                <w:color w:val="000000"/>
                <w:kern w:val="0"/>
                <w:szCs w:val="21"/>
              </w:rPr>
              <w:t>㎡</w:t>
            </w:r>
          </w:p>
        </w:tc>
        <w:tc>
          <w:tcPr>
            <w:tcW w:w="1190" w:type="dxa"/>
            <w:noWrap w:val="0"/>
            <w:vAlign w:val="center"/>
          </w:tcPr>
          <w:p w14:paraId="74DAC51F">
            <w:pPr>
              <w:widowControl/>
              <w:jc w:val="center"/>
              <w:textAlignment w:val="center"/>
              <w:rPr>
                <w:rFonts w:ascii="宋体" w:hAnsi="宋体" w:eastAsia="宋体" w:cs="宋体"/>
                <w:color w:val="000000"/>
                <w:szCs w:val="21"/>
              </w:rPr>
            </w:pPr>
          </w:p>
        </w:tc>
        <w:tc>
          <w:tcPr>
            <w:tcW w:w="2505" w:type="dxa"/>
            <w:noWrap w:val="0"/>
            <w:vAlign w:val="center"/>
          </w:tcPr>
          <w:p w14:paraId="3610ED8D">
            <w:pPr>
              <w:pStyle w:val="4"/>
              <w:spacing w:line="380" w:lineRule="exact"/>
              <w:jc w:val="center"/>
              <w:rPr>
                <w:color w:val="000000"/>
                <w:sz w:val="21"/>
                <w:szCs w:val="21"/>
              </w:rPr>
            </w:pPr>
          </w:p>
        </w:tc>
      </w:tr>
      <w:tr w14:paraId="4683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032302BF">
            <w:pPr>
              <w:pStyle w:val="4"/>
              <w:spacing w:line="380" w:lineRule="exact"/>
              <w:jc w:val="center"/>
              <w:rPr>
                <w:color w:val="000000"/>
                <w:sz w:val="21"/>
                <w:szCs w:val="21"/>
                <w:lang w:eastAsia="zh-CN"/>
              </w:rPr>
            </w:pPr>
            <w:r>
              <w:rPr>
                <w:rFonts w:hint="eastAsia"/>
                <w:color w:val="000000"/>
                <w:sz w:val="21"/>
                <w:szCs w:val="21"/>
                <w:lang w:eastAsia="zh-CN"/>
              </w:rPr>
              <w:t>7</w:t>
            </w:r>
          </w:p>
        </w:tc>
        <w:tc>
          <w:tcPr>
            <w:tcW w:w="3934" w:type="dxa"/>
            <w:noWrap w:val="0"/>
            <w:vAlign w:val="center"/>
          </w:tcPr>
          <w:p w14:paraId="1F9CEC3E">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建筑垃圾收集清运运距10公里内</w:t>
            </w:r>
          </w:p>
        </w:tc>
        <w:tc>
          <w:tcPr>
            <w:tcW w:w="916" w:type="dxa"/>
            <w:noWrap w:val="0"/>
            <w:vAlign w:val="center"/>
          </w:tcPr>
          <w:p w14:paraId="4154BA28">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6A87A0C3">
            <w:pPr>
              <w:widowControl/>
              <w:jc w:val="center"/>
              <w:textAlignment w:val="center"/>
              <w:rPr>
                <w:rFonts w:ascii="宋体" w:hAnsi="宋体" w:eastAsia="宋体" w:cs="宋体"/>
                <w:color w:val="000000"/>
                <w:szCs w:val="21"/>
              </w:rPr>
            </w:pPr>
          </w:p>
        </w:tc>
        <w:tc>
          <w:tcPr>
            <w:tcW w:w="2505" w:type="dxa"/>
            <w:noWrap w:val="0"/>
            <w:vAlign w:val="center"/>
          </w:tcPr>
          <w:p w14:paraId="7BA09937">
            <w:pPr>
              <w:pStyle w:val="4"/>
              <w:spacing w:line="380" w:lineRule="exact"/>
              <w:jc w:val="center"/>
              <w:rPr>
                <w:color w:val="000000"/>
                <w:sz w:val="21"/>
                <w:szCs w:val="21"/>
              </w:rPr>
            </w:pPr>
          </w:p>
        </w:tc>
      </w:tr>
      <w:tr w14:paraId="5A85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4345E9D1">
            <w:pPr>
              <w:pStyle w:val="4"/>
              <w:spacing w:line="380" w:lineRule="exact"/>
              <w:jc w:val="center"/>
              <w:rPr>
                <w:color w:val="000000"/>
                <w:sz w:val="21"/>
                <w:szCs w:val="21"/>
                <w:lang w:eastAsia="zh-CN"/>
              </w:rPr>
            </w:pPr>
            <w:r>
              <w:rPr>
                <w:rFonts w:hint="eastAsia"/>
                <w:color w:val="000000"/>
                <w:sz w:val="21"/>
                <w:szCs w:val="21"/>
                <w:lang w:eastAsia="zh-CN"/>
              </w:rPr>
              <w:t>8</w:t>
            </w:r>
          </w:p>
        </w:tc>
        <w:tc>
          <w:tcPr>
            <w:tcW w:w="3934" w:type="dxa"/>
            <w:noWrap w:val="0"/>
            <w:vAlign w:val="center"/>
          </w:tcPr>
          <w:p w14:paraId="196B7A23">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建筑垃圾收集清运运距15公里内</w:t>
            </w:r>
          </w:p>
        </w:tc>
        <w:tc>
          <w:tcPr>
            <w:tcW w:w="916" w:type="dxa"/>
            <w:noWrap w:val="0"/>
            <w:vAlign w:val="center"/>
          </w:tcPr>
          <w:p w14:paraId="1505BB86">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395DDAC2">
            <w:pPr>
              <w:widowControl/>
              <w:jc w:val="center"/>
              <w:textAlignment w:val="center"/>
              <w:rPr>
                <w:rFonts w:ascii="宋体" w:hAnsi="宋体" w:eastAsia="宋体" w:cs="宋体"/>
                <w:color w:val="000000"/>
                <w:szCs w:val="21"/>
              </w:rPr>
            </w:pPr>
          </w:p>
        </w:tc>
        <w:tc>
          <w:tcPr>
            <w:tcW w:w="2505" w:type="dxa"/>
            <w:noWrap w:val="0"/>
            <w:vAlign w:val="center"/>
          </w:tcPr>
          <w:p w14:paraId="673C14FA">
            <w:pPr>
              <w:pStyle w:val="4"/>
              <w:spacing w:line="380" w:lineRule="exact"/>
              <w:jc w:val="center"/>
              <w:rPr>
                <w:color w:val="000000"/>
                <w:sz w:val="21"/>
                <w:szCs w:val="21"/>
              </w:rPr>
            </w:pPr>
          </w:p>
        </w:tc>
      </w:tr>
      <w:tr w14:paraId="2B161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06151B9F">
            <w:pPr>
              <w:pStyle w:val="4"/>
              <w:spacing w:line="380" w:lineRule="exact"/>
              <w:jc w:val="center"/>
              <w:rPr>
                <w:color w:val="000000"/>
                <w:sz w:val="21"/>
                <w:szCs w:val="21"/>
                <w:lang w:eastAsia="zh-CN"/>
              </w:rPr>
            </w:pPr>
            <w:r>
              <w:rPr>
                <w:rFonts w:hint="eastAsia"/>
                <w:color w:val="000000"/>
                <w:sz w:val="21"/>
                <w:szCs w:val="21"/>
                <w:lang w:eastAsia="zh-CN"/>
              </w:rPr>
              <w:t>9</w:t>
            </w:r>
          </w:p>
        </w:tc>
        <w:tc>
          <w:tcPr>
            <w:tcW w:w="3934" w:type="dxa"/>
            <w:noWrap w:val="0"/>
            <w:vAlign w:val="center"/>
          </w:tcPr>
          <w:p w14:paraId="4CAD8B64">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建筑垃圾收集清运运距20公里内</w:t>
            </w:r>
          </w:p>
        </w:tc>
        <w:tc>
          <w:tcPr>
            <w:tcW w:w="916" w:type="dxa"/>
            <w:noWrap w:val="0"/>
            <w:vAlign w:val="center"/>
          </w:tcPr>
          <w:p w14:paraId="44AC5711">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3785E629">
            <w:pPr>
              <w:widowControl/>
              <w:jc w:val="center"/>
              <w:textAlignment w:val="center"/>
              <w:rPr>
                <w:rFonts w:ascii="宋体" w:hAnsi="宋体" w:eastAsia="宋体" w:cs="宋体"/>
                <w:color w:val="000000"/>
                <w:szCs w:val="21"/>
              </w:rPr>
            </w:pPr>
          </w:p>
        </w:tc>
        <w:tc>
          <w:tcPr>
            <w:tcW w:w="2505" w:type="dxa"/>
            <w:noWrap w:val="0"/>
            <w:vAlign w:val="center"/>
          </w:tcPr>
          <w:p w14:paraId="30F15226">
            <w:pPr>
              <w:pStyle w:val="4"/>
              <w:spacing w:line="380" w:lineRule="exact"/>
              <w:jc w:val="center"/>
              <w:rPr>
                <w:color w:val="000000"/>
                <w:sz w:val="21"/>
                <w:szCs w:val="21"/>
              </w:rPr>
            </w:pPr>
          </w:p>
        </w:tc>
      </w:tr>
      <w:tr w14:paraId="4191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68215009">
            <w:pPr>
              <w:pStyle w:val="4"/>
              <w:spacing w:line="380" w:lineRule="exact"/>
              <w:jc w:val="center"/>
              <w:rPr>
                <w:color w:val="000000"/>
                <w:sz w:val="21"/>
                <w:szCs w:val="21"/>
                <w:lang w:eastAsia="zh-CN"/>
              </w:rPr>
            </w:pPr>
            <w:r>
              <w:rPr>
                <w:rFonts w:hint="eastAsia"/>
                <w:color w:val="000000"/>
                <w:sz w:val="21"/>
                <w:szCs w:val="21"/>
                <w:lang w:eastAsia="zh-CN"/>
              </w:rPr>
              <w:t>10</w:t>
            </w:r>
          </w:p>
        </w:tc>
        <w:tc>
          <w:tcPr>
            <w:tcW w:w="3934" w:type="dxa"/>
            <w:noWrap w:val="0"/>
            <w:vAlign w:val="center"/>
          </w:tcPr>
          <w:p w14:paraId="5A03C473">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建筑垃圾收集清运运距25公里内</w:t>
            </w:r>
          </w:p>
        </w:tc>
        <w:tc>
          <w:tcPr>
            <w:tcW w:w="916" w:type="dxa"/>
            <w:noWrap w:val="0"/>
            <w:vAlign w:val="center"/>
          </w:tcPr>
          <w:p w14:paraId="162B17C3">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58A7CED7">
            <w:pPr>
              <w:widowControl/>
              <w:jc w:val="center"/>
              <w:textAlignment w:val="center"/>
              <w:rPr>
                <w:rFonts w:ascii="宋体" w:hAnsi="宋体" w:eastAsia="宋体" w:cs="宋体"/>
                <w:color w:val="000000"/>
                <w:szCs w:val="21"/>
              </w:rPr>
            </w:pPr>
          </w:p>
        </w:tc>
        <w:tc>
          <w:tcPr>
            <w:tcW w:w="2505" w:type="dxa"/>
            <w:noWrap w:val="0"/>
            <w:vAlign w:val="center"/>
          </w:tcPr>
          <w:p w14:paraId="5683E6CC">
            <w:pPr>
              <w:pStyle w:val="4"/>
              <w:spacing w:line="380" w:lineRule="exact"/>
              <w:jc w:val="center"/>
              <w:rPr>
                <w:color w:val="000000"/>
                <w:sz w:val="21"/>
                <w:szCs w:val="21"/>
              </w:rPr>
            </w:pPr>
          </w:p>
        </w:tc>
      </w:tr>
      <w:tr w14:paraId="1431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4F0588FB">
            <w:pPr>
              <w:pStyle w:val="4"/>
              <w:spacing w:line="380" w:lineRule="exact"/>
              <w:jc w:val="center"/>
              <w:rPr>
                <w:color w:val="000000"/>
                <w:sz w:val="21"/>
                <w:szCs w:val="21"/>
                <w:lang w:eastAsia="zh-CN"/>
              </w:rPr>
            </w:pPr>
            <w:r>
              <w:rPr>
                <w:rFonts w:hint="eastAsia"/>
                <w:color w:val="000000"/>
                <w:sz w:val="21"/>
                <w:szCs w:val="21"/>
                <w:lang w:eastAsia="zh-CN"/>
              </w:rPr>
              <w:t>11</w:t>
            </w:r>
          </w:p>
        </w:tc>
        <w:tc>
          <w:tcPr>
            <w:tcW w:w="3934" w:type="dxa"/>
            <w:noWrap w:val="0"/>
            <w:vAlign w:val="center"/>
          </w:tcPr>
          <w:p w14:paraId="7E7110F6">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建筑垃圾收集清运运距30公里内</w:t>
            </w:r>
          </w:p>
        </w:tc>
        <w:tc>
          <w:tcPr>
            <w:tcW w:w="916" w:type="dxa"/>
            <w:noWrap w:val="0"/>
            <w:vAlign w:val="center"/>
          </w:tcPr>
          <w:p w14:paraId="1CDC5E91">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7D3E8E98">
            <w:pPr>
              <w:widowControl/>
              <w:jc w:val="center"/>
              <w:textAlignment w:val="center"/>
              <w:rPr>
                <w:rFonts w:ascii="宋体" w:hAnsi="宋体" w:eastAsia="宋体" w:cs="宋体"/>
                <w:color w:val="000000"/>
                <w:szCs w:val="21"/>
              </w:rPr>
            </w:pPr>
          </w:p>
        </w:tc>
        <w:tc>
          <w:tcPr>
            <w:tcW w:w="2505" w:type="dxa"/>
            <w:noWrap w:val="0"/>
            <w:vAlign w:val="center"/>
          </w:tcPr>
          <w:p w14:paraId="60F4E7B3">
            <w:pPr>
              <w:pStyle w:val="4"/>
              <w:spacing w:line="380" w:lineRule="exact"/>
              <w:jc w:val="center"/>
              <w:rPr>
                <w:color w:val="000000"/>
                <w:sz w:val="21"/>
                <w:szCs w:val="21"/>
              </w:rPr>
            </w:pPr>
          </w:p>
        </w:tc>
      </w:tr>
      <w:tr w14:paraId="09982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0C34F442">
            <w:pPr>
              <w:pStyle w:val="4"/>
              <w:spacing w:line="380" w:lineRule="exact"/>
              <w:jc w:val="center"/>
              <w:rPr>
                <w:color w:val="000000"/>
                <w:sz w:val="21"/>
                <w:szCs w:val="21"/>
                <w:lang w:eastAsia="zh-CN"/>
              </w:rPr>
            </w:pPr>
            <w:r>
              <w:rPr>
                <w:rFonts w:hint="eastAsia"/>
                <w:color w:val="000000"/>
                <w:sz w:val="21"/>
                <w:szCs w:val="21"/>
                <w:lang w:eastAsia="zh-CN"/>
              </w:rPr>
              <w:t>12</w:t>
            </w:r>
          </w:p>
        </w:tc>
        <w:tc>
          <w:tcPr>
            <w:tcW w:w="3934" w:type="dxa"/>
            <w:noWrap w:val="0"/>
            <w:vAlign w:val="center"/>
          </w:tcPr>
          <w:p w14:paraId="0F6EBA62">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建筑垃圾收集清运运距35公里内</w:t>
            </w:r>
          </w:p>
        </w:tc>
        <w:tc>
          <w:tcPr>
            <w:tcW w:w="916" w:type="dxa"/>
            <w:noWrap w:val="0"/>
            <w:vAlign w:val="center"/>
          </w:tcPr>
          <w:p w14:paraId="2A66877A">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4AC0BCCC">
            <w:pPr>
              <w:widowControl/>
              <w:jc w:val="center"/>
              <w:textAlignment w:val="center"/>
              <w:rPr>
                <w:rFonts w:ascii="宋体" w:hAnsi="宋体" w:eastAsia="宋体" w:cs="宋体"/>
                <w:color w:val="000000"/>
                <w:szCs w:val="21"/>
              </w:rPr>
            </w:pPr>
          </w:p>
        </w:tc>
        <w:tc>
          <w:tcPr>
            <w:tcW w:w="2505" w:type="dxa"/>
            <w:noWrap w:val="0"/>
            <w:vAlign w:val="center"/>
          </w:tcPr>
          <w:p w14:paraId="6D060549">
            <w:pPr>
              <w:pStyle w:val="4"/>
              <w:spacing w:line="380" w:lineRule="exact"/>
              <w:jc w:val="center"/>
              <w:rPr>
                <w:color w:val="000000"/>
                <w:sz w:val="21"/>
                <w:szCs w:val="21"/>
              </w:rPr>
            </w:pPr>
          </w:p>
        </w:tc>
      </w:tr>
      <w:tr w14:paraId="795A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800" w:type="dxa"/>
            <w:noWrap w:val="0"/>
            <w:vAlign w:val="center"/>
          </w:tcPr>
          <w:p w14:paraId="4E17CF1E">
            <w:pPr>
              <w:pStyle w:val="4"/>
              <w:spacing w:line="380" w:lineRule="exact"/>
              <w:jc w:val="center"/>
              <w:rPr>
                <w:color w:val="000000"/>
                <w:sz w:val="21"/>
                <w:szCs w:val="21"/>
                <w:lang w:eastAsia="zh-CN"/>
              </w:rPr>
            </w:pPr>
            <w:r>
              <w:rPr>
                <w:rFonts w:hint="eastAsia"/>
                <w:color w:val="000000"/>
                <w:sz w:val="21"/>
                <w:szCs w:val="21"/>
                <w:lang w:eastAsia="zh-CN"/>
              </w:rPr>
              <w:t>13</w:t>
            </w:r>
          </w:p>
        </w:tc>
        <w:tc>
          <w:tcPr>
            <w:tcW w:w="3934" w:type="dxa"/>
            <w:noWrap w:val="0"/>
            <w:vAlign w:val="center"/>
          </w:tcPr>
          <w:p w14:paraId="12893E46">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建筑垃圾收集清运运距40公里内</w:t>
            </w:r>
          </w:p>
        </w:tc>
        <w:tc>
          <w:tcPr>
            <w:tcW w:w="916" w:type="dxa"/>
            <w:noWrap w:val="0"/>
            <w:vAlign w:val="center"/>
          </w:tcPr>
          <w:p w14:paraId="4369067A">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484A8C89">
            <w:pPr>
              <w:widowControl/>
              <w:jc w:val="center"/>
              <w:textAlignment w:val="center"/>
              <w:rPr>
                <w:rFonts w:ascii="宋体" w:hAnsi="宋体" w:eastAsia="宋体" w:cs="宋体"/>
                <w:color w:val="000000"/>
                <w:szCs w:val="21"/>
              </w:rPr>
            </w:pPr>
          </w:p>
        </w:tc>
        <w:tc>
          <w:tcPr>
            <w:tcW w:w="2505" w:type="dxa"/>
            <w:noWrap w:val="0"/>
            <w:vAlign w:val="center"/>
          </w:tcPr>
          <w:p w14:paraId="17E68D84">
            <w:pPr>
              <w:pStyle w:val="4"/>
              <w:spacing w:line="380" w:lineRule="exact"/>
              <w:jc w:val="center"/>
              <w:rPr>
                <w:color w:val="000000"/>
                <w:sz w:val="21"/>
                <w:szCs w:val="21"/>
              </w:rPr>
            </w:pPr>
          </w:p>
        </w:tc>
      </w:tr>
      <w:tr w14:paraId="5136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46C4EE5F">
            <w:pPr>
              <w:pStyle w:val="4"/>
              <w:spacing w:line="380" w:lineRule="exact"/>
              <w:jc w:val="center"/>
              <w:rPr>
                <w:color w:val="000000"/>
                <w:sz w:val="21"/>
                <w:szCs w:val="21"/>
                <w:lang w:eastAsia="zh-CN"/>
              </w:rPr>
            </w:pPr>
            <w:r>
              <w:rPr>
                <w:rFonts w:hint="eastAsia"/>
                <w:color w:val="000000"/>
                <w:sz w:val="21"/>
                <w:szCs w:val="21"/>
                <w:lang w:eastAsia="zh-CN"/>
              </w:rPr>
              <w:t>14</w:t>
            </w:r>
          </w:p>
        </w:tc>
        <w:tc>
          <w:tcPr>
            <w:tcW w:w="3934" w:type="dxa"/>
            <w:noWrap w:val="0"/>
            <w:vAlign w:val="center"/>
          </w:tcPr>
          <w:p w14:paraId="3ED2DCFA">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建筑垃圾收集清运运距45公里内</w:t>
            </w:r>
          </w:p>
        </w:tc>
        <w:tc>
          <w:tcPr>
            <w:tcW w:w="916" w:type="dxa"/>
            <w:noWrap w:val="0"/>
            <w:vAlign w:val="center"/>
          </w:tcPr>
          <w:p w14:paraId="2DA388A4">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3D3BD07A">
            <w:pPr>
              <w:widowControl/>
              <w:jc w:val="center"/>
              <w:textAlignment w:val="center"/>
              <w:rPr>
                <w:rFonts w:ascii="宋体" w:hAnsi="宋体" w:eastAsia="宋体" w:cs="宋体"/>
                <w:color w:val="000000"/>
                <w:szCs w:val="21"/>
              </w:rPr>
            </w:pPr>
          </w:p>
        </w:tc>
        <w:tc>
          <w:tcPr>
            <w:tcW w:w="2505" w:type="dxa"/>
            <w:noWrap w:val="0"/>
            <w:vAlign w:val="center"/>
          </w:tcPr>
          <w:p w14:paraId="4C76F573">
            <w:pPr>
              <w:pStyle w:val="4"/>
              <w:spacing w:line="380" w:lineRule="exact"/>
              <w:jc w:val="center"/>
              <w:rPr>
                <w:color w:val="000000"/>
                <w:sz w:val="21"/>
                <w:szCs w:val="21"/>
              </w:rPr>
            </w:pPr>
          </w:p>
        </w:tc>
      </w:tr>
      <w:tr w14:paraId="0920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0E08B8DF">
            <w:pPr>
              <w:pStyle w:val="4"/>
              <w:spacing w:line="380" w:lineRule="exact"/>
              <w:jc w:val="center"/>
              <w:rPr>
                <w:color w:val="000000"/>
                <w:sz w:val="21"/>
                <w:szCs w:val="21"/>
                <w:lang w:eastAsia="zh-CN"/>
              </w:rPr>
            </w:pPr>
            <w:r>
              <w:rPr>
                <w:rFonts w:hint="eastAsia"/>
                <w:color w:val="000000"/>
                <w:sz w:val="21"/>
                <w:szCs w:val="21"/>
                <w:lang w:eastAsia="zh-CN"/>
              </w:rPr>
              <w:t>15</w:t>
            </w:r>
          </w:p>
        </w:tc>
        <w:tc>
          <w:tcPr>
            <w:tcW w:w="3934" w:type="dxa"/>
            <w:noWrap w:val="0"/>
            <w:vAlign w:val="center"/>
          </w:tcPr>
          <w:p w14:paraId="2F13E62B">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建筑垃圾收集清运运距50公里内</w:t>
            </w:r>
          </w:p>
        </w:tc>
        <w:tc>
          <w:tcPr>
            <w:tcW w:w="916" w:type="dxa"/>
            <w:noWrap w:val="0"/>
            <w:vAlign w:val="center"/>
          </w:tcPr>
          <w:p w14:paraId="5A5AE6C0">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3A22A8CA">
            <w:pPr>
              <w:widowControl/>
              <w:jc w:val="center"/>
              <w:textAlignment w:val="center"/>
              <w:rPr>
                <w:rFonts w:ascii="宋体" w:hAnsi="宋体" w:eastAsia="宋体" w:cs="宋体"/>
                <w:color w:val="000000"/>
                <w:szCs w:val="21"/>
              </w:rPr>
            </w:pPr>
          </w:p>
        </w:tc>
        <w:tc>
          <w:tcPr>
            <w:tcW w:w="2505" w:type="dxa"/>
            <w:noWrap w:val="0"/>
            <w:vAlign w:val="center"/>
          </w:tcPr>
          <w:p w14:paraId="25977A95">
            <w:pPr>
              <w:pStyle w:val="4"/>
              <w:spacing w:line="380" w:lineRule="exact"/>
              <w:jc w:val="center"/>
              <w:rPr>
                <w:color w:val="000000"/>
                <w:sz w:val="21"/>
                <w:szCs w:val="21"/>
              </w:rPr>
            </w:pPr>
          </w:p>
        </w:tc>
      </w:tr>
      <w:tr w14:paraId="5F8AF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vMerge w:val="restart"/>
            <w:noWrap w:val="0"/>
            <w:vAlign w:val="center"/>
          </w:tcPr>
          <w:p w14:paraId="132A0911">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szCs w:val="21"/>
              </w:rPr>
              <w:t>16</w:t>
            </w:r>
          </w:p>
        </w:tc>
        <w:tc>
          <w:tcPr>
            <w:tcW w:w="3934" w:type="dxa"/>
            <w:noWrap w:val="0"/>
            <w:vAlign w:val="center"/>
          </w:tcPr>
          <w:p w14:paraId="3F4BB5B9">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人工清运</w:t>
            </w:r>
            <w:r>
              <w:rPr>
                <w:rFonts w:hint="eastAsia" w:cs="宋体"/>
                <w:color w:val="000000"/>
                <w:szCs w:val="21"/>
              </w:rPr>
              <w:t>建筑垃圾</w:t>
            </w:r>
            <w:r>
              <w:rPr>
                <w:rFonts w:hint="eastAsia" w:ascii="宋体" w:hAnsi="宋体" w:eastAsia="宋体" w:cs="宋体"/>
                <w:color w:val="000000"/>
                <w:kern w:val="0"/>
                <w:szCs w:val="21"/>
              </w:rPr>
              <w:t>电梯及三楼步梯以下</w:t>
            </w:r>
          </w:p>
        </w:tc>
        <w:tc>
          <w:tcPr>
            <w:tcW w:w="916" w:type="dxa"/>
            <w:noWrap w:val="0"/>
            <w:vAlign w:val="center"/>
          </w:tcPr>
          <w:p w14:paraId="7DAF6E5B">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312B738A">
            <w:pPr>
              <w:widowControl/>
              <w:jc w:val="center"/>
              <w:textAlignment w:val="center"/>
              <w:rPr>
                <w:rFonts w:ascii="宋体" w:hAnsi="宋体" w:eastAsia="宋体" w:cs="宋体"/>
                <w:color w:val="000000"/>
                <w:szCs w:val="21"/>
              </w:rPr>
            </w:pPr>
          </w:p>
        </w:tc>
        <w:tc>
          <w:tcPr>
            <w:tcW w:w="2505" w:type="dxa"/>
            <w:noWrap w:val="0"/>
            <w:vAlign w:val="center"/>
          </w:tcPr>
          <w:p w14:paraId="60E8743F">
            <w:pPr>
              <w:pStyle w:val="4"/>
              <w:spacing w:line="380" w:lineRule="exact"/>
              <w:jc w:val="center"/>
              <w:rPr>
                <w:color w:val="000000"/>
                <w:sz w:val="21"/>
                <w:szCs w:val="21"/>
                <w:lang w:eastAsia="zh-CN"/>
              </w:rPr>
            </w:pPr>
          </w:p>
        </w:tc>
      </w:tr>
      <w:tr w14:paraId="782A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00" w:type="dxa"/>
            <w:vMerge w:val="continue"/>
            <w:noWrap w:val="0"/>
            <w:vAlign w:val="center"/>
          </w:tcPr>
          <w:p w14:paraId="617346FF">
            <w:pPr>
              <w:spacing w:line="380" w:lineRule="exact"/>
              <w:ind w:firstLine="420" w:firstLineChars="200"/>
              <w:jc w:val="center"/>
              <w:rPr>
                <w:rFonts w:ascii="宋体" w:hAnsi="宋体" w:eastAsia="宋体" w:cs="宋体"/>
                <w:color w:val="000000"/>
                <w:szCs w:val="21"/>
              </w:rPr>
            </w:pPr>
          </w:p>
        </w:tc>
        <w:tc>
          <w:tcPr>
            <w:tcW w:w="3934" w:type="dxa"/>
            <w:noWrap w:val="0"/>
            <w:vAlign w:val="center"/>
          </w:tcPr>
          <w:p w14:paraId="2D81E814">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人工清运</w:t>
            </w:r>
            <w:r>
              <w:rPr>
                <w:rFonts w:hint="eastAsia" w:cs="宋体"/>
                <w:color w:val="000000"/>
                <w:szCs w:val="21"/>
              </w:rPr>
              <w:t>建筑垃圾</w:t>
            </w:r>
            <w:r>
              <w:rPr>
                <w:rFonts w:hint="eastAsia" w:ascii="宋体" w:hAnsi="宋体" w:eastAsia="宋体" w:cs="宋体"/>
                <w:color w:val="000000"/>
                <w:kern w:val="0"/>
                <w:szCs w:val="21"/>
              </w:rPr>
              <w:t>三楼至五楼步梯</w:t>
            </w:r>
          </w:p>
        </w:tc>
        <w:tc>
          <w:tcPr>
            <w:tcW w:w="916" w:type="dxa"/>
            <w:noWrap w:val="0"/>
            <w:vAlign w:val="center"/>
          </w:tcPr>
          <w:p w14:paraId="5965AABA">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19155DC6">
            <w:pPr>
              <w:widowControl/>
              <w:jc w:val="center"/>
              <w:textAlignment w:val="center"/>
              <w:rPr>
                <w:rFonts w:ascii="宋体" w:hAnsi="宋体" w:eastAsia="宋体" w:cs="宋体"/>
                <w:color w:val="000000"/>
                <w:szCs w:val="21"/>
              </w:rPr>
            </w:pPr>
          </w:p>
        </w:tc>
        <w:tc>
          <w:tcPr>
            <w:tcW w:w="2505" w:type="dxa"/>
            <w:noWrap w:val="0"/>
            <w:vAlign w:val="center"/>
          </w:tcPr>
          <w:p w14:paraId="48026838">
            <w:pPr>
              <w:pStyle w:val="4"/>
              <w:spacing w:line="380" w:lineRule="exact"/>
              <w:jc w:val="center"/>
              <w:rPr>
                <w:color w:val="000000"/>
                <w:sz w:val="21"/>
                <w:szCs w:val="21"/>
                <w:lang w:eastAsia="zh-CN"/>
              </w:rPr>
            </w:pPr>
            <w:r>
              <w:rPr>
                <w:rFonts w:hint="eastAsia"/>
                <w:color w:val="000000"/>
                <w:sz w:val="21"/>
                <w:szCs w:val="21"/>
                <w:lang w:eastAsia="zh-CN"/>
              </w:rPr>
              <w:t>每层楼增加58元/</w:t>
            </w:r>
            <w:r>
              <w:rPr>
                <w:rFonts w:hint="eastAsia"/>
                <w:color w:val="000000"/>
                <w:kern w:val="0"/>
                <w:sz w:val="21"/>
                <w:szCs w:val="21"/>
                <w:lang w:eastAsia="zh-CN"/>
              </w:rPr>
              <w:t>m³</w:t>
            </w:r>
          </w:p>
        </w:tc>
      </w:tr>
      <w:tr w14:paraId="2FEA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vMerge w:val="continue"/>
            <w:noWrap w:val="0"/>
            <w:vAlign w:val="center"/>
          </w:tcPr>
          <w:p w14:paraId="05A543E2">
            <w:pPr>
              <w:spacing w:line="380" w:lineRule="exact"/>
              <w:ind w:firstLine="420" w:firstLineChars="200"/>
              <w:jc w:val="center"/>
              <w:rPr>
                <w:rFonts w:ascii="宋体" w:hAnsi="宋体" w:eastAsia="宋体" w:cs="宋体"/>
                <w:color w:val="000000"/>
                <w:szCs w:val="21"/>
              </w:rPr>
            </w:pPr>
          </w:p>
        </w:tc>
        <w:tc>
          <w:tcPr>
            <w:tcW w:w="3934" w:type="dxa"/>
            <w:noWrap w:val="0"/>
            <w:vAlign w:val="center"/>
          </w:tcPr>
          <w:p w14:paraId="7EF8CBA4">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人工清运</w:t>
            </w:r>
            <w:r>
              <w:rPr>
                <w:rFonts w:hint="eastAsia" w:cs="宋体"/>
                <w:color w:val="000000"/>
                <w:szCs w:val="21"/>
              </w:rPr>
              <w:t>建筑垃圾</w:t>
            </w:r>
            <w:r>
              <w:rPr>
                <w:rFonts w:hint="eastAsia" w:ascii="宋体" w:hAnsi="宋体" w:eastAsia="宋体" w:cs="宋体"/>
                <w:color w:val="000000"/>
                <w:kern w:val="0"/>
                <w:szCs w:val="21"/>
              </w:rPr>
              <w:t>五楼至十楼步梯</w:t>
            </w:r>
          </w:p>
        </w:tc>
        <w:tc>
          <w:tcPr>
            <w:tcW w:w="916" w:type="dxa"/>
            <w:noWrap w:val="0"/>
            <w:vAlign w:val="center"/>
          </w:tcPr>
          <w:p w14:paraId="61F186FA">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09200EFE">
            <w:pPr>
              <w:widowControl/>
              <w:jc w:val="center"/>
              <w:textAlignment w:val="center"/>
              <w:rPr>
                <w:rFonts w:ascii="宋体" w:hAnsi="宋体" w:eastAsia="宋体" w:cs="宋体"/>
                <w:color w:val="000000"/>
                <w:szCs w:val="21"/>
              </w:rPr>
            </w:pPr>
          </w:p>
        </w:tc>
        <w:tc>
          <w:tcPr>
            <w:tcW w:w="2505" w:type="dxa"/>
            <w:noWrap w:val="0"/>
            <w:vAlign w:val="center"/>
          </w:tcPr>
          <w:p w14:paraId="21BF60A1">
            <w:pPr>
              <w:pStyle w:val="4"/>
              <w:spacing w:line="380" w:lineRule="exact"/>
              <w:jc w:val="center"/>
              <w:rPr>
                <w:color w:val="000000"/>
                <w:sz w:val="21"/>
                <w:szCs w:val="21"/>
              </w:rPr>
            </w:pPr>
            <w:r>
              <w:rPr>
                <w:rFonts w:hint="eastAsia"/>
                <w:color w:val="000000"/>
                <w:sz w:val="21"/>
                <w:szCs w:val="21"/>
                <w:lang w:eastAsia="zh-CN"/>
              </w:rPr>
              <w:t>每层楼增加38元/</w:t>
            </w:r>
            <w:r>
              <w:rPr>
                <w:rFonts w:hint="eastAsia"/>
                <w:color w:val="000000"/>
                <w:kern w:val="0"/>
                <w:sz w:val="21"/>
                <w:szCs w:val="21"/>
                <w:lang w:eastAsia="zh-CN"/>
              </w:rPr>
              <w:t>m³</w:t>
            </w:r>
          </w:p>
        </w:tc>
      </w:tr>
      <w:tr w14:paraId="4EE7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00" w:type="dxa"/>
            <w:noWrap w:val="0"/>
            <w:vAlign w:val="center"/>
          </w:tcPr>
          <w:p w14:paraId="770F58EF">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szCs w:val="21"/>
              </w:rPr>
              <w:t>17</w:t>
            </w:r>
          </w:p>
        </w:tc>
        <w:tc>
          <w:tcPr>
            <w:tcW w:w="3934" w:type="dxa"/>
            <w:noWrap w:val="0"/>
            <w:vAlign w:val="center"/>
          </w:tcPr>
          <w:p w14:paraId="28498CFC">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机械清理及清运废土、生活垃圾</w:t>
            </w:r>
          </w:p>
        </w:tc>
        <w:tc>
          <w:tcPr>
            <w:tcW w:w="916" w:type="dxa"/>
            <w:noWrap w:val="0"/>
            <w:vAlign w:val="center"/>
          </w:tcPr>
          <w:p w14:paraId="1ECBEE6E">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m³</w:t>
            </w:r>
          </w:p>
        </w:tc>
        <w:tc>
          <w:tcPr>
            <w:tcW w:w="1190" w:type="dxa"/>
            <w:noWrap w:val="0"/>
            <w:vAlign w:val="center"/>
          </w:tcPr>
          <w:p w14:paraId="5E928F15">
            <w:pPr>
              <w:widowControl/>
              <w:jc w:val="center"/>
              <w:textAlignment w:val="center"/>
              <w:rPr>
                <w:rFonts w:ascii="宋体" w:hAnsi="宋体" w:eastAsia="宋体" w:cs="宋体"/>
                <w:color w:val="000000"/>
                <w:szCs w:val="21"/>
              </w:rPr>
            </w:pPr>
          </w:p>
        </w:tc>
        <w:tc>
          <w:tcPr>
            <w:tcW w:w="2505" w:type="dxa"/>
            <w:noWrap w:val="0"/>
            <w:vAlign w:val="center"/>
          </w:tcPr>
          <w:p w14:paraId="5FF5AB8C">
            <w:pPr>
              <w:pStyle w:val="4"/>
              <w:spacing w:line="380" w:lineRule="exact"/>
              <w:jc w:val="center"/>
              <w:rPr>
                <w:color w:val="000000"/>
                <w:sz w:val="21"/>
                <w:szCs w:val="21"/>
              </w:rPr>
            </w:pPr>
          </w:p>
        </w:tc>
      </w:tr>
      <w:tr w14:paraId="12D3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34AD1D70">
            <w:pPr>
              <w:pStyle w:val="4"/>
              <w:spacing w:line="380" w:lineRule="exact"/>
              <w:jc w:val="center"/>
              <w:rPr>
                <w:color w:val="000000"/>
                <w:sz w:val="21"/>
                <w:szCs w:val="21"/>
                <w:lang w:eastAsia="zh-CN"/>
              </w:rPr>
            </w:pPr>
            <w:r>
              <w:rPr>
                <w:rFonts w:hint="eastAsia"/>
                <w:color w:val="000000"/>
                <w:sz w:val="21"/>
                <w:szCs w:val="21"/>
                <w:lang w:eastAsia="zh-CN"/>
              </w:rPr>
              <w:t>18</w:t>
            </w:r>
          </w:p>
        </w:tc>
        <w:tc>
          <w:tcPr>
            <w:tcW w:w="3934" w:type="dxa"/>
            <w:noWrap w:val="0"/>
            <w:vAlign w:val="center"/>
          </w:tcPr>
          <w:p w14:paraId="63AA34E4">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电线杆拆除及清运</w:t>
            </w:r>
          </w:p>
        </w:tc>
        <w:tc>
          <w:tcPr>
            <w:tcW w:w="916" w:type="dxa"/>
            <w:noWrap w:val="0"/>
            <w:vAlign w:val="center"/>
          </w:tcPr>
          <w:p w14:paraId="25A61903">
            <w:pPr>
              <w:pStyle w:val="4"/>
              <w:jc w:val="center"/>
              <w:rPr>
                <w:color w:val="000000"/>
                <w:kern w:val="0"/>
                <w:sz w:val="21"/>
                <w:szCs w:val="21"/>
                <w:lang w:eastAsia="zh-CN"/>
              </w:rPr>
            </w:pPr>
            <w:r>
              <w:rPr>
                <w:rFonts w:hint="eastAsia"/>
                <w:color w:val="000000"/>
                <w:sz w:val="21"/>
                <w:szCs w:val="21"/>
                <w:lang w:eastAsia="zh-CN"/>
              </w:rPr>
              <w:t>根</w:t>
            </w:r>
          </w:p>
        </w:tc>
        <w:tc>
          <w:tcPr>
            <w:tcW w:w="1190" w:type="dxa"/>
            <w:noWrap w:val="0"/>
            <w:vAlign w:val="center"/>
          </w:tcPr>
          <w:p w14:paraId="5D89EE0B">
            <w:pPr>
              <w:widowControl/>
              <w:jc w:val="center"/>
              <w:textAlignment w:val="center"/>
              <w:rPr>
                <w:rFonts w:ascii="宋体" w:hAnsi="宋体" w:eastAsia="宋体" w:cs="宋体"/>
                <w:color w:val="000000"/>
                <w:szCs w:val="21"/>
              </w:rPr>
            </w:pPr>
          </w:p>
        </w:tc>
        <w:tc>
          <w:tcPr>
            <w:tcW w:w="2505" w:type="dxa"/>
            <w:noWrap w:val="0"/>
            <w:vAlign w:val="center"/>
          </w:tcPr>
          <w:p w14:paraId="2C097595">
            <w:pPr>
              <w:pStyle w:val="4"/>
              <w:spacing w:line="380" w:lineRule="exact"/>
              <w:jc w:val="center"/>
              <w:rPr>
                <w:color w:val="000000"/>
                <w:sz w:val="21"/>
                <w:szCs w:val="21"/>
              </w:rPr>
            </w:pPr>
          </w:p>
        </w:tc>
      </w:tr>
      <w:tr w14:paraId="56C6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0CC31604">
            <w:pPr>
              <w:pStyle w:val="4"/>
              <w:spacing w:line="380" w:lineRule="exact"/>
              <w:jc w:val="center"/>
              <w:rPr>
                <w:color w:val="000000"/>
                <w:sz w:val="21"/>
                <w:szCs w:val="21"/>
                <w:lang w:eastAsia="zh-CN"/>
              </w:rPr>
            </w:pPr>
            <w:r>
              <w:rPr>
                <w:rFonts w:hint="eastAsia"/>
                <w:color w:val="000000"/>
                <w:sz w:val="21"/>
                <w:szCs w:val="21"/>
                <w:lang w:eastAsia="zh-CN"/>
              </w:rPr>
              <w:t>19</w:t>
            </w:r>
          </w:p>
        </w:tc>
        <w:tc>
          <w:tcPr>
            <w:tcW w:w="3934" w:type="dxa"/>
            <w:noWrap w:val="0"/>
            <w:vAlign w:val="center"/>
          </w:tcPr>
          <w:p w14:paraId="2AE9FEC3">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拆除立柱两面大型广告牌（含清运）</w:t>
            </w:r>
          </w:p>
        </w:tc>
        <w:tc>
          <w:tcPr>
            <w:tcW w:w="916" w:type="dxa"/>
            <w:noWrap w:val="0"/>
            <w:vAlign w:val="center"/>
          </w:tcPr>
          <w:p w14:paraId="12584122">
            <w:pPr>
              <w:pStyle w:val="4"/>
              <w:jc w:val="center"/>
              <w:rPr>
                <w:color w:val="000000"/>
                <w:kern w:val="0"/>
                <w:sz w:val="21"/>
                <w:szCs w:val="21"/>
                <w:lang w:eastAsia="zh-CN"/>
              </w:rPr>
            </w:pPr>
            <w:r>
              <w:rPr>
                <w:rFonts w:hint="eastAsia"/>
                <w:color w:val="000000"/>
                <w:sz w:val="21"/>
                <w:szCs w:val="21"/>
                <w:lang w:eastAsia="zh-CN"/>
              </w:rPr>
              <w:t>个</w:t>
            </w:r>
          </w:p>
        </w:tc>
        <w:tc>
          <w:tcPr>
            <w:tcW w:w="1190" w:type="dxa"/>
            <w:noWrap w:val="0"/>
            <w:vAlign w:val="center"/>
          </w:tcPr>
          <w:p w14:paraId="34E47C0D">
            <w:pPr>
              <w:widowControl/>
              <w:jc w:val="center"/>
              <w:textAlignment w:val="center"/>
              <w:rPr>
                <w:rFonts w:ascii="宋体" w:hAnsi="宋体" w:eastAsia="宋体" w:cs="宋体"/>
                <w:color w:val="000000"/>
                <w:szCs w:val="21"/>
              </w:rPr>
            </w:pPr>
          </w:p>
        </w:tc>
        <w:tc>
          <w:tcPr>
            <w:tcW w:w="2505" w:type="dxa"/>
            <w:noWrap w:val="0"/>
            <w:vAlign w:val="center"/>
          </w:tcPr>
          <w:p w14:paraId="6AD116CF">
            <w:pPr>
              <w:pStyle w:val="4"/>
              <w:spacing w:line="380" w:lineRule="exact"/>
              <w:jc w:val="center"/>
              <w:rPr>
                <w:color w:val="000000"/>
                <w:sz w:val="21"/>
                <w:szCs w:val="21"/>
              </w:rPr>
            </w:pPr>
          </w:p>
        </w:tc>
      </w:tr>
      <w:tr w14:paraId="01D1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00" w:type="dxa"/>
            <w:noWrap w:val="0"/>
            <w:vAlign w:val="center"/>
          </w:tcPr>
          <w:p w14:paraId="3C2A86B6">
            <w:pPr>
              <w:pStyle w:val="4"/>
              <w:spacing w:line="380" w:lineRule="exact"/>
              <w:jc w:val="center"/>
              <w:rPr>
                <w:color w:val="000000"/>
                <w:sz w:val="21"/>
                <w:szCs w:val="21"/>
                <w:lang w:eastAsia="zh-CN"/>
              </w:rPr>
            </w:pPr>
            <w:r>
              <w:rPr>
                <w:rFonts w:hint="eastAsia"/>
                <w:color w:val="000000"/>
                <w:sz w:val="21"/>
                <w:szCs w:val="21"/>
                <w:lang w:eastAsia="zh-CN"/>
              </w:rPr>
              <w:t>20</w:t>
            </w:r>
          </w:p>
        </w:tc>
        <w:tc>
          <w:tcPr>
            <w:tcW w:w="3934" w:type="dxa"/>
            <w:noWrap w:val="0"/>
            <w:vAlign w:val="center"/>
          </w:tcPr>
          <w:p w14:paraId="68FB9361">
            <w:pPr>
              <w:widowControl/>
              <w:spacing w:line="38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拆除立柱三面大型广告牌（含清运）</w:t>
            </w:r>
          </w:p>
        </w:tc>
        <w:tc>
          <w:tcPr>
            <w:tcW w:w="916" w:type="dxa"/>
            <w:noWrap w:val="0"/>
            <w:vAlign w:val="center"/>
          </w:tcPr>
          <w:p w14:paraId="2BE6AB24">
            <w:pPr>
              <w:widowControl/>
              <w:jc w:val="center"/>
              <w:textAlignment w:val="center"/>
              <w:rPr>
                <w:rFonts w:ascii="宋体" w:hAnsi="宋体" w:eastAsia="宋体" w:cs="宋体"/>
                <w:color w:val="000000"/>
                <w:kern w:val="0"/>
                <w:szCs w:val="21"/>
              </w:rPr>
            </w:pPr>
            <w:r>
              <w:rPr>
                <w:rFonts w:ascii="宋体" w:hAnsi="宋体" w:eastAsia="宋体" w:cs="宋体"/>
                <w:color w:val="000000"/>
                <w:kern w:val="0"/>
                <w:szCs w:val="21"/>
              </w:rPr>
              <w:t>㎡</w:t>
            </w:r>
          </w:p>
        </w:tc>
        <w:tc>
          <w:tcPr>
            <w:tcW w:w="1190" w:type="dxa"/>
            <w:noWrap w:val="0"/>
            <w:vAlign w:val="center"/>
          </w:tcPr>
          <w:p w14:paraId="7A00551C">
            <w:pPr>
              <w:pStyle w:val="4"/>
              <w:jc w:val="center"/>
              <w:rPr>
                <w:color w:val="000000"/>
                <w:sz w:val="21"/>
                <w:szCs w:val="21"/>
              </w:rPr>
            </w:pPr>
          </w:p>
        </w:tc>
        <w:tc>
          <w:tcPr>
            <w:tcW w:w="2505" w:type="dxa"/>
            <w:noWrap w:val="0"/>
            <w:vAlign w:val="center"/>
          </w:tcPr>
          <w:p w14:paraId="35230369">
            <w:pPr>
              <w:pStyle w:val="4"/>
              <w:spacing w:line="380" w:lineRule="exact"/>
              <w:jc w:val="center"/>
              <w:rPr>
                <w:color w:val="000000"/>
                <w:sz w:val="21"/>
                <w:szCs w:val="21"/>
              </w:rPr>
            </w:pPr>
          </w:p>
        </w:tc>
      </w:tr>
      <w:tr w14:paraId="2924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0" w:type="dxa"/>
            <w:vMerge w:val="restart"/>
            <w:noWrap w:val="0"/>
            <w:vAlign w:val="center"/>
          </w:tcPr>
          <w:p w14:paraId="38AEF8AE">
            <w:pPr>
              <w:pStyle w:val="4"/>
              <w:spacing w:line="380" w:lineRule="exact"/>
              <w:jc w:val="center"/>
              <w:rPr>
                <w:rFonts w:hint="default"/>
                <w:color w:val="000000"/>
                <w:sz w:val="21"/>
                <w:szCs w:val="21"/>
                <w:lang w:val="en-US" w:eastAsia="zh-CN"/>
              </w:rPr>
            </w:pPr>
            <w:r>
              <w:rPr>
                <w:rFonts w:hint="eastAsia"/>
                <w:color w:val="000000"/>
                <w:sz w:val="21"/>
                <w:szCs w:val="21"/>
                <w:lang w:val="en-US" w:eastAsia="zh-CN"/>
              </w:rPr>
              <w:t>21</w:t>
            </w:r>
          </w:p>
        </w:tc>
        <w:tc>
          <w:tcPr>
            <w:tcW w:w="3934" w:type="dxa"/>
            <w:noWrap w:val="0"/>
            <w:vAlign w:val="center"/>
          </w:tcPr>
          <w:p w14:paraId="79632128">
            <w:pPr>
              <w:widowControl/>
              <w:spacing w:line="380" w:lineRule="exact"/>
              <w:jc w:val="center"/>
              <w:textAlignment w:val="center"/>
              <w:rPr>
                <w:rFonts w:hint="default"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拆除室内电梯（含搬运）</w:t>
            </w:r>
          </w:p>
        </w:tc>
        <w:tc>
          <w:tcPr>
            <w:tcW w:w="916" w:type="dxa"/>
            <w:noWrap w:val="0"/>
            <w:vAlign w:val="center"/>
          </w:tcPr>
          <w:p w14:paraId="51877243">
            <w:pPr>
              <w:widowControl/>
              <w:jc w:val="center"/>
              <w:textAlignment w:val="center"/>
              <w:rPr>
                <w:rFonts w:hint="eastAsia" w:ascii="宋体" w:hAnsi="宋体" w:eastAsia="宋体" w:cs="宋体"/>
                <w:color w:val="000000"/>
                <w:kern w:val="0"/>
                <w:szCs w:val="21"/>
                <w:highlight w:val="none"/>
                <w:lang w:eastAsia="zh-CN"/>
              </w:rPr>
            </w:pPr>
            <w:r>
              <w:rPr>
                <w:rFonts w:hint="eastAsia" w:ascii="宋体" w:hAnsi="宋体" w:eastAsia="宋体" w:cs="宋体"/>
                <w:color w:val="000000"/>
                <w:kern w:val="0"/>
                <w:szCs w:val="21"/>
                <w:highlight w:val="none"/>
                <w:lang w:val="en-US" w:eastAsia="zh-CN"/>
              </w:rPr>
              <w:t>部</w:t>
            </w:r>
          </w:p>
        </w:tc>
        <w:tc>
          <w:tcPr>
            <w:tcW w:w="1190" w:type="dxa"/>
            <w:noWrap w:val="0"/>
            <w:vAlign w:val="center"/>
          </w:tcPr>
          <w:p w14:paraId="30569D68">
            <w:pPr>
              <w:pStyle w:val="4"/>
              <w:jc w:val="center"/>
              <w:rPr>
                <w:rFonts w:hint="default"/>
                <w:color w:val="000000"/>
                <w:kern w:val="0"/>
                <w:sz w:val="21"/>
                <w:szCs w:val="21"/>
                <w:highlight w:val="none"/>
                <w:lang w:val="en-US" w:eastAsia="zh-CN"/>
              </w:rPr>
            </w:pPr>
          </w:p>
        </w:tc>
        <w:tc>
          <w:tcPr>
            <w:tcW w:w="2505" w:type="dxa"/>
            <w:noWrap w:val="0"/>
            <w:vAlign w:val="center"/>
          </w:tcPr>
          <w:p w14:paraId="5BB9FE8B">
            <w:pPr>
              <w:pStyle w:val="4"/>
              <w:spacing w:line="380" w:lineRule="exact"/>
              <w:jc w:val="center"/>
              <w:rPr>
                <w:rFonts w:hint="default" w:eastAsia="宋体"/>
                <w:color w:val="000000"/>
                <w:sz w:val="21"/>
                <w:szCs w:val="21"/>
                <w:highlight w:val="none"/>
                <w:lang w:val="en-US" w:eastAsia="zh-CN"/>
              </w:rPr>
            </w:pPr>
          </w:p>
        </w:tc>
      </w:tr>
      <w:tr w14:paraId="76A3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800" w:type="dxa"/>
            <w:vMerge w:val="continue"/>
            <w:shd w:val="clear" w:color="auto" w:fill="FFFFFF" w:themeFill="background1"/>
            <w:noWrap w:val="0"/>
            <w:vAlign w:val="center"/>
          </w:tcPr>
          <w:p w14:paraId="742BA1F2">
            <w:pPr>
              <w:pStyle w:val="4"/>
              <w:spacing w:line="380" w:lineRule="exact"/>
              <w:jc w:val="center"/>
              <w:rPr>
                <w:rFonts w:hint="eastAsia"/>
                <w:color w:val="000000" w:themeColor="text1"/>
                <w:sz w:val="21"/>
                <w:szCs w:val="21"/>
                <w:highlight w:val="none"/>
                <w:lang w:val="en-US" w:eastAsia="zh-CN"/>
              </w:rPr>
            </w:pPr>
          </w:p>
        </w:tc>
        <w:tc>
          <w:tcPr>
            <w:tcW w:w="3934" w:type="dxa"/>
            <w:shd w:val="clear" w:color="auto" w:fill="FFFFFF" w:themeFill="background1"/>
            <w:noWrap w:val="0"/>
            <w:vAlign w:val="center"/>
          </w:tcPr>
          <w:p w14:paraId="3B52E8AD">
            <w:pPr>
              <w:widowControl/>
              <w:spacing w:line="380" w:lineRule="exact"/>
              <w:jc w:val="center"/>
              <w:textAlignment w:val="center"/>
              <w:rPr>
                <w:rFonts w:hint="eastAsia" w:ascii="宋体" w:hAnsi="宋体" w:eastAsia="宋体" w:cs="宋体"/>
                <w:color w:val="000000" w:themeColor="text1"/>
                <w:kern w:val="0"/>
                <w:sz w:val="21"/>
                <w:szCs w:val="21"/>
                <w:highlight w:val="none"/>
                <w:lang w:val="en-US" w:eastAsia="zh-CN" w:bidi="ar-SA"/>
              </w:rPr>
            </w:pPr>
            <w:r>
              <w:rPr>
                <w:rFonts w:hint="eastAsia" w:ascii="宋体" w:hAnsi="宋体" w:eastAsia="宋体" w:cs="宋体"/>
                <w:color w:val="000000" w:themeColor="text1"/>
                <w:kern w:val="0"/>
                <w:szCs w:val="21"/>
                <w:highlight w:val="none"/>
                <w:lang w:val="en-US" w:eastAsia="zh-CN"/>
              </w:rPr>
              <w:t>拆除室内电梯/扶梯（含搬运）</w:t>
            </w:r>
          </w:p>
        </w:tc>
        <w:tc>
          <w:tcPr>
            <w:tcW w:w="916" w:type="dxa"/>
            <w:shd w:val="clear" w:color="auto" w:fill="FFFFFF" w:themeFill="background1"/>
            <w:noWrap w:val="0"/>
            <w:vAlign w:val="center"/>
          </w:tcPr>
          <w:p w14:paraId="3C099506">
            <w:pPr>
              <w:widowControl/>
              <w:jc w:val="center"/>
              <w:textAlignment w:val="center"/>
              <w:rPr>
                <w:rFonts w:hint="eastAsia" w:ascii="宋体" w:hAnsi="宋体" w:eastAsia="宋体" w:cs="宋体"/>
                <w:color w:val="000000" w:themeColor="text1"/>
                <w:kern w:val="0"/>
                <w:sz w:val="21"/>
                <w:szCs w:val="21"/>
                <w:highlight w:val="none"/>
                <w:lang w:val="en-US" w:eastAsia="zh-CN" w:bidi="ar-SA"/>
              </w:rPr>
            </w:pPr>
            <w:r>
              <w:rPr>
                <w:rFonts w:hint="eastAsia" w:ascii="宋体" w:hAnsi="宋体" w:eastAsia="宋体" w:cs="宋体"/>
                <w:color w:val="000000" w:themeColor="text1"/>
                <w:kern w:val="0"/>
                <w:szCs w:val="21"/>
                <w:highlight w:val="none"/>
                <w:lang w:val="en-US" w:eastAsia="zh-CN"/>
              </w:rPr>
              <w:t>米</w:t>
            </w:r>
          </w:p>
        </w:tc>
        <w:tc>
          <w:tcPr>
            <w:tcW w:w="1190" w:type="dxa"/>
            <w:shd w:val="clear" w:color="auto" w:fill="FFFFFF" w:themeFill="background1"/>
            <w:noWrap w:val="0"/>
            <w:vAlign w:val="center"/>
          </w:tcPr>
          <w:p w14:paraId="479F2B33">
            <w:pPr>
              <w:pStyle w:val="4"/>
              <w:jc w:val="center"/>
              <w:rPr>
                <w:rFonts w:hint="eastAsia" w:ascii="宋体" w:hAnsi="宋体" w:eastAsia="宋体" w:cs="宋体"/>
                <w:color w:val="000000" w:themeColor="text1"/>
                <w:kern w:val="0"/>
                <w:sz w:val="21"/>
                <w:szCs w:val="21"/>
                <w:highlight w:val="none"/>
                <w:lang w:val="en-US" w:eastAsia="zh-CN" w:bidi="ar-SA"/>
              </w:rPr>
            </w:pPr>
          </w:p>
        </w:tc>
        <w:tc>
          <w:tcPr>
            <w:tcW w:w="2505" w:type="dxa"/>
            <w:shd w:val="clear" w:color="auto" w:fill="FFFFFF" w:themeFill="background1"/>
            <w:noWrap w:val="0"/>
            <w:vAlign w:val="center"/>
          </w:tcPr>
          <w:p w14:paraId="7BF834D1">
            <w:pPr>
              <w:pStyle w:val="4"/>
              <w:spacing w:line="380" w:lineRule="exact"/>
              <w:jc w:val="center"/>
              <w:rPr>
                <w:rFonts w:hint="eastAsia"/>
                <w:color w:val="000000" w:themeColor="text1"/>
                <w:sz w:val="21"/>
                <w:szCs w:val="21"/>
                <w:highlight w:val="none"/>
                <w:lang w:val="en-US" w:eastAsia="zh-CN"/>
              </w:rPr>
            </w:pPr>
          </w:p>
        </w:tc>
      </w:tr>
      <w:tr w14:paraId="05C6E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00" w:type="dxa"/>
            <w:vMerge w:val="restart"/>
            <w:shd w:val="clear" w:color="auto" w:fill="FFFFFF" w:themeFill="background1"/>
            <w:noWrap w:val="0"/>
            <w:vAlign w:val="center"/>
          </w:tcPr>
          <w:p w14:paraId="2FEDEC44">
            <w:pPr>
              <w:pStyle w:val="4"/>
              <w:spacing w:line="380" w:lineRule="exact"/>
              <w:jc w:val="center"/>
              <w:rPr>
                <w:rFonts w:hint="default"/>
                <w:color w:val="000000" w:themeColor="text1"/>
                <w:sz w:val="21"/>
                <w:szCs w:val="21"/>
                <w:highlight w:val="none"/>
                <w:lang w:val="en-US" w:eastAsia="zh-CN"/>
              </w:rPr>
            </w:pPr>
            <w:r>
              <w:rPr>
                <w:rFonts w:hint="eastAsia"/>
                <w:color w:val="000000" w:themeColor="text1"/>
                <w:sz w:val="21"/>
                <w:szCs w:val="21"/>
                <w:highlight w:val="none"/>
                <w:lang w:val="en-US" w:eastAsia="zh-CN"/>
              </w:rPr>
              <w:t>22</w:t>
            </w:r>
          </w:p>
        </w:tc>
        <w:tc>
          <w:tcPr>
            <w:tcW w:w="3934" w:type="dxa"/>
            <w:shd w:val="clear" w:color="auto" w:fill="FFFFFF" w:themeFill="background1"/>
            <w:noWrap w:val="0"/>
            <w:vAlign w:val="center"/>
          </w:tcPr>
          <w:p w14:paraId="74A73D26">
            <w:pPr>
              <w:widowControl/>
              <w:spacing w:line="380" w:lineRule="exact"/>
              <w:jc w:val="center"/>
              <w:textAlignment w:val="center"/>
              <w:rPr>
                <w:rFonts w:hint="eastAsia" w:ascii="宋体" w:hAnsi="宋体" w:eastAsia="宋体" w:cs="宋体"/>
                <w:color w:val="000000" w:themeColor="text1"/>
                <w:kern w:val="0"/>
                <w:szCs w:val="21"/>
                <w:highlight w:val="none"/>
                <w:lang w:val="en-US" w:eastAsia="zh-CN"/>
              </w:rPr>
            </w:pPr>
            <w:r>
              <w:rPr>
                <w:rFonts w:hint="eastAsia" w:ascii="宋体" w:hAnsi="宋体" w:eastAsia="宋体" w:cs="宋体"/>
                <w:color w:val="000000" w:themeColor="text1"/>
                <w:kern w:val="0"/>
                <w:szCs w:val="21"/>
                <w:highlight w:val="none"/>
                <w:lang w:val="en-US" w:eastAsia="zh-CN"/>
              </w:rPr>
              <w:t>吊车10吨/25吨/50吨</w:t>
            </w:r>
          </w:p>
        </w:tc>
        <w:tc>
          <w:tcPr>
            <w:tcW w:w="916" w:type="dxa"/>
            <w:shd w:val="clear" w:color="auto" w:fill="FFFFFF" w:themeFill="background1"/>
            <w:noWrap w:val="0"/>
            <w:vAlign w:val="center"/>
          </w:tcPr>
          <w:p w14:paraId="4F46B623">
            <w:pPr>
              <w:widowControl/>
              <w:jc w:val="center"/>
              <w:textAlignment w:val="center"/>
              <w:rPr>
                <w:rFonts w:hint="eastAsia" w:ascii="宋体" w:hAnsi="宋体" w:eastAsia="宋体" w:cs="宋体"/>
                <w:color w:val="000000" w:themeColor="text1"/>
                <w:kern w:val="0"/>
                <w:szCs w:val="21"/>
                <w:highlight w:val="none"/>
                <w:lang w:val="en-US" w:eastAsia="zh-CN"/>
              </w:rPr>
            </w:pPr>
            <w:r>
              <w:rPr>
                <w:rFonts w:hint="eastAsia" w:ascii="宋体" w:hAnsi="宋体" w:eastAsia="宋体" w:cs="宋体"/>
                <w:color w:val="000000" w:themeColor="text1"/>
                <w:kern w:val="0"/>
                <w:szCs w:val="21"/>
                <w:highlight w:val="none"/>
                <w:lang w:val="en-US" w:eastAsia="zh-CN"/>
              </w:rPr>
              <w:t>台班</w:t>
            </w:r>
          </w:p>
        </w:tc>
        <w:tc>
          <w:tcPr>
            <w:tcW w:w="1190" w:type="dxa"/>
            <w:shd w:val="clear" w:color="auto" w:fill="FFFFFF" w:themeFill="background1"/>
            <w:noWrap w:val="0"/>
            <w:vAlign w:val="center"/>
          </w:tcPr>
          <w:p w14:paraId="5C4E5B12">
            <w:pPr>
              <w:pStyle w:val="4"/>
              <w:jc w:val="center"/>
              <w:rPr>
                <w:rFonts w:hint="default"/>
                <w:color w:val="000000" w:themeColor="text1"/>
                <w:kern w:val="0"/>
                <w:sz w:val="21"/>
                <w:szCs w:val="21"/>
                <w:highlight w:val="none"/>
                <w:lang w:val="en-US" w:eastAsia="zh-CN"/>
              </w:rPr>
            </w:pPr>
          </w:p>
        </w:tc>
        <w:tc>
          <w:tcPr>
            <w:tcW w:w="2505" w:type="dxa"/>
            <w:shd w:val="clear" w:color="auto" w:fill="FFFFFF" w:themeFill="background1"/>
            <w:noWrap w:val="0"/>
            <w:vAlign w:val="center"/>
          </w:tcPr>
          <w:p w14:paraId="57D4A583">
            <w:pPr>
              <w:pStyle w:val="4"/>
              <w:spacing w:line="380" w:lineRule="exact"/>
              <w:jc w:val="center"/>
              <w:rPr>
                <w:rFonts w:hint="default" w:eastAsia="宋体"/>
                <w:color w:val="000000" w:themeColor="text1"/>
                <w:sz w:val="21"/>
                <w:szCs w:val="21"/>
                <w:highlight w:val="none"/>
                <w:lang w:val="en-US" w:eastAsia="zh-CN"/>
              </w:rPr>
            </w:pPr>
          </w:p>
        </w:tc>
      </w:tr>
      <w:tr w14:paraId="5467A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00" w:type="dxa"/>
            <w:vMerge w:val="continue"/>
            <w:shd w:val="clear" w:color="auto" w:fill="FFFFFF" w:themeFill="background1"/>
            <w:noWrap w:val="0"/>
            <w:vAlign w:val="center"/>
          </w:tcPr>
          <w:p w14:paraId="56703A50">
            <w:pPr>
              <w:pStyle w:val="4"/>
              <w:spacing w:line="380" w:lineRule="exact"/>
              <w:jc w:val="center"/>
              <w:rPr>
                <w:rFonts w:hint="eastAsia"/>
                <w:color w:val="000000" w:themeColor="text1"/>
                <w:sz w:val="21"/>
                <w:szCs w:val="21"/>
                <w:highlight w:val="none"/>
                <w:lang w:val="en-US" w:eastAsia="zh-CN"/>
              </w:rPr>
            </w:pPr>
          </w:p>
        </w:tc>
        <w:tc>
          <w:tcPr>
            <w:tcW w:w="3934" w:type="dxa"/>
            <w:shd w:val="clear" w:color="auto" w:fill="FFFFFF" w:themeFill="background1"/>
            <w:noWrap w:val="0"/>
            <w:vAlign w:val="center"/>
          </w:tcPr>
          <w:p w14:paraId="3F0DF04C">
            <w:pPr>
              <w:widowControl/>
              <w:spacing w:line="380" w:lineRule="exact"/>
              <w:jc w:val="center"/>
              <w:textAlignment w:val="center"/>
              <w:rPr>
                <w:rFonts w:hint="eastAsia" w:ascii="宋体" w:hAnsi="宋体" w:eastAsia="宋体" w:cs="宋体"/>
                <w:color w:val="000000" w:themeColor="text1"/>
                <w:kern w:val="0"/>
                <w:sz w:val="21"/>
                <w:szCs w:val="21"/>
                <w:highlight w:val="none"/>
                <w:lang w:val="en-US" w:eastAsia="zh-CN" w:bidi="ar-SA"/>
              </w:rPr>
            </w:pPr>
            <w:r>
              <w:rPr>
                <w:rFonts w:hint="eastAsia" w:ascii="宋体" w:hAnsi="宋体" w:eastAsia="宋体" w:cs="宋体"/>
                <w:color w:val="000000" w:themeColor="text1"/>
                <w:kern w:val="0"/>
                <w:szCs w:val="21"/>
                <w:highlight w:val="none"/>
                <w:lang w:val="en-US" w:eastAsia="zh-CN"/>
              </w:rPr>
              <w:t>随车吊</w:t>
            </w:r>
          </w:p>
        </w:tc>
        <w:tc>
          <w:tcPr>
            <w:tcW w:w="916" w:type="dxa"/>
            <w:shd w:val="clear" w:color="auto" w:fill="FFFFFF" w:themeFill="background1"/>
            <w:noWrap w:val="0"/>
            <w:vAlign w:val="center"/>
          </w:tcPr>
          <w:p w14:paraId="11ED8607">
            <w:pPr>
              <w:widowControl/>
              <w:jc w:val="center"/>
              <w:textAlignment w:val="center"/>
              <w:rPr>
                <w:rFonts w:hint="eastAsia" w:ascii="宋体" w:hAnsi="宋体" w:eastAsia="宋体" w:cs="宋体"/>
                <w:color w:val="000000" w:themeColor="text1"/>
                <w:kern w:val="0"/>
                <w:sz w:val="21"/>
                <w:szCs w:val="21"/>
                <w:highlight w:val="none"/>
                <w:lang w:val="en-US" w:eastAsia="zh-CN" w:bidi="ar-SA"/>
              </w:rPr>
            </w:pPr>
            <w:r>
              <w:rPr>
                <w:rFonts w:hint="eastAsia" w:ascii="宋体" w:hAnsi="宋体" w:eastAsia="宋体" w:cs="宋体"/>
                <w:color w:val="000000" w:themeColor="text1"/>
                <w:kern w:val="0"/>
                <w:szCs w:val="21"/>
                <w:highlight w:val="none"/>
                <w:lang w:val="en-US" w:eastAsia="zh-CN"/>
              </w:rPr>
              <w:t>车/次</w:t>
            </w:r>
          </w:p>
        </w:tc>
        <w:tc>
          <w:tcPr>
            <w:tcW w:w="1190" w:type="dxa"/>
            <w:shd w:val="clear" w:color="auto" w:fill="FFFFFF" w:themeFill="background1"/>
            <w:noWrap w:val="0"/>
            <w:vAlign w:val="center"/>
          </w:tcPr>
          <w:p w14:paraId="65C46AEE">
            <w:pPr>
              <w:pStyle w:val="4"/>
              <w:jc w:val="center"/>
              <w:rPr>
                <w:rFonts w:hint="eastAsia" w:ascii="宋体" w:hAnsi="宋体" w:eastAsia="宋体" w:cs="宋体"/>
                <w:color w:val="000000" w:themeColor="text1"/>
                <w:kern w:val="0"/>
                <w:sz w:val="21"/>
                <w:szCs w:val="21"/>
                <w:highlight w:val="none"/>
                <w:lang w:val="en-US" w:eastAsia="zh-CN" w:bidi="ar-SA"/>
              </w:rPr>
            </w:pPr>
          </w:p>
        </w:tc>
        <w:tc>
          <w:tcPr>
            <w:tcW w:w="2505" w:type="dxa"/>
            <w:shd w:val="clear" w:color="auto" w:fill="FFFFFF" w:themeFill="background1"/>
            <w:noWrap w:val="0"/>
            <w:vAlign w:val="center"/>
          </w:tcPr>
          <w:p w14:paraId="7DA40C87">
            <w:pPr>
              <w:pStyle w:val="4"/>
              <w:spacing w:line="380" w:lineRule="exact"/>
              <w:jc w:val="center"/>
              <w:rPr>
                <w:rFonts w:hint="eastAsia" w:ascii="宋体" w:hAnsi="宋体" w:eastAsia="宋体" w:cs="宋体"/>
                <w:color w:val="000000" w:themeColor="text1"/>
                <w:kern w:val="2"/>
                <w:sz w:val="21"/>
                <w:szCs w:val="21"/>
                <w:highlight w:val="none"/>
                <w:lang w:val="en-US" w:eastAsia="zh-CN" w:bidi="ar-SA"/>
              </w:rPr>
            </w:pPr>
            <w:r>
              <w:rPr>
                <w:rFonts w:hint="eastAsia"/>
                <w:color w:val="000000" w:themeColor="text1"/>
                <w:sz w:val="21"/>
                <w:szCs w:val="21"/>
                <w:highlight w:val="none"/>
                <w:lang w:val="en-US" w:eastAsia="zh-CN"/>
              </w:rPr>
              <w:t>仅限调离集装箱等时使用，人工拆除时不得另外计算吊车费用。</w:t>
            </w:r>
          </w:p>
        </w:tc>
      </w:tr>
      <w:tr w14:paraId="0929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00" w:type="dxa"/>
            <w:shd w:val="clear" w:color="auto" w:fill="FFFFFF" w:themeFill="background1"/>
            <w:noWrap w:val="0"/>
            <w:vAlign w:val="center"/>
          </w:tcPr>
          <w:p w14:paraId="1C4175FF">
            <w:pPr>
              <w:pStyle w:val="4"/>
              <w:spacing w:line="380" w:lineRule="exact"/>
              <w:jc w:val="center"/>
              <w:rPr>
                <w:rFonts w:hint="default"/>
                <w:color w:val="000000" w:themeColor="text1"/>
                <w:sz w:val="21"/>
                <w:szCs w:val="21"/>
                <w:highlight w:val="none"/>
                <w:lang w:val="en-US" w:eastAsia="zh-CN"/>
              </w:rPr>
            </w:pPr>
            <w:r>
              <w:rPr>
                <w:rFonts w:hint="eastAsia"/>
                <w:color w:val="000000" w:themeColor="text1"/>
                <w:sz w:val="21"/>
                <w:szCs w:val="21"/>
                <w:highlight w:val="none"/>
                <w:lang w:val="en-US" w:eastAsia="zh-CN"/>
              </w:rPr>
              <w:t>23</w:t>
            </w:r>
          </w:p>
        </w:tc>
        <w:tc>
          <w:tcPr>
            <w:tcW w:w="3934" w:type="dxa"/>
            <w:shd w:val="clear" w:color="auto" w:fill="FFFFFF" w:themeFill="background1"/>
            <w:noWrap w:val="0"/>
            <w:vAlign w:val="center"/>
          </w:tcPr>
          <w:p w14:paraId="14423DE1">
            <w:pPr>
              <w:widowControl/>
              <w:spacing w:line="380" w:lineRule="exact"/>
              <w:jc w:val="center"/>
              <w:textAlignment w:val="center"/>
              <w:rPr>
                <w:rFonts w:hint="eastAsia" w:ascii="宋体" w:hAnsi="宋体" w:eastAsia="宋体" w:cs="宋体"/>
                <w:color w:val="000000" w:themeColor="text1"/>
                <w:kern w:val="0"/>
                <w:sz w:val="21"/>
                <w:szCs w:val="21"/>
                <w:highlight w:val="none"/>
                <w:lang w:val="en-US" w:eastAsia="zh-CN" w:bidi="ar-SA"/>
              </w:rPr>
            </w:pPr>
            <w:r>
              <w:rPr>
                <w:rFonts w:hint="eastAsia" w:ascii="宋体" w:hAnsi="宋体" w:eastAsia="宋体" w:cs="宋体"/>
                <w:color w:val="000000" w:themeColor="text1"/>
                <w:kern w:val="0"/>
                <w:szCs w:val="21"/>
                <w:highlight w:val="none"/>
                <w:lang w:val="en-US" w:eastAsia="zh-CN"/>
              </w:rPr>
              <w:t>75挖机（夹机）</w:t>
            </w:r>
          </w:p>
        </w:tc>
        <w:tc>
          <w:tcPr>
            <w:tcW w:w="916" w:type="dxa"/>
            <w:shd w:val="clear" w:color="auto" w:fill="FFFFFF" w:themeFill="background1"/>
            <w:noWrap w:val="0"/>
            <w:vAlign w:val="center"/>
          </w:tcPr>
          <w:p w14:paraId="3280ED04">
            <w:pPr>
              <w:widowControl/>
              <w:jc w:val="center"/>
              <w:textAlignment w:val="center"/>
              <w:rPr>
                <w:rFonts w:hint="eastAsia" w:ascii="宋体" w:hAnsi="宋体" w:eastAsia="宋体" w:cs="宋体"/>
                <w:color w:val="000000" w:themeColor="text1"/>
                <w:kern w:val="0"/>
                <w:sz w:val="21"/>
                <w:szCs w:val="21"/>
                <w:highlight w:val="none"/>
                <w:lang w:val="en-US" w:eastAsia="zh-CN" w:bidi="ar-SA"/>
              </w:rPr>
            </w:pPr>
            <w:r>
              <w:rPr>
                <w:rFonts w:hint="eastAsia" w:ascii="宋体" w:hAnsi="宋体" w:eastAsia="宋体" w:cs="宋体"/>
                <w:color w:val="000000" w:themeColor="text1"/>
                <w:kern w:val="0"/>
                <w:szCs w:val="21"/>
                <w:highlight w:val="none"/>
                <w:lang w:val="en-US" w:eastAsia="zh-CN"/>
              </w:rPr>
              <w:t>台班</w:t>
            </w:r>
          </w:p>
        </w:tc>
        <w:tc>
          <w:tcPr>
            <w:tcW w:w="1190" w:type="dxa"/>
            <w:shd w:val="clear" w:color="auto" w:fill="FFFFFF" w:themeFill="background1"/>
            <w:noWrap w:val="0"/>
            <w:vAlign w:val="center"/>
          </w:tcPr>
          <w:p w14:paraId="28BF4183">
            <w:pPr>
              <w:pStyle w:val="4"/>
              <w:jc w:val="center"/>
              <w:rPr>
                <w:rFonts w:hint="eastAsia" w:ascii="宋体" w:hAnsi="宋体" w:eastAsia="宋体" w:cs="宋体"/>
                <w:color w:val="000000" w:themeColor="text1"/>
                <w:kern w:val="0"/>
                <w:sz w:val="21"/>
                <w:szCs w:val="21"/>
                <w:highlight w:val="none"/>
                <w:lang w:val="en-US" w:eastAsia="zh-CN" w:bidi="ar-SA"/>
              </w:rPr>
            </w:pPr>
          </w:p>
        </w:tc>
        <w:tc>
          <w:tcPr>
            <w:tcW w:w="2505" w:type="dxa"/>
            <w:shd w:val="clear" w:color="auto" w:fill="FFFFFF" w:themeFill="background1"/>
            <w:noWrap w:val="0"/>
            <w:vAlign w:val="center"/>
          </w:tcPr>
          <w:p w14:paraId="3D996BC3">
            <w:pPr>
              <w:pStyle w:val="4"/>
              <w:spacing w:line="380" w:lineRule="exact"/>
              <w:jc w:val="center"/>
              <w:rPr>
                <w:rFonts w:hint="eastAsia" w:ascii="宋体" w:hAnsi="宋体" w:eastAsia="宋体" w:cs="宋体"/>
                <w:color w:val="000000" w:themeColor="text1"/>
                <w:kern w:val="2"/>
                <w:sz w:val="21"/>
                <w:szCs w:val="21"/>
                <w:highlight w:val="none"/>
                <w:lang w:val="en-US" w:eastAsia="zh-CN" w:bidi="ar-SA"/>
              </w:rPr>
            </w:pPr>
          </w:p>
        </w:tc>
      </w:tr>
      <w:tr w14:paraId="268A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00" w:type="dxa"/>
            <w:shd w:val="clear" w:color="auto" w:fill="FFFFFF" w:themeFill="background1"/>
            <w:noWrap w:val="0"/>
            <w:vAlign w:val="center"/>
          </w:tcPr>
          <w:p w14:paraId="244E82C4">
            <w:pPr>
              <w:pStyle w:val="4"/>
              <w:spacing w:line="380" w:lineRule="exact"/>
              <w:jc w:val="center"/>
              <w:rPr>
                <w:rFonts w:hint="default"/>
                <w:color w:val="000000" w:themeColor="text1"/>
                <w:sz w:val="21"/>
                <w:szCs w:val="21"/>
                <w:highlight w:val="none"/>
                <w:lang w:val="en-US" w:eastAsia="zh-CN"/>
              </w:rPr>
            </w:pPr>
            <w:r>
              <w:rPr>
                <w:rFonts w:hint="eastAsia"/>
                <w:color w:val="000000" w:themeColor="text1"/>
                <w:sz w:val="21"/>
                <w:szCs w:val="21"/>
                <w:highlight w:val="none"/>
                <w:lang w:val="en-US" w:eastAsia="zh-CN"/>
              </w:rPr>
              <w:t>24</w:t>
            </w:r>
          </w:p>
        </w:tc>
        <w:tc>
          <w:tcPr>
            <w:tcW w:w="3934" w:type="dxa"/>
            <w:shd w:val="clear" w:color="auto" w:fill="FFFFFF" w:themeFill="background1"/>
            <w:noWrap w:val="0"/>
            <w:vAlign w:val="center"/>
          </w:tcPr>
          <w:p w14:paraId="51F8B31B">
            <w:pPr>
              <w:jc w:val="center"/>
              <w:rPr>
                <w:rFonts w:hint="eastAsia" w:asciiTheme="minorHAnsi" w:hAnsiTheme="minorHAnsi" w:eastAsiaTheme="minorEastAsia" w:cstheme="minorBidi"/>
                <w:color w:val="000000" w:themeColor="text1"/>
                <w:kern w:val="2"/>
                <w:sz w:val="21"/>
                <w:szCs w:val="24"/>
                <w:highlight w:val="none"/>
                <w:lang w:val="en-US" w:eastAsia="zh-CN" w:bidi="ar-SA"/>
              </w:rPr>
            </w:pPr>
            <w:r>
              <w:rPr>
                <w:rFonts w:hint="eastAsia"/>
                <w:color w:val="000000" w:themeColor="text1"/>
                <w:highlight w:val="none"/>
                <w:lang w:val="en-US" w:eastAsia="zh-CN"/>
              </w:rPr>
              <w:t>清运车辆（生活病媒垃圾）</w:t>
            </w:r>
          </w:p>
        </w:tc>
        <w:tc>
          <w:tcPr>
            <w:tcW w:w="916" w:type="dxa"/>
            <w:shd w:val="clear" w:color="auto" w:fill="FFFFFF" w:themeFill="background1"/>
            <w:noWrap w:val="0"/>
            <w:vAlign w:val="center"/>
          </w:tcPr>
          <w:p w14:paraId="4FC98047">
            <w:pPr>
              <w:jc w:val="center"/>
              <w:rPr>
                <w:rFonts w:hint="eastAsia" w:asciiTheme="minorHAnsi" w:hAnsiTheme="minorHAnsi" w:eastAsiaTheme="minorEastAsia" w:cstheme="minorBidi"/>
                <w:color w:val="000000" w:themeColor="text1"/>
                <w:kern w:val="2"/>
                <w:sz w:val="21"/>
                <w:szCs w:val="24"/>
                <w:highlight w:val="none"/>
                <w:lang w:val="en-US" w:eastAsia="zh-CN" w:bidi="ar-SA"/>
              </w:rPr>
            </w:pPr>
            <w:r>
              <w:rPr>
                <w:rFonts w:hint="eastAsia"/>
                <w:color w:val="000000" w:themeColor="text1"/>
                <w:highlight w:val="none"/>
                <w:lang w:val="en-US" w:eastAsia="zh-CN"/>
              </w:rPr>
              <w:t>车/次</w:t>
            </w:r>
          </w:p>
        </w:tc>
        <w:tc>
          <w:tcPr>
            <w:tcW w:w="1190" w:type="dxa"/>
            <w:shd w:val="clear" w:color="auto" w:fill="FFFFFF" w:themeFill="background1"/>
            <w:noWrap w:val="0"/>
            <w:vAlign w:val="center"/>
          </w:tcPr>
          <w:p w14:paraId="2BED8C58">
            <w:pPr>
              <w:jc w:val="center"/>
              <w:rPr>
                <w:rFonts w:hint="eastAsia" w:asciiTheme="minorHAnsi" w:hAnsiTheme="minorHAnsi" w:eastAsiaTheme="minorEastAsia" w:cstheme="minorBidi"/>
                <w:color w:val="000000" w:themeColor="text1"/>
                <w:kern w:val="2"/>
                <w:sz w:val="21"/>
                <w:szCs w:val="24"/>
                <w:highlight w:val="none"/>
                <w:lang w:val="en-US" w:eastAsia="zh-CN" w:bidi="ar-SA"/>
              </w:rPr>
            </w:pPr>
          </w:p>
        </w:tc>
        <w:tc>
          <w:tcPr>
            <w:tcW w:w="2505" w:type="dxa"/>
            <w:shd w:val="clear" w:color="auto" w:fill="FFFFFF" w:themeFill="background1"/>
            <w:noWrap w:val="0"/>
            <w:vAlign w:val="center"/>
          </w:tcPr>
          <w:p w14:paraId="4C6FB5D4">
            <w:pPr>
              <w:jc w:val="center"/>
              <w:rPr>
                <w:rFonts w:hint="eastAsia" w:asciiTheme="minorHAnsi" w:hAnsiTheme="minorHAnsi" w:eastAsiaTheme="minorEastAsia" w:cstheme="minorBidi"/>
                <w:color w:val="000000" w:themeColor="text1"/>
                <w:kern w:val="2"/>
                <w:sz w:val="21"/>
                <w:szCs w:val="24"/>
                <w:highlight w:val="none"/>
                <w:lang w:val="en-US" w:eastAsia="zh-CN" w:bidi="ar-SA"/>
              </w:rPr>
            </w:pPr>
            <w:r>
              <w:rPr>
                <w:rFonts w:hint="eastAsia"/>
                <w:color w:val="000000" w:themeColor="text1"/>
                <w:highlight w:val="none"/>
                <w:lang w:val="en-US" w:eastAsia="zh-CN"/>
              </w:rPr>
              <w:t>垃圾无法按体积计量的</w:t>
            </w:r>
          </w:p>
        </w:tc>
      </w:tr>
      <w:tr w14:paraId="1A8D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00" w:type="dxa"/>
            <w:noWrap w:val="0"/>
            <w:vAlign w:val="center"/>
          </w:tcPr>
          <w:p w14:paraId="255F5487">
            <w:pPr>
              <w:pStyle w:val="4"/>
              <w:spacing w:line="380" w:lineRule="exact"/>
              <w:jc w:val="center"/>
              <w:rPr>
                <w:rFonts w:hint="default"/>
                <w:color w:val="000000" w:themeColor="text1"/>
                <w:sz w:val="21"/>
                <w:szCs w:val="21"/>
                <w:highlight w:val="none"/>
                <w:lang w:val="en-US" w:eastAsia="zh-CN"/>
              </w:rPr>
            </w:pPr>
            <w:r>
              <w:rPr>
                <w:rFonts w:hint="eastAsia"/>
                <w:color w:val="000000" w:themeColor="text1"/>
                <w:sz w:val="21"/>
                <w:szCs w:val="21"/>
                <w:highlight w:val="none"/>
                <w:lang w:val="en-US" w:eastAsia="zh-CN"/>
              </w:rPr>
              <w:t>25</w:t>
            </w:r>
          </w:p>
        </w:tc>
        <w:tc>
          <w:tcPr>
            <w:tcW w:w="3934" w:type="dxa"/>
            <w:noWrap w:val="0"/>
            <w:vAlign w:val="center"/>
          </w:tcPr>
          <w:p w14:paraId="1B4A2893">
            <w:pPr>
              <w:widowControl/>
              <w:spacing w:line="380" w:lineRule="exact"/>
              <w:jc w:val="center"/>
              <w:textAlignment w:val="center"/>
              <w:rPr>
                <w:rFonts w:hint="default" w:ascii="宋体" w:hAnsi="宋体" w:eastAsia="宋体" w:cs="宋体"/>
                <w:color w:val="000000" w:themeColor="text1"/>
                <w:kern w:val="0"/>
                <w:szCs w:val="21"/>
                <w:highlight w:val="none"/>
                <w:lang w:val="en-US" w:eastAsia="zh-CN"/>
              </w:rPr>
            </w:pPr>
            <w:r>
              <w:rPr>
                <w:rFonts w:hint="eastAsia" w:ascii="宋体" w:hAnsi="宋体" w:eastAsia="宋体" w:cs="宋体"/>
                <w:color w:val="000000" w:themeColor="text1"/>
                <w:kern w:val="0"/>
                <w:szCs w:val="21"/>
                <w:highlight w:val="none"/>
                <w:lang w:val="en-US" w:eastAsia="zh-CN"/>
              </w:rPr>
              <w:t>搬家车辆（4.2米/6.9米）</w:t>
            </w:r>
          </w:p>
        </w:tc>
        <w:tc>
          <w:tcPr>
            <w:tcW w:w="916" w:type="dxa"/>
            <w:noWrap w:val="0"/>
            <w:vAlign w:val="center"/>
          </w:tcPr>
          <w:p w14:paraId="71AC9305">
            <w:pPr>
              <w:widowControl/>
              <w:jc w:val="center"/>
              <w:textAlignment w:val="center"/>
              <w:rPr>
                <w:rFonts w:hint="eastAsia" w:ascii="宋体" w:hAnsi="宋体" w:eastAsia="宋体" w:cs="宋体"/>
                <w:color w:val="000000" w:themeColor="text1"/>
                <w:kern w:val="0"/>
                <w:szCs w:val="21"/>
                <w:highlight w:val="none"/>
                <w:lang w:val="en-US" w:eastAsia="zh-CN"/>
              </w:rPr>
            </w:pPr>
            <w:r>
              <w:rPr>
                <w:rFonts w:hint="eastAsia" w:ascii="宋体" w:hAnsi="宋体" w:eastAsia="宋体" w:cs="宋体"/>
                <w:color w:val="000000" w:themeColor="text1"/>
                <w:kern w:val="0"/>
                <w:szCs w:val="21"/>
                <w:highlight w:val="none"/>
                <w:lang w:val="en-US" w:eastAsia="zh-CN"/>
              </w:rPr>
              <w:t>车/次</w:t>
            </w:r>
          </w:p>
        </w:tc>
        <w:tc>
          <w:tcPr>
            <w:tcW w:w="1190" w:type="dxa"/>
            <w:noWrap w:val="0"/>
            <w:vAlign w:val="center"/>
          </w:tcPr>
          <w:p w14:paraId="59A826B7">
            <w:pPr>
              <w:pStyle w:val="4"/>
              <w:jc w:val="center"/>
              <w:rPr>
                <w:rFonts w:hint="default"/>
                <w:color w:val="000000" w:themeColor="text1"/>
                <w:kern w:val="0"/>
                <w:sz w:val="21"/>
                <w:szCs w:val="21"/>
                <w:highlight w:val="none"/>
                <w:lang w:val="en-US" w:eastAsia="zh-CN"/>
              </w:rPr>
            </w:pPr>
          </w:p>
        </w:tc>
        <w:tc>
          <w:tcPr>
            <w:tcW w:w="2505" w:type="dxa"/>
            <w:noWrap w:val="0"/>
            <w:vAlign w:val="center"/>
          </w:tcPr>
          <w:p w14:paraId="70CC2B43">
            <w:pPr>
              <w:widowControl/>
              <w:spacing w:line="380" w:lineRule="exact"/>
              <w:jc w:val="center"/>
              <w:textAlignment w:val="center"/>
              <w:rPr>
                <w:color w:val="000000" w:themeColor="text1"/>
                <w:sz w:val="21"/>
                <w:szCs w:val="21"/>
                <w:highlight w:val="none"/>
              </w:rPr>
            </w:pPr>
          </w:p>
        </w:tc>
      </w:tr>
      <w:tr w14:paraId="47A39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00" w:type="dxa"/>
            <w:noWrap w:val="0"/>
            <w:vAlign w:val="center"/>
          </w:tcPr>
          <w:p w14:paraId="506ED17C">
            <w:pPr>
              <w:pStyle w:val="4"/>
              <w:spacing w:line="380" w:lineRule="exact"/>
              <w:jc w:val="center"/>
              <w:rPr>
                <w:rFonts w:hint="default"/>
                <w:color w:val="000000" w:themeColor="text1"/>
                <w:sz w:val="21"/>
                <w:szCs w:val="21"/>
                <w:highlight w:val="none"/>
                <w:lang w:val="en-US" w:eastAsia="zh-CN"/>
              </w:rPr>
            </w:pPr>
            <w:r>
              <w:rPr>
                <w:rFonts w:hint="eastAsia"/>
                <w:color w:val="000000" w:themeColor="text1"/>
                <w:sz w:val="21"/>
                <w:szCs w:val="21"/>
                <w:highlight w:val="none"/>
                <w:lang w:val="en-US" w:eastAsia="zh-CN"/>
              </w:rPr>
              <w:t>26</w:t>
            </w:r>
          </w:p>
        </w:tc>
        <w:tc>
          <w:tcPr>
            <w:tcW w:w="3934" w:type="dxa"/>
            <w:noWrap w:val="0"/>
            <w:vAlign w:val="center"/>
          </w:tcPr>
          <w:p w14:paraId="2755084D">
            <w:pPr>
              <w:widowControl/>
              <w:spacing w:line="380" w:lineRule="exact"/>
              <w:jc w:val="center"/>
              <w:textAlignment w:val="center"/>
              <w:rPr>
                <w:rFonts w:hint="eastAsia" w:ascii="宋体" w:hAnsi="宋体" w:eastAsia="宋体" w:cs="宋体"/>
                <w:color w:val="000000" w:themeColor="text1"/>
                <w:kern w:val="0"/>
                <w:szCs w:val="21"/>
                <w:highlight w:val="none"/>
                <w:lang w:val="en-US" w:eastAsia="zh-CN"/>
              </w:rPr>
            </w:pPr>
            <w:r>
              <w:rPr>
                <w:rFonts w:hint="eastAsia" w:ascii="宋体" w:hAnsi="宋体" w:eastAsia="宋体" w:cs="宋体"/>
                <w:color w:val="000000" w:themeColor="text1"/>
                <w:kern w:val="0"/>
                <w:szCs w:val="21"/>
                <w:highlight w:val="none"/>
                <w:lang w:val="en-US" w:eastAsia="zh-CN"/>
              </w:rPr>
              <w:t>拆除地锁</w:t>
            </w:r>
          </w:p>
        </w:tc>
        <w:tc>
          <w:tcPr>
            <w:tcW w:w="916" w:type="dxa"/>
            <w:noWrap w:val="0"/>
            <w:vAlign w:val="center"/>
          </w:tcPr>
          <w:p w14:paraId="7CE967D4">
            <w:pPr>
              <w:widowControl/>
              <w:jc w:val="center"/>
              <w:textAlignment w:val="center"/>
              <w:rPr>
                <w:rFonts w:hint="eastAsia" w:ascii="宋体" w:hAnsi="宋体" w:eastAsia="宋体" w:cs="宋体"/>
                <w:color w:val="000000" w:themeColor="text1"/>
                <w:kern w:val="0"/>
                <w:szCs w:val="21"/>
                <w:highlight w:val="none"/>
                <w:lang w:val="en-US" w:eastAsia="zh-CN"/>
              </w:rPr>
            </w:pPr>
            <w:r>
              <w:rPr>
                <w:rFonts w:hint="eastAsia" w:ascii="宋体" w:hAnsi="宋体" w:eastAsia="宋体" w:cs="宋体"/>
                <w:color w:val="000000" w:themeColor="text1"/>
                <w:kern w:val="0"/>
                <w:szCs w:val="21"/>
                <w:highlight w:val="none"/>
                <w:lang w:val="en-US" w:eastAsia="zh-CN"/>
              </w:rPr>
              <w:t>个</w:t>
            </w:r>
          </w:p>
        </w:tc>
        <w:tc>
          <w:tcPr>
            <w:tcW w:w="1190" w:type="dxa"/>
            <w:noWrap w:val="0"/>
            <w:vAlign w:val="center"/>
          </w:tcPr>
          <w:p w14:paraId="76701C2A">
            <w:pPr>
              <w:pStyle w:val="4"/>
              <w:jc w:val="center"/>
              <w:rPr>
                <w:rFonts w:hint="default"/>
                <w:color w:val="000000" w:themeColor="text1"/>
                <w:kern w:val="0"/>
                <w:sz w:val="21"/>
                <w:szCs w:val="21"/>
                <w:highlight w:val="none"/>
                <w:lang w:val="en-US" w:eastAsia="zh-CN"/>
              </w:rPr>
            </w:pPr>
          </w:p>
        </w:tc>
        <w:tc>
          <w:tcPr>
            <w:tcW w:w="2505" w:type="dxa"/>
            <w:noWrap w:val="0"/>
            <w:vAlign w:val="center"/>
          </w:tcPr>
          <w:p w14:paraId="455050C9">
            <w:pPr>
              <w:pStyle w:val="4"/>
              <w:spacing w:line="380" w:lineRule="exact"/>
              <w:jc w:val="center"/>
              <w:rPr>
                <w:color w:val="000000" w:themeColor="text1"/>
                <w:sz w:val="21"/>
                <w:szCs w:val="21"/>
                <w:highlight w:val="none"/>
              </w:rPr>
            </w:pPr>
          </w:p>
        </w:tc>
      </w:tr>
      <w:tr w14:paraId="4B44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00" w:type="dxa"/>
            <w:noWrap w:val="0"/>
            <w:vAlign w:val="center"/>
          </w:tcPr>
          <w:p w14:paraId="216CF4F5">
            <w:pPr>
              <w:pStyle w:val="4"/>
              <w:spacing w:line="380" w:lineRule="exact"/>
              <w:jc w:val="center"/>
              <w:rPr>
                <w:rFonts w:hint="default"/>
                <w:color w:val="000000" w:themeColor="text1"/>
                <w:sz w:val="21"/>
                <w:szCs w:val="21"/>
                <w:highlight w:val="none"/>
                <w:lang w:val="en-US" w:eastAsia="zh-CN"/>
              </w:rPr>
            </w:pPr>
            <w:r>
              <w:rPr>
                <w:rFonts w:hint="eastAsia"/>
                <w:color w:val="000000" w:themeColor="text1"/>
                <w:sz w:val="21"/>
                <w:szCs w:val="21"/>
                <w:highlight w:val="none"/>
                <w:lang w:val="en-US" w:eastAsia="zh-CN"/>
              </w:rPr>
              <w:t>27</w:t>
            </w:r>
          </w:p>
        </w:tc>
        <w:tc>
          <w:tcPr>
            <w:tcW w:w="3934" w:type="dxa"/>
            <w:noWrap w:val="0"/>
            <w:vAlign w:val="center"/>
          </w:tcPr>
          <w:p w14:paraId="4C949C29">
            <w:pPr>
              <w:widowControl/>
              <w:spacing w:line="380" w:lineRule="exact"/>
              <w:jc w:val="center"/>
              <w:textAlignment w:val="center"/>
              <w:rPr>
                <w:rFonts w:hint="default" w:ascii="宋体" w:hAnsi="宋体" w:eastAsia="宋体" w:cs="宋体"/>
                <w:color w:val="000000" w:themeColor="text1"/>
                <w:kern w:val="0"/>
                <w:szCs w:val="21"/>
                <w:highlight w:val="none"/>
                <w:lang w:val="en-US" w:eastAsia="zh-CN"/>
              </w:rPr>
            </w:pPr>
            <w:r>
              <w:rPr>
                <w:rFonts w:hint="eastAsia" w:ascii="宋体" w:hAnsi="宋体" w:eastAsia="宋体" w:cs="宋体"/>
                <w:color w:val="000000" w:themeColor="text1"/>
                <w:kern w:val="0"/>
                <w:szCs w:val="21"/>
                <w:highlight w:val="none"/>
                <w:lang w:val="en-US" w:eastAsia="zh-CN"/>
              </w:rPr>
              <w:t>拆除未硬化钢筋柱</w:t>
            </w:r>
          </w:p>
        </w:tc>
        <w:tc>
          <w:tcPr>
            <w:tcW w:w="916" w:type="dxa"/>
            <w:noWrap w:val="0"/>
            <w:vAlign w:val="center"/>
          </w:tcPr>
          <w:p w14:paraId="3F0922FF">
            <w:pPr>
              <w:widowControl/>
              <w:jc w:val="center"/>
              <w:textAlignment w:val="center"/>
              <w:rPr>
                <w:rFonts w:hint="eastAsia" w:ascii="宋体" w:hAnsi="宋体" w:eastAsia="宋体" w:cs="宋体"/>
                <w:color w:val="000000" w:themeColor="text1"/>
                <w:kern w:val="0"/>
                <w:szCs w:val="21"/>
                <w:highlight w:val="none"/>
                <w:lang w:eastAsia="zh-CN"/>
              </w:rPr>
            </w:pPr>
            <w:r>
              <w:rPr>
                <w:rFonts w:hint="eastAsia" w:ascii="宋体" w:hAnsi="宋体" w:eastAsia="宋体" w:cs="宋体"/>
                <w:color w:val="000000" w:themeColor="text1"/>
                <w:kern w:val="0"/>
                <w:szCs w:val="21"/>
                <w:highlight w:val="none"/>
                <w:lang w:val="en-US" w:eastAsia="zh-CN"/>
              </w:rPr>
              <w:t>处</w:t>
            </w:r>
          </w:p>
        </w:tc>
        <w:tc>
          <w:tcPr>
            <w:tcW w:w="1190" w:type="dxa"/>
            <w:noWrap w:val="0"/>
            <w:vAlign w:val="center"/>
          </w:tcPr>
          <w:p w14:paraId="3EB91BFF">
            <w:pPr>
              <w:pStyle w:val="4"/>
              <w:jc w:val="center"/>
              <w:rPr>
                <w:rFonts w:hint="default"/>
                <w:color w:val="000000" w:themeColor="text1"/>
                <w:kern w:val="0"/>
                <w:sz w:val="21"/>
                <w:szCs w:val="21"/>
                <w:highlight w:val="none"/>
                <w:lang w:val="en-US" w:eastAsia="zh-CN"/>
              </w:rPr>
            </w:pPr>
          </w:p>
        </w:tc>
        <w:tc>
          <w:tcPr>
            <w:tcW w:w="2505" w:type="dxa"/>
            <w:noWrap w:val="0"/>
            <w:vAlign w:val="center"/>
          </w:tcPr>
          <w:p w14:paraId="176C1A94">
            <w:pPr>
              <w:pStyle w:val="4"/>
              <w:spacing w:line="380" w:lineRule="exact"/>
              <w:jc w:val="center"/>
              <w:rPr>
                <w:color w:val="000000" w:themeColor="text1"/>
                <w:sz w:val="21"/>
                <w:szCs w:val="21"/>
                <w:highlight w:val="none"/>
              </w:rPr>
            </w:pPr>
          </w:p>
        </w:tc>
      </w:tr>
      <w:tr w14:paraId="4C765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0" w:type="dxa"/>
            <w:noWrap w:val="0"/>
            <w:vAlign w:val="center"/>
          </w:tcPr>
          <w:p w14:paraId="5467409B">
            <w:pPr>
              <w:pStyle w:val="4"/>
              <w:spacing w:line="380" w:lineRule="exact"/>
              <w:jc w:val="center"/>
              <w:rPr>
                <w:rFonts w:hint="default"/>
                <w:color w:val="000000" w:themeColor="text1"/>
                <w:sz w:val="21"/>
                <w:szCs w:val="21"/>
                <w:highlight w:val="none"/>
                <w:lang w:val="en-US" w:eastAsia="zh-CN"/>
              </w:rPr>
            </w:pPr>
            <w:r>
              <w:rPr>
                <w:rFonts w:hint="eastAsia"/>
                <w:color w:val="000000" w:themeColor="text1"/>
                <w:sz w:val="21"/>
                <w:szCs w:val="21"/>
                <w:highlight w:val="none"/>
                <w:lang w:val="en-US" w:eastAsia="zh-CN"/>
              </w:rPr>
              <w:t>28</w:t>
            </w:r>
          </w:p>
        </w:tc>
        <w:tc>
          <w:tcPr>
            <w:tcW w:w="3934" w:type="dxa"/>
            <w:noWrap w:val="0"/>
            <w:vAlign w:val="center"/>
          </w:tcPr>
          <w:p w14:paraId="58AE7C5E">
            <w:pPr>
              <w:widowControl/>
              <w:spacing w:line="380" w:lineRule="exact"/>
              <w:jc w:val="center"/>
              <w:textAlignment w:val="center"/>
              <w:rPr>
                <w:rFonts w:hint="default" w:ascii="宋体" w:hAnsi="宋体" w:eastAsia="宋体" w:cs="宋体"/>
                <w:color w:val="000000" w:themeColor="text1"/>
                <w:kern w:val="0"/>
                <w:szCs w:val="21"/>
                <w:highlight w:val="none"/>
                <w:lang w:val="en-US" w:eastAsia="zh-CN"/>
              </w:rPr>
            </w:pPr>
            <w:r>
              <w:rPr>
                <w:rFonts w:hint="eastAsia" w:ascii="宋体" w:hAnsi="宋体" w:eastAsia="宋体" w:cs="宋体"/>
                <w:color w:val="000000" w:themeColor="text1"/>
                <w:kern w:val="0"/>
                <w:szCs w:val="21"/>
                <w:highlight w:val="none"/>
                <w:lang w:val="en-US" w:eastAsia="zh-CN"/>
              </w:rPr>
              <w:t>拆除停车场出入口收费闸</w:t>
            </w:r>
          </w:p>
        </w:tc>
        <w:tc>
          <w:tcPr>
            <w:tcW w:w="916" w:type="dxa"/>
            <w:noWrap w:val="0"/>
            <w:vAlign w:val="center"/>
          </w:tcPr>
          <w:p w14:paraId="15682E13">
            <w:pPr>
              <w:widowControl/>
              <w:jc w:val="center"/>
              <w:textAlignment w:val="center"/>
              <w:rPr>
                <w:rFonts w:hint="default" w:ascii="宋体" w:hAnsi="宋体" w:eastAsia="宋体" w:cs="宋体"/>
                <w:color w:val="000000" w:themeColor="text1"/>
                <w:kern w:val="0"/>
                <w:szCs w:val="21"/>
                <w:highlight w:val="none"/>
                <w:lang w:val="en-US" w:eastAsia="zh-CN"/>
              </w:rPr>
            </w:pPr>
            <w:r>
              <w:rPr>
                <w:rFonts w:hint="eastAsia" w:ascii="宋体" w:hAnsi="宋体" w:eastAsia="宋体" w:cs="宋体"/>
                <w:color w:val="000000" w:themeColor="text1"/>
                <w:kern w:val="0"/>
                <w:szCs w:val="21"/>
                <w:highlight w:val="none"/>
                <w:lang w:val="en-US" w:eastAsia="zh-CN"/>
              </w:rPr>
              <w:t>处</w:t>
            </w:r>
          </w:p>
        </w:tc>
        <w:tc>
          <w:tcPr>
            <w:tcW w:w="1190" w:type="dxa"/>
            <w:noWrap w:val="0"/>
            <w:vAlign w:val="center"/>
          </w:tcPr>
          <w:p w14:paraId="70E9D0B5">
            <w:pPr>
              <w:pStyle w:val="4"/>
              <w:jc w:val="center"/>
              <w:rPr>
                <w:rFonts w:hint="default"/>
                <w:color w:val="000000" w:themeColor="text1"/>
                <w:kern w:val="0"/>
                <w:sz w:val="21"/>
                <w:szCs w:val="21"/>
                <w:highlight w:val="none"/>
                <w:lang w:val="en-US" w:eastAsia="zh-CN"/>
              </w:rPr>
            </w:pPr>
          </w:p>
        </w:tc>
        <w:tc>
          <w:tcPr>
            <w:tcW w:w="2505" w:type="dxa"/>
            <w:noWrap w:val="0"/>
            <w:vAlign w:val="center"/>
          </w:tcPr>
          <w:p w14:paraId="13033171">
            <w:pPr>
              <w:pStyle w:val="4"/>
              <w:spacing w:line="380" w:lineRule="exact"/>
              <w:jc w:val="center"/>
              <w:rPr>
                <w:color w:val="000000" w:themeColor="text1"/>
                <w:sz w:val="21"/>
                <w:szCs w:val="21"/>
                <w:highlight w:val="none"/>
              </w:rPr>
            </w:pPr>
          </w:p>
        </w:tc>
      </w:tr>
      <w:tr w14:paraId="2D433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45" w:type="dxa"/>
            <w:gridSpan w:val="5"/>
            <w:noWrap w:val="0"/>
            <w:vAlign w:val="center"/>
          </w:tcPr>
          <w:p w14:paraId="28B0BD07">
            <w:pPr>
              <w:pStyle w:val="4"/>
              <w:spacing w:line="380" w:lineRule="exact"/>
              <w:jc w:val="center"/>
              <w:rPr>
                <w:rFonts w:hint="default" w:eastAsia="宋体"/>
                <w:color w:val="000000" w:themeColor="text1"/>
                <w:sz w:val="21"/>
                <w:szCs w:val="21"/>
                <w:highlight w:val="none"/>
                <w:lang w:val="en-US" w:eastAsia="zh-CN"/>
              </w:rPr>
            </w:pPr>
            <w:r>
              <w:rPr>
                <w:rFonts w:hint="eastAsia"/>
                <w:color w:val="000000" w:themeColor="text1"/>
                <w:sz w:val="21"/>
                <w:szCs w:val="21"/>
                <w:highlight w:val="none"/>
                <w:lang w:val="en-US" w:eastAsia="zh-CN"/>
              </w:rPr>
              <w:t>镂空式铁架建筑、镂空式混凝土建筑，按占地面积的30%计量，其余未约定拆除事项，以甲方实际测量面积为准或由乙方提供第三方公司测绘报告。</w:t>
            </w:r>
          </w:p>
        </w:tc>
      </w:tr>
    </w:tbl>
    <w:p w14:paraId="20F437B4">
      <w:pPr>
        <w:keepNext w:val="0"/>
        <w:keepLines w:val="0"/>
        <w:pageBreakBefore w:val="0"/>
        <w:wordWrap/>
        <w:overflowPunct/>
        <w:topLinePunct w:val="0"/>
        <w:bidi w:val="0"/>
        <w:spacing w:line="578" w:lineRule="exact"/>
        <w:ind w:firstLine="562" w:firstLineChars="200"/>
        <w:rPr>
          <w:rFonts w:ascii="宋体" w:hAnsi="宋体" w:eastAsia="宋体" w:cs="宋体"/>
          <w:b/>
          <w:bCs/>
          <w:color w:val="auto"/>
          <w:sz w:val="28"/>
          <w:szCs w:val="28"/>
        </w:rPr>
      </w:pPr>
      <w:r>
        <w:rPr>
          <w:rFonts w:hint="eastAsia" w:ascii="宋体" w:hAnsi="宋体" w:eastAsia="宋体" w:cs="宋体"/>
          <w:b/>
          <w:bCs/>
          <w:color w:val="auto"/>
          <w:sz w:val="28"/>
          <w:szCs w:val="28"/>
        </w:rPr>
        <w:t>六、付款方式</w:t>
      </w:r>
    </w:p>
    <w:p w14:paraId="479E58DC">
      <w:pPr>
        <w:keepNext w:val="0"/>
        <w:keepLines w:val="0"/>
        <w:pageBreakBefore w:val="0"/>
        <w:wordWrap/>
        <w:overflowPunct/>
        <w:topLinePunct w:val="0"/>
        <w:bidi w:val="0"/>
        <w:spacing w:line="578"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按照工作进度</w:t>
      </w:r>
      <w:r>
        <w:rPr>
          <w:rFonts w:hint="eastAsia" w:ascii="宋体" w:hAnsi="宋体" w:eastAsia="宋体" w:cs="宋体"/>
          <w:color w:val="auto"/>
          <w:sz w:val="28"/>
          <w:szCs w:val="28"/>
          <w:lang w:val="en-US" w:eastAsia="zh-CN"/>
        </w:rPr>
        <w:t>按月</w:t>
      </w:r>
      <w:r>
        <w:rPr>
          <w:rFonts w:hint="eastAsia" w:ascii="宋体" w:hAnsi="宋体" w:eastAsia="宋体" w:cs="宋体"/>
          <w:color w:val="auto"/>
          <w:sz w:val="28"/>
          <w:szCs w:val="28"/>
        </w:rPr>
        <w:t>结算方式拨付费用，乙方应在每个</w:t>
      </w:r>
      <w:r>
        <w:rPr>
          <w:rFonts w:hint="eastAsia" w:ascii="宋体" w:hAnsi="宋体" w:eastAsia="宋体" w:cs="宋体"/>
          <w:color w:val="auto"/>
          <w:sz w:val="28"/>
          <w:szCs w:val="28"/>
          <w:lang w:val="en-US" w:eastAsia="zh-CN"/>
        </w:rPr>
        <w:t>月</w:t>
      </w:r>
      <w:r>
        <w:rPr>
          <w:rFonts w:hint="eastAsia" w:ascii="宋体" w:hAnsi="宋体" w:eastAsia="宋体" w:cs="宋体"/>
          <w:color w:val="auto"/>
          <w:sz w:val="28"/>
          <w:szCs w:val="28"/>
        </w:rPr>
        <w:t>结束前10天向甲方提供拆除、清运数据明细、请款函，并开具等额发票。若乙方在每个</w:t>
      </w:r>
      <w:r>
        <w:rPr>
          <w:rFonts w:hint="eastAsia" w:ascii="宋体" w:hAnsi="宋体" w:eastAsia="宋体" w:cs="宋体"/>
          <w:color w:val="auto"/>
          <w:sz w:val="28"/>
          <w:szCs w:val="28"/>
          <w:lang w:val="en-US" w:eastAsia="zh-CN"/>
        </w:rPr>
        <w:t>月</w:t>
      </w:r>
      <w:r>
        <w:rPr>
          <w:rFonts w:hint="eastAsia" w:ascii="宋体" w:hAnsi="宋体" w:eastAsia="宋体" w:cs="宋体"/>
          <w:color w:val="auto"/>
          <w:sz w:val="28"/>
          <w:szCs w:val="28"/>
        </w:rPr>
        <w:t>结束后</w:t>
      </w: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个工作日内，未能及时提供上述材料导致甲方无法及时付款，甲方有权视乙方放弃该</w:t>
      </w:r>
      <w:r>
        <w:rPr>
          <w:rFonts w:hint="eastAsia" w:ascii="宋体" w:hAnsi="宋体" w:eastAsia="宋体" w:cs="宋体"/>
          <w:color w:val="auto"/>
          <w:sz w:val="28"/>
          <w:szCs w:val="28"/>
          <w:lang w:val="en-US" w:eastAsia="zh-CN"/>
        </w:rPr>
        <w:t>月</w:t>
      </w:r>
      <w:r>
        <w:rPr>
          <w:rFonts w:hint="eastAsia" w:ascii="宋体" w:hAnsi="宋体" w:eastAsia="宋体" w:cs="宋体"/>
          <w:color w:val="auto"/>
          <w:sz w:val="28"/>
          <w:szCs w:val="28"/>
        </w:rPr>
        <w:t>款项。</w:t>
      </w:r>
    </w:p>
    <w:p w14:paraId="14DB0DF9">
      <w:pPr>
        <w:keepNext w:val="0"/>
        <w:keepLines w:val="0"/>
        <w:pageBreakBefore w:val="0"/>
        <w:wordWrap/>
        <w:overflowPunct/>
        <w:topLinePunct w:val="0"/>
        <w:bidi w:val="0"/>
        <w:spacing w:line="578"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二</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违法建（构）筑物拆除工作结束后，乙方须在3个工作日内与甲方共同确定实际工作量，并进行签单确认。</w:t>
      </w:r>
    </w:p>
    <w:p w14:paraId="7219F812">
      <w:pPr>
        <w:keepNext w:val="0"/>
        <w:keepLines w:val="0"/>
        <w:pageBreakBefore w:val="0"/>
        <w:wordWrap/>
        <w:overflowPunct/>
        <w:topLinePunct w:val="0"/>
        <w:bidi w:val="0"/>
        <w:spacing w:line="578"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三</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建筑垃圾收集清运工作结束后，乙方须在5个工作日内与甲方共同确定实际工作量，并进行签单确认。</w:t>
      </w:r>
    </w:p>
    <w:p w14:paraId="3B7F65A3">
      <w:pPr>
        <w:keepNext w:val="0"/>
        <w:keepLines w:val="0"/>
        <w:pageBreakBefore w:val="0"/>
        <w:wordWrap/>
        <w:overflowPunct/>
        <w:topLinePunct w:val="0"/>
        <w:bidi w:val="0"/>
        <w:spacing w:line="578"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四</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甲方收到乙方应提供的与第①项所约定的报送材料经审查合格且财政审批通过后十五个工作日内，按照实际发生的工作量拨付费用，非因甲方原因（如乙方迟延给付发票、财政审批等原因）导致甲方迟延支付服务费用，甲方不因此承担违约责任。</w:t>
      </w:r>
    </w:p>
    <w:p w14:paraId="4A9C1B6E">
      <w:pPr>
        <w:keepNext w:val="0"/>
        <w:keepLines w:val="0"/>
        <w:pageBreakBefore w:val="0"/>
        <w:wordWrap/>
        <w:overflowPunct/>
        <w:topLinePunct w:val="0"/>
        <w:bidi w:val="0"/>
        <w:spacing w:line="578" w:lineRule="exact"/>
        <w:ind w:firstLine="560" w:firstLineChars="200"/>
        <w:rPr>
          <w:rFonts w:ascii="宋体" w:hAnsi="宋体" w:eastAsia="宋体" w:cs="宋体"/>
          <w:color w:val="FF0000"/>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五</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乙方收款账户见合同签署页。乙方应保证所提供收款账户信息的真实性和准确性，否则自行承担相应的不利后果，甲方向乙方所提供的收款账户付款即视为已履行付款义务。</w:t>
      </w:r>
    </w:p>
    <w:p w14:paraId="653374D6">
      <w:pPr>
        <w:keepNext w:val="0"/>
        <w:keepLines w:val="0"/>
        <w:pageBreakBefore w:val="0"/>
        <w:wordWrap/>
        <w:overflowPunct/>
        <w:topLinePunct w:val="0"/>
        <w:bidi w:val="0"/>
        <w:spacing w:line="578" w:lineRule="exact"/>
        <w:ind w:firstLine="562" w:firstLineChars="200"/>
        <w:rPr>
          <w:rFonts w:ascii="宋体" w:hAnsi="宋体" w:eastAsia="宋体" w:cs="宋体"/>
          <w:b/>
          <w:bCs/>
          <w:color w:val="auto"/>
          <w:sz w:val="28"/>
          <w:szCs w:val="28"/>
        </w:rPr>
      </w:pPr>
      <w:r>
        <w:rPr>
          <w:rFonts w:hint="eastAsia" w:ascii="宋体" w:hAnsi="宋体" w:eastAsia="宋体" w:cs="宋体"/>
          <w:b/>
          <w:bCs/>
          <w:color w:val="auto"/>
          <w:sz w:val="28"/>
          <w:szCs w:val="28"/>
        </w:rPr>
        <w:t>七、验收方法</w:t>
      </w:r>
    </w:p>
    <w:p w14:paraId="38F8CCBF">
      <w:pPr>
        <w:keepNext w:val="0"/>
        <w:keepLines w:val="0"/>
        <w:pageBreakBefore w:val="0"/>
        <w:wordWrap/>
        <w:overflowPunct/>
        <w:topLinePunct w:val="0"/>
        <w:bidi w:val="0"/>
        <w:spacing w:line="578"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乙方提供的服务，甲方按照国家、行业有关标准及</w:t>
      </w:r>
      <w:r>
        <w:rPr>
          <w:rFonts w:hint="eastAsia" w:ascii="宋体" w:hAnsi="宋体" w:eastAsia="宋体" w:cs="宋体"/>
          <w:color w:val="auto"/>
          <w:sz w:val="28"/>
          <w:szCs w:val="28"/>
          <w:lang w:val="en-US" w:eastAsia="zh-CN"/>
        </w:rPr>
        <w:t>磋商</w:t>
      </w:r>
      <w:r>
        <w:rPr>
          <w:rFonts w:hint="eastAsia" w:ascii="宋体" w:hAnsi="宋体" w:eastAsia="宋体" w:cs="宋体"/>
          <w:color w:val="auto"/>
          <w:sz w:val="28"/>
          <w:szCs w:val="28"/>
        </w:rPr>
        <w:t>文件、</w:t>
      </w:r>
      <w:r>
        <w:rPr>
          <w:rFonts w:hint="eastAsia" w:ascii="宋体" w:hAnsi="宋体" w:eastAsia="宋体" w:cs="宋体"/>
          <w:color w:val="auto"/>
          <w:sz w:val="28"/>
          <w:szCs w:val="28"/>
          <w:lang w:val="en-US" w:eastAsia="zh-CN"/>
        </w:rPr>
        <w:t>响应</w:t>
      </w:r>
      <w:r>
        <w:rPr>
          <w:rFonts w:hint="eastAsia" w:ascii="宋体" w:hAnsi="宋体" w:eastAsia="宋体" w:cs="宋体"/>
          <w:color w:val="auto"/>
          <w:sz w:val="28"/>
          <w:szCs w:val="28"/>
        </w:rPr>
        <w:t>文件要求组织验收。如甲方在验收过程中发现工程不符合标准，乙方应在甲方指定期限内进行整改，整改期间超过合同约定的施工时间部分，视为乙方违约，甲方有权按照双方约定的标准向乙方收取违约金。</w:t>
      </w:r>
    </w:p>
    <w:p w14:paraId="18279379">
      <w:pPr>
        <w:keepNext w:val="0"/>
        <w:keepLines w:val="0"/>
        <w:pageBreakBefore w:val="0"/>
        <w:wordWrap/>
        <w:overflowPunct/>
        <w:topLinePunct w:val="0"/>
        <w:bidi w:val="0"/>
        <w:spacing w:line="578" w:lineRule="exact"/>
        <w:ind w:firstLine="562" w:firstLineChars="200"/>
        <w:rPr>
          <w:rFonts w:ascii="宋体" w:hAnsi="宋体" w:eastAsia="宋体" w:cs="宋体"/>
          <w:b/>
          <w:bCs/>
          <w:color w:val="auto"/>
          <w:sz w:val="28"/>
          <w:szCs w:val="28"/>
        </w:rPr>
      </w:pPr>
      <w:r>
        <w:rPr>
          <w:rFonts w:hint="eastAsia" w:ascii="宋体" w:hAnsi="宋体" w:eastAsia="宋体" w:cs="宋体"/>
          <w:b/>
          <w:bCs/>
          <w:color w:val="auto"/>
          <w:sz w:val="28"/>
          <w:szCs w:val="28"/>
        </w:rPr>
        <w:t>八、违约责任与解决争议的方法：</w:t>
      </w:r>
    </w:p>
    <w:p w14:paraId="4ACF9E8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color w:val="auto"/>
          <w:sz w:val="28"/>
          <w:szCs w:val="28"/>
          <w:u w:val="none"/>
        </w:rPr>
      </w:pPr>
      <w:r>
        <w:rPr>
          <w:rFonts w:hint="eastAsia" w:ascii="Times New Roman" w:hAnsi="Times New Roman" w:eastAsia="宋体" w:cs="Times New Roman"/>
          <w:color w:val="auto"/>
          <w:sz w:val="28"/>
          <w:szCs w:val="28"/>
          <w:u w:val="none"/>
          <w:lang w:eastAsia="zh-CN"/>
        </w:rPr>
        <w:t>（</w:t>
      </w:r>
      <w:r>
        <w:rPr>
          <w:rFonts w:hint="eastAsia" w:ascii="Times New Roman" w:hAnsi="Times New Roman" w:eastAsia="宋体" w:cs="Times New Roman"/>
          <w:color w:val="auto"/>
          <w:sz w:val="28"/>
          <w:szCs w:val="28"/>
          <w:u w:val="none"/>
          <w:lang w:val="en-US" w:eastAsia="zh-CN"/>
        </w:rPr>
        <w:t>一</w:t>
      </w:r>
      <w:r>
        <w:rPr>
          <w:rFonts w:hint="eastAsia" w:ascii="Times New Roman" w:hAnsi="Times New Roman" w:eastAsia="宋体" w:cs="Times New Roman"/>
          <w:color w:val="auto"/>
          <w:sz w:val="28"/>
          <w:szCs w:val="28"/>
          <w:u w:val="none"/>
          <w:lang w:eastAsia="zh-CN"/>
        </w:rPr>
        <w:t>）</w:t>
      </w:r>
      <w:r>
        <w:rPr>
          <w:rFonts w:hint="default" w:ascii="Times New Roman" w:hAnsi="Times New Roman" w:eastAsia="宋体" w:cs="Times New Roman"/>
          <w:color w:val="auto"/>
          <w:sz w:val="28"/>
          <w:szCs w:val="28"/>
          <w:u w:val="none"/>
        </w:rPr>
        <w:t>合同签订后，乙方不履行合同条款或不按合同约定履行的，属违约，由</w:t>
      </w:r>
      <w:r>
        <w:rPr>
          <w:rFonts w:hint="eastAsia" w:cs="Times New Roman"/>
          <w:color w:val="auto"/>
          <w:sz w:val="28"/>
          <w:szCs w:val="28"/>
          <w:u w:val="none"/>
          <w:lang w:eastAsia="zh-CN"/>
        </w:rPr>
        <w:t>乙方</w:t>
      </w:r>
      <w:r>
        <w:rPr>
          <w:rFonts w:hint="default" w:ascii="Times New Roman" w:hAnsi="Times New Roman" w:eastAsia="宋体" w:cs="Times New Roman"/>
          <w:color w:val="auto"/>
          <w:sz w:val="28"/>
          <w:szCs w:val="28"/>
          <w:u w:val="none"/>
        </w:rPr>
        <w:t>承担违约责任，向</w:t>
      </w:r>
      <w:r>
        <w:rPr>
          <w:rFonts w:hint="eastAsia" w:cs="Times New Roman"/>
          <w:color w:val="auto"/>
          <w:sz w:val="28"/>
          <w:szCs w:val="28"/>
          <w:u w:val="none"/>
          <w:lang w:eastAsia="zh-CN"/>
        </w:rPr>
        <w:t>甲方</w:t>
      </w:r>
      <w:r>
        <w:rPr>
          <w:rFonts w:hint="default" w:ascii="Times New Roman" w:hAnsi="Times New Roman" w:eastAsia="宋体" w:cs="Times New Roman"/>
          <w:color w:val="auto"/>
          <w:sz w:val="28"/>
          <w:szCs w:val="28"/>
          <w:u w:val="none"/>
        </w:rPr>
        <w:t>支付本合同金额的5%作为违约金。</w:t>
      </w:r>
    </w:p>
    <w:p w14:paraId="0D75020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color w:val="auto"/>
          <w:sz w:val="28"/>
          <w:szCs w:val="28"/>
          <w:u w:val="none"/>
        </w:rPr>
      </w:pPr>
      <w:r>
        <w:rPr>
          <w:rFonts w:hint="eastAsia" w:ascii="Times New Roman" w:hAnsi="Times New Roman" w:eastAsia="宋体" w:cs="Times New Roman"/>
          <w:color w:val="auto"/>
          <w:sz w:val="28"/>
          <w:szCs w:val="28"/>
          <w:u w:val="none"/>
          <w:lang w:eastAsia="zh-CN"/>
        </w:rPr>
        <w:t>（</w:t>
      </w:r>
      <w:r>
        <w:rPr>
          <w:rFonts w:hint="eastAsia" w:ascii="Times New Roman" w:hAnsi="Times New Roman" w:eastAsia="宋体" w:cs="Times New Roman"/>
          <w:color w:val="auto"/>
          <w:sz w:val="28"/>
          <w:szCs w:val="28"/>
          <w:u w:val="none"/>
          <w:lang w:val="en-US" w:eastAsia="zh-CN"/>
        </w:rPr>
        <w:t>二</w:t>
      </w:r>
      <w:r>
        <w:rPr>
          <w:rFonts w:hint="eastAsia" w:ascii="Times New Roman" w:hAnsi="Times New Roman" w:eastAsia="宋体" w:cs="Times New Roman"/>
          <w:color w:val="auto"/>
          <w:sz w:val="28"/>
          <w:szCs w:val="28"/>
          <w:u w:val="none"/>
          <w:lang w:eastAsia="zh-CN"/>
        </w:rPr>
        <w:t>）</w:t>
      </w:r>
      <w:r>
        <w:rPr>
          <w:rFonts w:hint="default" w:ascii="Times New Roman" w:hAnsi="Times New Roman" w:eastAsia="宋体" w:cs="Times New Roman"/>
          <w:color w:val="auto"/>
          <w:sz w:val="28"/>
          <w:szCs w:val="28"/>
          <w:u w:val="none"/>
        </w:rPr>
        <w:t>由于乙方原因，导致双方签订的合同终止，乙方因此而遭受的损失，由乙方独立承担，与甲方无关。</w:t>
      </w:r>
    </w:p>
    <w:p w14:paraId="4144114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color w:val="auto"/>
          <w:sz w:val="28"/>
          <w:szCs w:val="28"/>
          <w:u w:val="none"/>
        </w:rPr>
      </w:pPr>
      <w:r>
        <w:rPr>
          <w:rFonts w:hint="eastAsia" w:ascii="Times New Roman" w:hAnsi="Times New Roman" w:eastAsia="宋体" w:cs="Times New Roman"/>
          <w:color w:val="auto"/>
          <w:sz w:val="28"/>
          <w:szCs w:val="28"/>
          <w:u w:val="none"/>
          <w:lang w:eastAsia="zh-CN"/>
        </w:rPr>
        <w:t>（</w:t>
      </w:r>
      <w:r>
        <w:rPr>
          <w:rFonts w:hint="eastAsia" w:ascii="Times New Roman" w:hAnsi="Times New Roman" w:eastAsia="宋体" w:cs="Times New Roman"/>
          <w:color w:val="auto"/>
          <w:sz w:val="28"/>
          <w:szCs w:val="28"/>
          <w:u w:val="none"/>
          <w:lang w:val="en-US" w:eastAsia="zh-CN"/>
        </w:rPr>
        <w:t>三</w:t>
      </w:r>
      <w:r>
        <w:rPr>
          <w:rFonts w:hint="eastAsia" w:ascii="Times New Roman" w:hAnsi="Times New Roman" w:eastAsia="宋体" w:cs="Times New Roman"/>
          <w:color w:val="auto"/>
          <w:sz w:val="28"/>
          <w:szCs w:val="28"/>
          <w:u w:val="none"/>
          <w:lang w:eastAsia="zh-CN"/>
        </w:rPr>
        <w:t>）</w:t>
      </w:r>
      <w:r>
        <w:rPr>
          <w:rFonts w:hint="default" w:ascii="Times New Roman" w:hAnsi="Times New Roman" w:eastAsia="宋体" w:cs="Times New Roman"/>
          <w:color w:val="auto"/>
          <w:sz w:val="28"/>
          <w:szCs w:val="28"/>
          <w:u w:val="none"/>
        </w:rPr>
        <w:t>因乙方拆除方案不完善、不听从指挥、操作不当或没有做好安全防护措施等自身原因造成周边其它无关房屋、青苗及屋内生活办公用品等财产意外损失或人员伤亡由乙方承担，赔偿资金从拆迁经费中抵扣，若拆迁经费不足清偿，则由乙方负责支付剩余赔偿金。</w:t>
      </w:r>
    </w:p>
    <w:p w14:paraId="60D2DEE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color w:val="auto"/>
          <w:sz w:val="28"/>
          <w:szCs w:val="28"/>
          <w:u w:val="none"/>
        </w:rPr>
      </w:pPr>
      <w:r>
        <w:rPr>
          <w:rFonts w:hint="eastAsia" w:ascii="Times New Roman" w:hAnsi="Times New Roman" w:eastAsia="宋体" w:cs="Times New Roman"/>
          <w:color w:val="auto"/>
          <w:sz w:val="28"/>
          <w:szCs w:val="28"/>
          <w:u w:val="none"/>
          <w:lang w:eastAsia="zh-CN"/>
        </w:rPr>
        <w:t>（</w:t>
      </w:r>
      <w:r>
        <w:rPr>
          <w:rFonts w:hint="eastAsia" w:ascii="Times New Roman" w:hAnsi="Times New Roman" w:eastAsia="宋体" w:cs="Times New Roman"/>
          <w:color w:val="auto"/>
          <w:sz w:val="28"/>
          <w:szCs w:val="28"/>
          <w:u w:val="none"/>
          <w:lang w:val="en-US" w:eastAsia="zh-CN"/>
        </w:rPr>
        <w:t>四</w:t>
      </w:r>
      <w:r>
        <w:rPr>
          <w:rFonts w:hint="eastAsia" w:ascii="Times New Roman" w:hAnsi="Times New Roman" w:eastAsia="宋体" w:cs="Times New Roman"/>
          <w:color w:val="auto"/>
          <w:sz w:val="28"/>
          <w:szCs w:val="28"/>
          <w:u w:val="none"/>
          <w:lang w:eastAsia="zh-CN"/>
        </w:rPr>
        <w:t>）</w:t>
      </w:r>
      <w:r>
        <w:rPr>
          <w:rFonts w:hint="default" w:ascii="Times New Roman" w:hAnsi="Times New Roman" w:eastAsia="宋体" w:cs="Times New Roman"/>
          <w:color w:val="auto"/>
          <w:sz w:val="28"/>
          <w:szCs w:val="28"/>
          <w:u w:val="none"/>
        </w:rPr>
        <w:t>乙方必须按时间按期及时完成工作内容，若未按甲方指定时间开展拆除清运工作，每逾期一日，按照合同金额日万分之五向甲方支付违约金，甲方有权从未付款项中扣除，乙方对此不持异议；逾期超过5日，甲方有权解除本合同，并要求乙方按合同金额5%向甲方支付违约金。</w:t>
      </w:r>
    </w:p>
    <w:p w14:paraId="29E45A4C">
      <w:pPr>
        <w:keepNext w:val="0"/>
        <w:keepLines w:val="0"/>
        <w:pageBreakBefore w:val="0"/>
        <w:wordWrap/>
        <w:overflowPunct/>
        <w:topLinePunct w:val="0"/>
        <w:bidi w:val="0"/>
        <w:spacing w:line="578" w:lineRule="exact"/>
        <w:ind w:firstLine="560" w:firstLineChars="200"/>
        <w:rPr>
          <w:rFonts w:ascii="宋体" w:hAnsi="宋体" w:eastAsia="宋体" w:cs="宋体"/>
          <w:color w:val="FF0000"/>
          <w:sz w:val="28"/>
          <w:szCs w:val="28"/>
          <w:u w:val="none"/>
        </w:rPr>
      </w:pPr>
      <w:r>
        <w:rPr>
          <w:rFonts w:hint="eastAsia" w:ascii="Times New Roman" w:hAnsi="Times New Roman" w:eastAsia="宋体" w:cs="Times New Roman"/>
          <w:color w:val="auto"/>
          <w:sz w:val="28"/>
          <w:szCs w:val="28"/>
          <w:u w:val="none"/>
          <w:lang w:eastAsia="zh-CN"/>
        </w:rPr>
        <w:t>（</w:t>
      </w:r>
      <w:r>
        <w:rPr>
          <w:rFonts w:hint="eastAsia" w:ascii="Times New Roman" w:hAnsi="Times New Roman" w:eastAsia="宋体" w:cs="Times New Roman"/>
          <w:color w:val="auto"/>
          <w:sz w:val="28"/>
          <w:szCs w:val="28"/>
          <w:u w:val="none"/>
          <w:lang w:val="en-US" w:eastAsia="zh-CN"/>
        </w:rPr>
        <w:t>五</w:t>
      </w:r>
      <w:r>
        <w:rPr>
          <w:rFonts w:hint="eastAsia" w:ascii="Times New Roman" w:hAnsi="Times New Roman" w:eastAsia="宋体" w:cs="Times New Roman"/>
          <w:color w:val="auto"/>
          <w:sz w:val="28"/>
          <w:szCs w:val="28"/>
          <w:u w:val="none"/>
          <w:lang w:eastAsia="zh-CN"/>
        </w:rPr>
        <w:t>）</w:t>
      </w:r>
      <w:r>
        <w:rPr>
          <w:rFonts w:hint="default" w:ascii="Times New Roman" w:hAnsi="Times New Roman" w:eastAsia="宋体" w:cs="Times New Roman"/>
          <w:color w:val="auto"/>
          <w:sz w:val="28"/>
          <w:szCs w:val="28"/>
          <w:u w:val="none"/>
        </w:rPr>
        <w:t>乙方若出现违约行为，给甲方造成损失的，若违约金不足以赔偿甲方因此遭受的损失，乙方应予以补足；甲方因处理乙方违约而产生的合理维权费用（包括但不仅限于律师费、诉讼费、鉴定费、保全费等）均由乙方承担。</w:t>
      </w:r>
    </w:p>
    <w:p w14:paraId="0DD35EA7">
      <w:pPr>
        <w:keepNext w:val="0"/>
        <w:keepLines w:val="0"/>
        <w:pageBreakBefore w:val="0"/>
        <w:wordWrap/>
        <w:overflowPunct/>
        <w:topLinePunct w:val="0"/>
        <w:bidi w:val="0"/>
        <w:spacing w:line="578" w:lineRule="exact"/>
        <w:ind w:firstLine="562" w:firstLineChars="200"/>
        <w:rPr>
          <w:rFonts w:ascii="宋体" w:hAnsi="宋体" w:eastAsia="宋体" w:cs="宋体"/>
          <w:b/>
          <w:bCs/>
          <w:color w:val="auto"/>
          <w:sz w:val="28"/>
          <w:szCs w:val="28"/>
        </w:rPr>
      </w:pPr>
      <w:r>
        <w:rPr>
          <w:rFonts w:hint="eastAsia" w:ascii="宋体" w:hAnsi="宋体" w:eastAsia="宋体" w:cs="宋体"/>
          <w:b/>
          <w:bCs/>
          <w:color w:val="auto"/>
          <w:sz w:val="28"/>
          <w:szCs w:val="28"/>
        </w:rPr>
        <w:t>九、不可抗力</w:t>
      </w:r>
    </w:p>
    <w:p w14:paraId="693239AF">
      <w:pPr>
        <w:keepNext w:val="0"/>
        <w:keepLines w:val="0"/>
        <w:pageBreakBefore w:val="0"/>
        <w:wordWrap/>
        <w:overflowPunct/>
        <w:topLinePunct w:val="0"/>
        <w:bidi w:val="0"/>
        <w:spacing w:line="578"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在合同规定的履行期限内，由于受不可抗力事件影响而不能履行合同时，受阻一方在提供合法证明后可免予承担违约责任，本合同自行终止。不可抗力事件系指甲、乙双方在缔结合同时所不能预见的，并且它的发生及其后果是无法避免和无法克服的事件。</w:t>
      </w:r>
    </w:p>
    <w:p w14:paraId="6373C3D7">
      <w:pPr>
        <w:keepNext w:val="0"/>
        <w:keepLines w:val="0"/>
        <w:pageBreakBefore w:val="0"/>
        <w:wordWrap/>
        <w:overflowPunct/>
        <w:topLinePunct w:val="0"/>
        <w:bidi w:val="0"/>
        <w:spacing w:line="578" w:lineRule="exact"/>
        <w:ind w:firstLine="562" w:firstLineChars="200"/>
        <w:rPr>
          <w:rFonts w:ascii="宋体" w:hAnsi="宋体" w:eastAsia="宋体" w:cs="宋体"/>
          <w:b/>
          <w:bCs/>
          <w:color w:val="auto"/>
          <w:sz w:val="28"/>
          <w:szCs w:val="28"/>
        </w:rPr>
      </w:pPr>
      <w:r>
        <w:rPr>
          <w:rFonts w:hint="eastAsia" w:ascii="宋体" w:hAnsi="宋体" w:eastAsia="宋体" w:cs="宋体"/>
          <w:b/>
          <w:bCs/>
          <w:color w:val="auto"/>
          <w:sz w:val="28"/>
          <w:szCs w:val="28"/>
        </w:rPr>
        <w:t>十、纠纷处理</w:t>
      </w:r>
    </w:p>
    <w:p w14:paraId="108A3A4E">
      <w:pPr>
        <w:keepNext w:val="0"/>
        <w:keepLines w:val="0"/>
        <w:pageBreakBefore w:val="0"/>
        <w:wordWrap/>
        <w:overflowPunct/>
        <w:topLinePunct w:val="0"/>
        <w:bidi w:val="0"/>
        <w:spacing w:line="578"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在合同执行过程中发生的与本合同有关的争议，双方应通过友好协商解决。经协商不能达成协议时，</w:t>
      </w:r>
      <w:r>
        <w:rPr>
          <w:rFonts w:hint="eastAsia" w:ascii="宋体" w:hAnsi="宋体" w:eastAsia="宋体" w:cs="宋体"/>
          <w:color w:val="auto"/>
          <w:sz w:val="28"/>
          <w:szCs w:val="28"/>
          <w:highlight w:val="none"/>
          <w:lang w:val="en-US" w:eastAsia="zh-CN"/>
        </w:rPr>
        <w:t>任何一方均有权向</w:t>
      </w:r>
      <w:r>
        <w:rPr>
          <w:rFonts w:hint="eastAsia" w:ascii="宋体" w:hAnsi="宋体" w:eastAsia="宋体" w:cs="宋体"/>
          <w:color w:val="auto"/>
          <w:sz w:val="28"/>
          <w:szCs w:val="28"/>
          <w:highlight w:val="none"/>
        </w:rPr>
        <w:t>甲方所在地人民法院</w:t>
      </w:r>
      <w:r>
        <w:rPr>
          <w:rFonts w:hint="eastAsia" w:ascii="宋体" w:hAnsi="宋体" w:eastAsia="宋体" w:cs="宋体"/>
          <w:color w:val="auto"/>
          <w:sz w:val="28"/>
          <w:szCs w:val="28"/>
          <w:highlight w:val="none"/>
          <w:lang w:val="en-US" w:eastAsia="zh-CN"/>
        </w:rPr>
        <w:t>提起诉讼</w:t>
      </w:r>
      <w:r>
        <w:rPr>
          <w:rFonts w:hint="eastAsia" w:ascii="宋体" w:hAnsi="宋体" w:eastAsia="宋体" w:cs="宋体"/>
          <w:color w:val="auto"/>
          <w:sz w:val="28"/>
          <w:szCs w:val="28"/>
          <w:highlight w:val="none"/>
        </w:rPr>
        <w:t>。</w:t>
      </w:r>
    </w:p>
    <w:p w14:paraId="42E6FDFE">
      <w:pPr>
        <w:keepNext w:val="0"/>
        <w:keepLines w:val="0"/>
        <w:pageBreakBefore w:val="0"/>
        <w:wordWrap/>
        <w:overflowPunct/>
        <w:topLinePunct w:val="0"/>
        <w:bidi w:val="0"/>
        <w:spacing w:line="578"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二</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因货物的质量问题发生争议，由具备该类产品质量检测资格的相关部门进行质量鉴定，该鉴定的结论是最终的，甲乙双方均应当接受，有相反证据予以证明的除外。</w:t>
      </w:r>
    </w:p>
    <w:p w14:paraId="6A785D82">
      <w:pPr>
        <w:keepNext w:val="0"/>
        <w:keepLines w:val="0"/>
        <w:pageBreakBefore w:val="0"/>
        <w:wordWrap/>
        <w:overflowPunct/>
        <w:topLinePunct w:val="0"/>
        <w:bidi w:val="0"/>
        <w:spacing w:line="578" w:lineRule="exact"/>
        <w:ind w:firstLine="562" w:firstLineChars="200"/>
        <w:rPr>
          <w:rFonts w:ascii="宋体" w:hAnsi="宋体" w:eastAsia="宋体" w:cs="宋体"/>
          <w:b/>
          <w:bCs/>
          <w:color w:val="auto"/>
          <w:sz w:val="28"/>
          <w:szCs w:val="28"/>
        </w:rPr>
      </w:pPr>
      <w:r>
        <w:rPr>
          <w:rFonts w:hint="eastAsia" w:ascii="宋体" w:hAnsi="宋体" w:eastAsia="宋体" w:cs="宋体"/>
          <w:b/>
          <w:bCs/>
          <w:color w:val="auto"/>
          <w:sz w:val="28"/>
          <w:szCs w:val="28"/>
        </w:rPr>
        <w:t>十</w:t>
      </w:r>
      <w:r>
        <w:rPr>
          <w:rFonts w:hint="eastAsia" w:ascii="宋体" w:hAnsi="宋体" w:eastAsia="宋体" w:cs="宋体"/>
          <w:b/>
          <w:bCs/>
          <w:color w:val="auto"/>
          <w:sz w:val="28"/>
          <w:szCs w:val="28"/>
          <w:lang w:val="en-US" w:eastAsia="zh-CN"/>
        </w:rPr>
        <w:t>一</w:t>
      </w:r>
      <w:r>
        <w:rPr>
          <w:rFonts w:hint="eastAsia" w:ascii="宋体" w:hAnsi="宋体" w:eastAsia="宋体" w:cs="宋体"/>
          <w:b/>
          <w:bCs/>
          <w:color w:val="auto"/>
          <w:sz w:val="28"/>
          <w:szCs w:val="28"/>
        </w:rPr>
        <w:t>、合同的修改和补充</w:t>
      </w:r>
    </w:p>
    <w:p w14:paraId="02FB40CF">
      <w:pPr>
        <w:keepNext w:val="0"/>
        <w:keepLines w:val="0"/>
        <w:pageBreakBefore w:val="0"/>
        <w:wordWrap/>
        <w:overflowPunct/>
        <w:topLinePunct w:val="0"/>
        <w:bidi w:val="0"/>
        <w:spacing w:line="578" w:lineRule="exact"/>
        <w:ind w:firstLine="560" w:firstLineChars="200"/>
        <w:rPr>
          <w:rFonts w:hint="eastAsia" w:ascii="宋体" w:hAnsi="宋体" w:eastAsia="宋体" w:cs="宋体"/>
          <w:b/>
          <w:bCs/>
          <w:color w:val="auto"/>
          <w:sz w:val="28"/>
          <w:szCs w:val="28"/>
        </w:rPr>
      </w:pPr>
      <w:r>
        <w:rPr>
          <w:rFonts w:hint="eastAsia" w:ascii="宋体" w:hAnsi="宋体" w:eastAsia="宋体" w:cs="宋体"/>
          <w:color w:val="auto"/>
          <w:sz w:val="28"/>
          <w:szCs w:val="28"/>
        </w:rPr>
        <w:t>欲对合同条款作出任何修改和补充，均须由甲、乙双方法定代表人或其授权的代表签署书面协议。</w:t>
      </w:r>
    </w:p>
    <w:p w14:paraId="5261FDB9">
      <w:pPr>
        <w:keepNext w:val="0"/>
        <w:keepLines w:val="0"/>
        <w:pageBreakBefore w:val="0"/>
        <w:wordWrap/>
        <w:overflowPunct/>
        <w:topLinePunct w:val="0"/>
        <w:bidi w:val="0"/>
        <w:spacing w:line="578" w:lineRule="exact"/>
        <w:ind w:firstLine="562" w:firstLineChars="200"/>
        <w:rPr>
          <w:rFonts w:ascii="宋体" w:hAnsi="宋体" w:eastAsia="宋体" w:cs="宋体"/>
          <w:b/>
          <w:bCs/>
          <w:color w:val="auto"/>
          <w:sz w:val="28"/>
          <w:szCs w:val="28"/>
        </w:rPr>
      </w:pPr>
      <w:r>
        <w:rPr>
          <w:rFonts w:hint="eastAsia" w:ascii="宋体" w:hAnsi="宋体" w:eastAsia="宋体" w:cs="宋体"/>
          <w:b/>
          <w:bCs/>
          <w:color w:val="auto"/>
          <w:sz w:val="28"/>
          <w:szCs w:val="28"/>
          <w:lang w:val="en-US" w:eastAsia="zh-CN"/>
        </w:rPr>
        <w:t>十二、、</w:t>
      </w:r>
      <w:r>
        <w:rPr>
          <w:rFonts w:hint="eastAsia" w:ascii="宋体" w:hAnsi="宋体" w:eastAsia="宋体" w:cs="宋体"/>
          <w:b/>
          <w:bCs/>
          <w:color w:val="auto"/>
          <w:sz w:val="28"/>
          <w:szCs w:val="28"/>
        </w:rPr>
        <w:t>合同生效及其它</w:t>
      </w:r>
    </w:p>
    <w:p w14:paraId="1B28AA1F">
      <w:pPr>
        <w:keepNext w:val="0"/>
        <w:keepLines w:val="0"/>
        <w:pageBreakBefore w:val="0"/>
        <w:wordWrap/>
        <w:overflowPunct/>
        <w:topLinePunct w:val="0"/>
        <w:bidi w:val="0"/>
        <w:spacing w:line="578"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本合同经双方代表签字并加盖公章后生效。</w:t>
      </w:r>
      <w:r>
        <w:rPr>
          <w:rFonts w:hint="eastAsia" w:ascii="宋体" w:hAnsi="宋体" w:eastAsia="宋体" w:cs="宋体"/>
          <w:b/>
          <w:bCs/>
          <w:color w:val="auto"/>
          <w:sz w:val="28"/>
          <w:szCs w:val="28"/>
        </w:rPr>
        <w:t>本合同一式</w:t>
      </w:r>
      <w:r>
        <w:rPr>
          <w:rFonts w:hint="eastAsia" w:ascii="宋体" w:hAnsi="宋体" w:eastAsia="宋体" w:cs="宋体"/>
          <w:b/>
          <w:bCs/>
          <w:color w:val="auto"/>
          <w:sz w:val="28"/>
          <w:szCs w:val="28"/>
          <w:u w:val="single"/>
        </w:rPr>
        <w:t xml:space="preserve"> 陆 </w:t>
      </w:r>
      <w:r>
        <w:rPr>
          <w:rFonts w:hint="eastAsia" w:ascii="宋体" w:hAnsi="宋体" w:eastAsia="宋体" w:cs="宋体"/>
          <w:b/>
          <w:bCs/>
          <w:color w:val="auto"/>
          <w:sz w:val="28"/>
          <w:szCs w:val="28"/>
        </w:rPr>
        <w:t>份，甲方留存</w:t>
      </w:r>
      <w:r>
        <w:rPr>
          <w:rFonts w:hint="eastAsia" w:ascii="宋体" w:hAnsi="宋体" w:eastAsia="宋体" w:cs="宋体"/>
          <w:b/>
          <w:bCs/>
          <w:color w:val="auto"/>
          <w:sz w:val="28"/>
          <w:szCs w:val="28"/>
          <w:u w:val="single"/>
        </w:rPr>
        <w:t xml:space="preserve"> 贰 </w:t>
      </w:r>
      <w:r>
        <w:rPr>
          <w:rFonts w:hint="eastAsia" w:ascii="宋体" w:hAnsi="宋体" w:eastAsia="宋体" w:cs="宋体"/>
          <w:b/>
          <w:bCs/>
          <w:color w:val="auto"/>
          <w:sz w:val="28"/>
          <w:szCs w:val="28"/>
        </w:rPr>
        <w:t>份，乙方留存</w:t>
      </w:r>
      <w:r>
        <w:rPr>
          <w:rFonts w:hint="eastAsia" w:ascii="宋体" w:hAnsi="宋体" w:eastAsia="宋体" w:cs="宋体"/>
          <w:b/>
          <w:bCs/>
          <w:color w:val="auto"/>
          <w:sz w:val="28"/>
          <w:szCs w:val="28"/>
          <w:u w:val="single"/>
        </w:rPr>
        <w:t xml:space="preserve"> 贰 </w:t>
      </w:r>
      <w:r>
        <w:rPr>
          <w:rFonts w:hint="eastAsia" w:ascii="宋体" w:hAnsi="宋体" w:eastAsia="宋体" w:cs="宋体"/>
          <w:b/>
          <w:bCs/>
          <w:color w:val="auto"/>
          <w:sz w:val="28"/>
          <w:szCs w:val="28"/>
        </w:rPr>
        <w:t>份，送吉阳区财政局</w:t>
      </w:r>
      <w:r>
        <w:rPr>
          <w:rFonts w:hint="eastAsia" w:ascii="宋体" w:hAnsi="宋体" w:eastAsia="宋体" w:cs="宋体"/>
          <w:b/>
          <w:bCs/>
          <w:color w:val="auto"/>
          <w:sz w:val="28"/>
          <w:szCs w:val="28"/>
          <w:u w:val="single"/>
        </w:rPr>
        <w:t xml:space="preserve"> 壹 </w:t>
      </w:r>
      <w:r>
        <w:rPr>
          <w:rFonts w:hint="eastAsia" w:ascii="宋体" w:hAnsi="宋体" w:eastAsia="宋体" w:cs="宋体"/>
          <w:b/>
          <w:bCs/>
          <w:color w:val="auto"/>
          <w:sz w:val="28"/>
          <w:szCs w:val="28"/>
        </w:rPr>
        <w:t>份，送</w:t>
      </w:r>
      <w:r>
        <w:rPr>
          <w:rFonts w:hint="eastAsia" w:ascii="宋体" w:hAnsi="宋体" w:eastAsia="宋体" w:cs="宋体"/>
          <w:b/>
          <w:bCs/>
          <w:color w:val="auto"/>
          <w:sz w:val="28"/>
          <w:szCs w:val="28"/>
          <w:lang w:val="en-US" w:eastAsia="zh-CN"/>
        </w:rPr>
        <w:t>招标</w:t>
      </w:r>
      <w:r>
        <w:rPr>
          <w:rFonts w:hint="eastAsia" w:ascii="宋体" w:hAnsi="宋体" w:eastAsia="宋体" w:cs="宋体"/>
          <w:b/>
          <w:bCs/>
          <w:color w:val="auto"/>
          <w:sz w:val="28"/>
          <w:szCs w:val="28"/>
        </w:rPr>
        <w:t>代理机构</w:t>
      </w:r>
      <w:r>
        <w:rPr>
          <w:rFonts w:hint="eastAsia" w:ascii="宋体" w:hAnsi="宋体" w:eastAsia="宋体" w:cs="宋体"/>
          <w:b/>
          <w:bCs/>
          <w:color w:val="auto"/>
          <w:sz w:val="28"/>
          <w:szCs w:val="28"/>
          <w:u w:val="single"/>
        </w:rPr>
        <w:t xml:space="preserve"> 壹 </w:t>
      </w:r>
      <w:r>
        <w:rPr>
          <w:rFonts w:hint="eastAsia" w:ascii="宋体" w:hAnsi="宋体" w:eastAsia="宋体" w:cs="宋体"/>
          <w:b/>
          <w:bCs/>
          <w:color w:val="auto"/>
          <w:sz w:val="28"/>
          <w:szCs w:val="28"/>
        </w:rPr>
        <w:t>份</w:t>
      </w: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lang w:val="en-US" w:eastAsia="zh-CN"/>
        </w:rPr>
        <w:t>均具有同等法律效力</w:t>
      </w:r>
      <w:r>
        <w:rPr>
          <w:rFonts w:hint="eastAsia" w:ascii="宋体" w:hAnsi="宋体" w:eastAsia="宋体" w:cs="宋体"/>
          <w:b/>
          <w:bCs/>
          <w:color w:val="auto"/>
          <w:sz w:val="28"/>
          <w:szCs w:val="28"/>
        </w:rPr>
        <w:t>。</w:t>
      </w:r>
    </w:p>
    <w:p w14:paraId="707F05FA">
      <w:pPr>
        <w:keepNext w:val="0"/>
        <w:keepLines w:val="0"/>
        <w:pageBreakBefore w:val="0"/>
        <w:widowControl/>
        <w:kinsoku w:val="0"/>
        <w:wordWrap/>
        <w:overflowPunct/>
        <w:topLinePunct w:val="0"/>
        <w:autoSpaceDE w:val="0"/>
        <w:autoSpaceDN w:val="0"/>
        <w:bidi w:val="0"/>
        <w:adjustRightInd w:val="0"/>
        <w:snapToGrid w:val="0"/>
        <w:spacing w:line="578" w:lineRule="exact"/>
        <w:jc w:val="center"/>
        <w:textAlignment w:val="baseline"/>
        <w:rPr>
          <w:rFonts w:ascii="宋体" w:hAnsi="宋体" w:eastAsia="宋体" w:cs="宋体"/>
          <w:snapToGrid w:val="0"/>
          <w:color w:val="FF0000"/>
          <w:kern w:val="0"/>
          <w:sz w:val="28"/>
          <w:szCs w:val="28"/>
        </w:rPr>
      </w:pPr>
      <w:bookmarkStart w:id="0" w:name="_GoBack"/>
      <w:bookmarkEnd w:id="0"/>
    </w:p>
    <w:p w14:paraId="3E0D1E37">
      <w:pPr>
        <w:keepNext w:val="0"/>
        <w:keepLines w:val="0"/>
        <w:pageBreakBefore w:val="0"/>
        <w:widowControl/>
        <w:kinsoku w:val="0"/>
        <w:wordWrap/>
        <w:overflowPunct/>
        <w:topLinePunct w:val="0"/>
        <w:autoSpaceDE w:val="0"/>
        <w:autoSpaceDN w:val="0"/>
        <w:bidi w:val="0"/>
        <w:adjustRightInd w:val="0"/>
        <w:snapToGrid w:val="0"/>
        <w:spacing w:line="578" w:lineRule="exact"/>
        <w:jc w:val="center"/>
        <w:textAlignment w:val="baseline"/>
        <w:rPr>
          <w:rFonts w:ascii="宋体" w:hAnsi="宋体" w:eastAsia="宋体" w:cs="宋体"/>
          <w:snapToGrid w:val="0"/>
          <w:color w:val="FF0000"/>
          <w:kern w:val="0"/>
          <w:sz w:val="28"/>
          <w:szCs w:val="28"/>
        </w:rPr>
      </w:pPr>
    </w:p>
    <w:p w14:paraId="17DEBB60">
      <w:pPr>
        <w:keepNext w:val="0"/>
        <w:keepLines w:val="0"/>
        <w:pageBreakBefore w:val="0"/>
        <w:wordWrap/>
        <w:overflowPunct/>
        <w:topLinePunct w:val="0"/>
        <w:bidi w:val="0"/>
        <w:spacing w:line="578" w:lineRule="exact"/>
        <w:rPr>
          <w:rFonts w:ascii="宋体" w:hAnsi="宋体" w:eastAsia="宋体" w:cs="宋体"/>
          <w:snapToGrid w:val="0"/>
          <w:color w:val="FF0000"/>
          <w:kern w:val="0"/>
          <w:sz w:val="28"/>
          <w:szCs w:val="28"/>
        </w:rPr>
        <w:sectPr>
          <w:footerReference r:id="rId4" w:type="default"/>
          <w:pgSz w:w="11906" w:h="16838"/>
          <w:pgMar w:top="1644" w:right="1474" w:bottom="1531" w:left="1474" w:header="851" w:footer="992" w:gutter="0"/>
          <w:pgNumType w:fmt="decimal" w:start="1"/>
          <w:cols w:space="425" w:num="1"/>
          <w:docGrid w:type="lines" w:linePitch="312" w:charSpace="0"/>
        </w:sectPr>
      </w:pPr>
    </w:p>
    <w:p w14:paraId="18075368">
      <w:pPr>
        <w:keepNext w:val="0"/>
        <w:keepLines w:val="0"/>
        <w:pageBreakBefore w:val="0"/>
        <w:widowControl/>
        <w:kinsoku w:val="0"/>
        <w:wordWrap/>
        <w:overflowPunct/>
        <w:topLinePunct w:val="0"/>
        <w:autoSpaceDE w:val="0"/>
        <w:autoSpaceDN w:val="0"/>
        <w:bidi w:val="0"/>
        <w:adjustRightInd w:val="0"/>
        <w:snapToGrid w:val="0"/>
        <w:spacing w:line="578" w:lineRule="exact"/>
        <w:jc w:val="left"/>
        <w:textAlignment w:val="baseline"/>
        <w:rPr>
          <w:rFonts w:ascii="宋体" w:hAnsi="宋体" w:eastAsia="宋体" w:cs="宋体"/>
          <w:snapToGrid w:val="0"/>
          <w:color w:val="auto"/>
          <w:kern w:val="0"/>
          <w:sz w:val="28"/>
          <w:szCs w:val="28"/>
        </w:rPr>
      </w:pPr>
      <w:r>
        <w:rPr>
          <w:rFonts w:ascii="宋体" w:hAnsi="宋体" w:eastAsia="宋体" w:cs="宋体"/>
          <w:snapToGrid w:val="0"/>
          <w:color w:val="auto"/>
          <w:kern w:val="0"/>
          <w:sz w:val="28"/>
          <w:szCs w:val="28"/>
        </w:rPr>
        <w:t>甲方：分局（盖章）</w:t>
      </w:r>
    </w:p>
    <w:p w14:paraId="31F0C421">
      <w:pPr>
        <w:keepNext w:val="0"/>
        <w:keepLines w:val="0"/>
        <w:pageBreakBefore w:val="0"/>
        <w:widowControl/>
        <w:kinsoku w:val="0"/>
        <w:wordWrap/>
        <w:overflowPunct/>
        <w:topLinePunct w:val="0"/>
        <w:autoSpaceDE w:val="0"/>
        <w:autoSpaceDN w:val="0"/>
        <w:bidi w:val="0"/>
        <w:adjustRightInd w:val="0"/>
        <w:snapToGrid w:val="0"/>
        <w:spacing w:line="578" w:lineRule="exact"/>
        <w:jc w:val="left"/>
        <w:textAlignment w:val="baseline"/>
        <w:rPr>
          <w:rFonts w:hint="default" w:ascii="宋体" w:hAnsi="宋体" w:eastAsia="宋体" w:cs="宋体"/>
          <w:snapToGrid w:val="0"/>
          <w:color w:val="auto"/>
          <w:kern w:val="0"/>
          <w:sz w:val="28"/>
          <w:szCs w:val="28"/>
          <w:lang w:val="en-US" w:eastAsia="zh-CN"/>
        </w:rPr>
      </w:pPr>
      <w:r>
        <w:rPr>
          <w:rFonts w:hint="eastAsia" w:ascii="宋体" w:hAnsi="宋体" w:eastAsia="宋体" w:cs="宋体"/>
          <w:snapToGrid w:val="0"/>
          <w:color w:val="auto"/>
          <w:kern w:val="0"/>
          <w:sz w:val="28"/>
          <w:szCs w:val="28"/>
          <w:lang w:val="en-US" w:eastAsia="zh-CN"/>
        </w:rPr>
        <w:t>法人或授权代表：（签章）</w:t>
      </w:r>
    </w:p>
    <w:p w14:paraId="3AA52690">
      <w:pPr>
        <w:keepNext w:val="0"/>
        <w:keepLines w:val="0"/>
        <w:pageBreakBefore w:val="0"/>
        <w:widowControl/>
        <w:kinsoku w:val="0"/>
        <w:wordWrap/>
        <w:overflowPunct/>
        <w:topLinePunct w:val="0"/>
        <w:autoSpaceDE w:val="0"/>
        <w:autoSpaceDN w:val="0"/>
        <w:bidi w:val="0"/>
        <w:adjustRightInd w:val="0"/>
        <w:snapToGrid w:val="0"/>
        <w:spacing w:line="578" w:lineRule="exact"/>
        <w:jc w:val="left"/>
        <w:textAlignment w:val="baseline"/>
        <w:rPr>
          <w:rFonts w:ascii="宋体" w:hAnsi="宋体" w:eastAsia="宋体" w:cs="宋体"/>
          <w:snapToGrid w:val="0"/>
          <w:color w:val="auto"/>
          <w:kern w:val="0"/>
          <w:sz w:val="28"/>
          <w:szCs w:val="28"/>
        </w:rPr>
      </w:pPr>
      <w:r>
        <w:rPr>
          <w:rFonts w:ascii="宋体" w:hAnsi="宋体" w:eastAsia="宋体" w:cs="宋体"/>
          <w:snapToGrid w:val="0"/>
          <w:color w:val="auto"/>
          <w:kern w:val="0"/>
          <w:sz w:val="28"/>
          <w:szCs w:val="28"/>
        </w:rPr>
        <w:t>地址：</w:t>
      </w:r>
    </w:p>
    <w:p w14:paraId="311DDC54">
      <w:pPr>
        <w:keepNext w:val="0"/>
        <w:keepLines w:val="0"/>
        <w:pageBreakBefore w:val="0"/>
        <w:widowControl/>
        <w:kinsoku w:val="0"/>
        <w:wordWrap/>
        <w:overflowPunct/>
        <w:topLinePunct w:val="0"/>
        <w:autoSpaceDE w:val="0"/>
        <w:autoSpaceDN w:val="0"/>
        <w:bidi w:val="0"/>
        <w:adjustRightInd w:val="0"/>
        <w:snapToGrid w:val="0"/>
        <w:spacing w:line="578" w:lineRule="exact"/>
        <w:jc w:val="left"/>
        <w:textAlignment w:val="baseline"/>
        <w:rPr>
          <w:rFonts w:ascii="宋体" w:hAnsi="宋体" w:eastAsia="宋体" w:cs="宋体"/>
          <w:snapToGrid w:val="0"/>
          <w:color w:val="auto"/>
          <w:kern w:val="0"/>
          <w:sz w:val="28"/>
          <w:szCs w:val="28"/>
        </w:rPr>
      </w:pPr>
      <w:r>
        <w:rPr>
          <w:rFonts w:ascii="宋体" w:hAnsi="宋体" w:eastAsia="宋体" w:cs="宋体"/>
          <w:snapToGrid w:val="0"/>
          <w:color w:val="auto"/>
          <w:kern w:val="0"/>
          <w:sz w:val="28"/>
          <w:szCs w:val="28"/>
        </w:rPr>
        <w:t>联系电话：</w:t>
      </w:r>
    </w:p>
    <w:p w14:paraId="1725CA11">
      <w:pPr>
        <w:keepNext w:val="0"/>
        <w:keepLines w:val="0"/>
        <w:pageBreakBefore w:val="0"/>
        <w:widowControl/>
        <w:kinsoku w:val="0"/>
        <w:wordWrap/>
        <w:overflowPunct/>
        <w:topLinePunct w:val="0"/>
        <w:autoSpaceDE w:val="0"/>
        <w:autoSpaceDN w:val="0"/>
        <w:bidi w:val="0"/>
        <w:adjustRightInd w:val="0"/>
        <w:snapToGrid w:val="0"/>
        <w:spacing w:line="578" w:lineRule="exact"/>
        <w:jc w:val="left"/>
        <w:textAlignment w:val="baseline"/>
        <w:rPr>
          <w:rFonts w:ascii="宋体" w:hAnsi="宋体" w:eastAsia="宋体" w:cs="宋体"/>
          <w:snapToGrid w:val="0"/>
          <w:color w:val="auto"/>
          <w:kern w:val="0"/>
          <w:sz w:val="28"/>
          <w:szCs w:val="28"/>
        </w:rPr>
      </w:pPr>
      <w:r>
        <w:rPr>
          <w:rFonts w:ascii="宋体" w:hAnsi="宋体" w:eastAsia="宋体" w:cs="宋体"/>
          <w:snapToGrid w:val="0"/>
          <w:color w:val="auto"/>
          <w:kern w:val="0"/>
          <w:sz w:val="28"/>
          <w:szCs w:val="28"/>
        </w:rPr>
        <w:t>邮编：</w:t>
      </w:r>
    </w:p>
    <w:p w14:paraId="0ECAB376">
      <w:pPr>
        <w:keepNext w:val="0"/>
        <w:keepLines w:val="0"/>
        <w:pageBreakBefore w:val="0"/>
        <w:widowControl/>
        <w:kinsoku w:val="0"/>
        <w:wordWrap/>
        <w:overflowPunct/>
        <w:topLinePunct w:val="0"/>
        <w:autoSpaceDE w:val="0"/>
        <w:autoSpaceDN w:val="0"/>
        <w:bidi w:val="0"/>
        <w:adjustRightInd w:val="0"/>
        <w:snapToGrid w:val="0"/>
        <w:spacing w:line="578" w:lineRule="exact"/>
        <w:jc w:val="left"/>
        <w:textAlignment w:val="baseline"/>
        <w:rPr>
          <w:rFonts w:ascii="宋体" w:hAnsi="宋体" w:eastAsia="宋体" w:cs="宋体"/>
          <w:snapToGrid w:val="0"/>
          <w:color w:val="auto"/>
          <w:kern w:val="0"/>
          <w:sz w:val="28"/>
          <w:szCs w:val="28"/>
        </w:rPr>
      </w:pPr>
      <w:r>
        <w:rPr>
          <w:rFonts w:ascii="宋体" w:hAnsi="宋体" w:eastAsia="宋体" w:cs="宋体"/>
          <w:snapToGrid w:val="0"/>
          <w:color w:val="auto"/>
          <w:kern w:val="0"/>
          <w:sz w:val="28"/>
          <w:szCs w:val="28"/>
        </w:rPr>
        <w:t>开户银行：</w:t>
      </w:r>
    </w:p>
    <w:p w14:paraId="4BE8C029">
      <w:pPr>
        <w:keepNext w:val="0"/>
        <w:keepLines w:val="0"/>
        <w:pageBreakBefore w:val="0"/>
        <w:widowControl/>
        <w:kinsoku w:val="0"/>
        <w:wordWrap/>
        <w:overflowPunct/>
        <w:topLinePunct w:val="0"/>
        <w:autoSpaceDE w:val="0"/>
        <w:autoSpaceDN w:val="0"/>
        <w:bidi w:val="0"/>
        <w:adjustRightInd w:val="0"/>
        <w:snapToGrid w:val="0"/>
        <w:spacing w:line="578" w:lineRule="exact"/>
        <w:jc w:val="left"/>
        <w:textAlignment w:val="baseline"/>
        <w:rPr>
          <w:rFonts w:ascii="宋体" w:hAnsi="宋体" w:eastAsia="宋体" w:cs="宋体"/>
          <w:snapToGrid w:val="0"/>
          <w:color w:val="auto"/>
          <w:kern w:val="0"/>
          <w:sz w:val="28"/>
          <w:szCs w:val="28"/>
          <w:lang w:val="en-US" w:eastAsia="zh-CN" w:bidi="ar-SA"/>
        </w:rPr>
      </w:pPr>
      <w:r>
        <w:rPr>
          <w:rFonts w:ascii="宋体" w:hAnsi="宋体" w:eastAsia="宋体" w:cs="宋体"/>
          <w:snapToGrid w:val="0"/>
          <w:color w:val="auto"/>
          <w:kern w:val="0"/>
          <w:sz w:val="28"/>
          <w:szCs w:val="28"/>
        </w:rPr>
        <w:t>账号：</w:t>
      </w:r>
    </w:p>
    <w:p w14:paraId="351C39D5">
      <w:pPr>
        <w:pStyle w:val="4"/>
        <w:keepNext w:val="0"/>
        <w:keepLines w:val="0"/>
        <w:pageBreakBefore w:val="0"/>
        <w:wordWrap/>
        <w:overflowPunct/>
        <w:topLinePunct w:val="0"/>
        <w:bidi w:val="0"/>
        <w:spacing w:line="240" w:lineRule="auto"/>
        <w:rPr>
          <w:rFonts w:hint="eastAsia"/>
          <w:color w:val="auto"/>
          <w:sz w:val="28"/>
          <w:szCs w:val="28"/>
          <w:lang w:eastAsia="zh-CN"/>
        </w:rPr>
      </w:pPr>
      <w:r>
        <w:rPr>
          <w:rFonts w:hint="eastAsia" w:ascii="宋体" w:hAnsi="宋体" w:eastAsia="宋体" w:cs="宋体"/>
          <w:snapToGrid w:val="0"/>
          <w:color w:val="auto"/>
          <w:kern w:val="0"/>
          <w:sz w:val="28"/>
          <w:szCs w:val="28"/>
          <w:lang w:val="en-US" w:eastAsia="zh-CN"/>
        </w:rPr>
        <w:t>签订</w:t>
      </w:r>
      <w:r>
        <w:rPr>
          <w:rFonts w:ascii="宋体" w:hAnsi="宋体" w:eastAsia="宋体" w:cs="宋体"/>
          <w:snapToGrid w:val="0"/>
          <w:color w:val="auto"/>
          <w:kern w:val="0"/>
          <w:sz w:val="28"/>
          <w:szCs w:val="28"/>
        </w:rPr>
        <w:t>日期：</w:t>
      </w:r>
    </w:p>
    <w:p w14:paraId="4BF3E1FD">
      <w:pPr>
        <w:pStyle w:val="4"/>
        <w:keepNext w:val="0"/>
        <w:keepLines w:val="0"/>
        <w:pageBreakBefore w:val="0"/>
        <w:wordWrap/>
        <w:overflowPunct/>
        <w:topLinePunct w:val="0"/>
        <w:bidi w:val="0"/>
        <w:spacing w:line="240" w:lineRule="auto"/>
        <w:ind w:firstLine="0" w:firstLineChars="0"/>
        <w:rPr>
          <w:rFonts w:hint="eastAsia" w:cs="宋体"/>
          <w:snapToGrid w:val="0"/>
          <w:color w:val="auto"/>
          <w:kern w:val="0"/>
          <w:sz w:val="28"/>
          <w:szCs w:val="28"/>
          <w:lang w:val="en-US" w:eastAsia="zh-CN"/>
        </w:rPr>
      </w:pPr>
      <w:r>
        <w:rPr>
          <w:rFonts w:hint="eastAsia" w:ascii="宋体" w:hAnsi="宋体" w:eastAsia="宋体" w:cs="宋体"/>
          <w:snapToGrid w:val="0"/>
          <w:color w:val="auto"/>
          <w:kern w:val="0"/>
          <w:sz w:val="28"/>
          <w:szCs w:val="28"/>
          <w:lang w:val="en-US" w:eastAsia="zh-CN" w:bidi="ar-SA"/>
        </w:rPr>
        <w:t>乙方：（盖章）</w:t>
      </w:r>
    </w:p>
    <w:p w14:paraId="1DB1F162">
      <w:pPr>
        <w:pStyle w:val="4"/>
        <w:keepNext w:val="0"/>
        <w:keepLines w:val="0"/>
        <w:pageBreakBefore w:val="0"/>
        <w:wordWrap/>
        <w:overflowPunct/>
        <w:topLinePunct w:val="0"/>
        <w:bidi w:val="0"/>
        <w:spacing w:line="240" w:lineRule="auto"/>
        <w:ind w:firstLine="0" w:firstLineChars="0"/>
        <w:rPr>
          <w:rFonts w:hint="eastAsia"/>
          <w:color w:val="auto"/>
          <w:sz w:val="28"/>
          <w:szCs w:val="28"/>
        </w:rPr>
      </w:pPr>
      <w:r>
        <w:rPr>
          <w:rFonts w:hint="eastAsia" w:ascii="宋体" w:hAnsi="宋体" w:eastAsia="宋体" w:cs="宋体"/>
          <w:snapToGrid w:val="0"/>
          <w:color w:val="auto"/>
          <w:kern w:val="0"/>
          <w:sz w:val="28"/>
          <w:szCs w:val="28"/>
          <w:lang w:val="en-US" w:eastAsia="zh-CN"/>
        </w:rPr>
        <w:t>法人或授权代表：（签章）</w:t>
      </w:r>
    </w:p>
    <w:p w14:paraId="7796B30D">
      <w:pPr>
        <w:pStyle w:val="4"/>
        <w:keepNext w:val="0"/>
        <w:keepLines w:val="0"/>
        <w:pageBreakBefore w:val="0"/>
        <w:wordWrap/>
        <w:overflowPunct/>
        <w:topLinePunct w:val="0"/>
        <w:bidi w:val="0"/>
        <w:spacing w:line="240" w:lineRule="auto"/>
        <w:rPr>
          <w:rFonts w:hint="default" w:eastAsia="宋体"/>
          <w:color w:val="auto"/>
          <w:sz w:val="28"/>
          <w:szCs w:val="28"/>
          <w:lang w:val="en-US" w:eastAsia="zh-CN"/>
        </w:rPr>
      </w:pPr>
      <w:r>
        <w:rPr>
          <w:rFonts w:hint="eastAsia"/>
          <w:color w:val="auto"/>
          <w:sz w:val="28"/>
          <w:szCs w:val="28"/>
        </w:rPr>
        <w:t>地址：</w:t>
      </w:r>
    </w:p>
    <w:p w14:paraId="6A95BB2B">
      <w:pPr>
        <w:pStyle w:val="4"/>
        <w:keepNext w:val="0"/>
        <w:keepLines w:val="0"/>
        <w:pageBreakBefore w:val="0"/>
        <w:wordWrap/>
        <w:overflowPunct/>
        <w:topLinePunct w:val="0"/>
        <w:bidi w:val="0"/>
        <w:spacing w:line="240" w:lineRule="auto"/>
        <w:rPr>
          <w:rFonts w:hint="default" w:eastAsia="宋体"/>
          <w:color w:val="auto"/>
          <w:sz w:val="28"/>
          <w:szCs w:val="28"/>
          <w:lang w:val="en-US" w:eastAsia="zh-CN"/>
        </w:rPr>
      </w:pPr>
      <w:r>
        <w:rPr>
          <w:rFonts w:hint="eastAsia"/>
          <w:color w:val="auto"/>
          <w:sz w:val="28"/>
          <w:szCs w:val="28"/>
        </w:rPr>
        <w:t>邮编：</w:t>
      </w:r>
    </w:p>
    <w:p w14:paraId="65026C98">
      <w:pPr>
        <w:pStyle w:val="4"/>
        <w:keepNext w:val="0"/>
        <w:keepLines w:val="0"/>
        <w:pageBreakBefore w:val="0"/>
        <w:wordWrap/>
        <w:overflowPunct/>
        <w:topLinePunct w:val="0"/>
        <w:bidi w:val="0"/>
        <w:spacing w:line="578" w:lineRule="exact"/>
        <w:rPr>
          <w:color w:val="auto"/>
          <w:sz w:val="28"/>
          <w:szCs w:val="28"/>
        </w:rPr>
      </w:pPr>
      <w:r>
        <w:rPr>
          <w:rFonts w:hint="eastAsia"/>
          <w:color w:val="auto"/>
          <w:sz w:val="28"/>
          <w:szCs w:val="28"/>
        </w:rPr>
        <w:t>开户银行：</w:t>
      </w:r>
    </w:p>
    <w:p w14:paraId="3F0BBF1C">
      <w:pPr>
        <w:pStyle w:val="4"/>
        <w:keepNext w:val="0"/>
        <w:keepLines w:val="0"/>
        <w:pageBreakBefore w:val="0"/>
        <w:wordWrap/>
        <w:overflowPunct/>
        <w:topLinePunct w:val="0"/>
        <w:bidi w:val="0"/>
        <w:spacing w:line="578" w:lineRule="exact"/>
        <w:rPr>
          <w:color w:val="auto"/>
          <w:sz w:val="28"/>
          <w:szCs w:val="28"/>
        </w:rPr>
      </w:pPr>
      <w:r>
        <w:rPr>
          <w:rFonts w:hint="eastAsia"/>
          <w:color w:val="auto"/>
          <w:sz w:val="28"/>
          <w:szCs w:val="28"/>
        </w:rPr>
        <w:t>账号：</w:t>
      </w:r>
    </w:p>
    <w:p w14:paraId="64415E4C">
      <w:pPr>
        <w:pStyle w:val="4"/>
        <w:keepNext w:val="0"/>
        <w:keepLines w:val="0"/>
        <w:pageBreakBefore w:val="0"/>
        <w:wordWrap/>
        <w:overflowPunct/>
        <w:topLinePunct w:val="0"/>
        <w:bidi w:val="0"/>
        <w:spacing w:line="578" w:lineRule="exact"/>
        <w:rPr>
          <w:color w:val="auto"/>
          <w:sz w:val="28"/>
          <w:szCs w:val="28"/>
          <w:lang w:eastAsia="zh-CN"/>
        </w:rPr>
        <w:sectPr>
          <w:type w:val="continuous"/>
          <w:pgSz w:w="11906" w:h="16838"/>
          <w:pgMar w:top="2098" w:right="1474" w:bottom="1984" w:left="1587" w:header="851" w:footer="992" w:gutter="0"/>
          <w:pgNumType w:fmt="decimal"/>
          <w:cols w:equalWidth="0" w:num="2">
            <w:col w:w="4153" w:space="425"/>
            <w:col w:w="4266"/>
          </w:cols>
          <w:docGrid w:type="lines" w:linePitch="312" w:charSpace="0"/>
        </w:sectPr>
      </w:pPr>
      <w:r>
        <w:rPr>
          <w:rFonts w:hint="eastAsia"/>
          <w:color w:val="auto"/>
          <w:sz w:val="28"/>
          <w:szCs w:val="28"/>
          <w:lang w:val="en-US" w:eastAsia="zh-CN"/>
        </w:rPr>
        <w:t>签订</w:t>
      </w:r>
      <w:r>
        <w:rPr>
          <w:rFonts w:hint="eastAsia"/>
          <w:color w:val="auto"/>
          <w:sz w:val="28"/>
          <w:szCs w:val="28"/>
        </w:rPr>
        <w:t>日期</w:t>
      </w:r>
      <w:r>
        <w:rPr>
          <w:rFonts w:hint="eastAsia"/>
          <w:color w:val="auto"/>
          <w:sz w:val="28"/>
          <w:szCs w:val="28"/>
          <w:lang w:eastAsia="zh-CN"/>
        </w:rPr>
        <w:t>：</w:t>
      </w:r>
    </w:p>
    <w:p w14:paraId="0CD1C8BD">
      <w:pPr>
        <w:pStyle w:val="4"/>
        <w:keepNext w:val="0"/>
        <w:keepLines w:val="0"/>
        <w:pageBreakBefore w:val="0"/>
        <w:wordWrap/>
        <w:overflowPunct/>
        <w:topLinePunct w:val="0"/>
        <w:bidi w:val="0"/>
        <w:spacing w:line="578" w:lineRule="exact"/>
        <w:rPr>
          <w:rFonts w:hint="eastAsia"/>
          <w:color w:val="auto"/>
          <w:sz w:val="28"/>
          <w:szCs w:val="28"/>
          <w:lang w:eastAsia="zh-CN"/>
        </w:rPr>
      </w:pPr>
    </w:p>
    <w:p w14:paraId="517A89B3">
      <w:pPr>
        <w:pStyle w:val="4"/>
        <w:keepNext w:val="0"/>
        <w:keepLines w:val="0"/>
        <w:pageBreakBefore w:val="0"/>
        <w:wordWrap/>
        <w:overflowPunct/>
        <w:topLinePunct w:val="0"/>
        <w:bidi w:val="0"/>
        <w:spacing w:line="578" w:lineRule="exact"/>
        <w:ind w:firstLine="560" w:firstLineChars="200"/>
        <w:rPr>
          <w:color w:val="auto"/>
          <w:sz w:val="28"/>
          <w:szCs w:val="28"/>
        </w:rPr>
      </w:pPr>
      <w:r>
        <w:rPr>
          <w:rFonts w:hint="eastAsia"/>
          <w:color w:val="auto"/>
          <w:sz w:val="28"/>
          <w:szCs w:val="28"/>
        </w:rPr>
        <w:t>招标人声明：本合同标的经招标代理机构依法定程序采购，合同主要条款内容</w:t>
      </w:r>
      <w:r>
        <w:rPr>
          <w:rFonts w:hint="eastAsia"/>
          <w:color w:val="000000" w:themeColor="text1"/>
          <w:sz w:val="28"/>
          <w:szCs w:val="28"/>
          <w:highlight w:val="none"/>
        </w:rPr>
        <w:t>与</w:t>
      </w:r>
      <w:r>
        <w:rPr>
          <w:rFonts w:hint="eastAsia"/>
          <w:color w:val="000000" w:themeColor="text1"/>
          <w:sz w:val="28"/>
          <w:szCs w:val="28"/>
          <w:highlight w:val="none"/>
          <w:lang w:val="en-US" w:eastAsia="zh-CN"/>
        </w:rPr>
        <w:t>磋商</w:t>
      </w:r>
      <w:r>
        <w:rPr>
          <w:rFonts w:hint="eastAsia"/>
          <w:color w:val="000000" w:themeColor="text1"/>
          <w:sz w:val="28"/>
          <w:szCs w:val="28"/>
          <w:highlight w:val="none"/>
        </w:rPr>
        <w:t>、</w:t>
      </w:r>
      <w:r>
        <w:rPr>
          <w:rFonts w:hint="eastAsia"/>
          <w:color w:val="000000" w:themeColor="text1"/>
          <w:sz w:val="28"/>
          <w:szCs w:val="28"/>
          <w:highlight w:val="none"/>
          <w:lang w:val="en-US" w:eastAsia="zh-CN"/>
        </w:rPr>
        <w:t>响应</w:t>
      </w:r>
      <w:r>
        <w:rPr>
          <w:rFonts w:hint="eastAsia"/>
          <w:color w:val="000000" w:themeColor="text1"/>
          <w:sz w:val="28"/>
          <w:szCs w:val="28"/>
          <w:highlight w:val="none"/>
        </w:rPr>
        <w:t>文件的内容</w:t>
      </w:r>
      <w:r>
        <w:rPr>
          <w:rFonts w:hint="eastAsia"/>
          <w:color w:val="auto"/>
          <w:sz w:val="28"/>
          <w:szCs w:val="28"/>
        </w:rPr>
        <w:t>一致。</w:t>
      </w:r>
    </w:p>
    <w:p w14:paraId="7ECB7D8C">
      <w:pPr>
        <w:pStyle w:val="4"/>
        <w:keepNext w:val="0"/>
        <w:keepLines w:val="0"/>
        <w:pageBreakBefore w:val="0"/>
        <w:wordWrap/>
        <w:overflowPunct/>
        <w:topLinePunct w:val="0"/>
        <w:bidi w:val="0"/>
        <w:spacing w:line="578" w:lineRule="exact"/>
        <w:ind w:left="269" w:firstLine="280" w:firstLineChars="100"/>
        <w:rPr>
          <w:color w:val="auto"/>
          <w:sz w:val="28"/>
          <w:szCs w:val="28"/>
          <w:lang w:eastAsia="zh-CN"/>
        </w:rPr>
      </w:pPr>
      <w:r>
        <w:rPr>
          <w:rFonts w:hint="eastAsia"/>
          <w:color w:val="auto"/>
          <w:sz w:val="28"/>
          <w:szCs w:val="28"/>
          <w:lang w:eastAsia="zh-CN"/>
        </w:rPr>
        <w:t>招标代理机构：</w:t>
      </w:r>
      <w:r>
        <w:rPr>
          <w:rFonts w:hint="eastAsia"/>
          <w:color w:val="auto"/>
          <w:sz w:val="28"/>
          <w:szCs w:val="28"/>
          <w:lang w:val="en-US" w:eastAsia="zh-CN"/>
        </w:rPr>
        <w:t>******</w:t>
      </w:r>
      <w:r>
        <w:rPr>
          <w:rFonts w:hint="eastAsia"/>
          <w:color w:val="auto"/>
          <w:sz w:val="28"/>
          <w:szCs w:val="28"/>
          <w:lang w:eastAsia="zh-CN"/>
        </w:rPr>
        <w:t>（盖章）</w:t>
      </w:r>
    </w:p>
    <w:p w14:paraId="65E8EE77">
      <w:pPr>
        <w:pStyle w:val="4"/>
        <w:keepNext w:val="0"/>
        <w:keepLines w:val="0"/>
        <w:pageBreakBefore w:val="0"/>
        <w:wordWrap/>
        <w:overflowPunct/>
        <w:topLinePunct w:val="0"/>
        <w:bidi w:val="0"/>
        <w:spacing w:line="578" w:lineRule="exact"/>
        <w:ind w:firstLine="560" w:firstLineChars="200"/>
        <w:rPr>
          <w:color w:val="auto"/>
          <w:sz w:val="28"/>
          <w:szCs w:val="28"/>
          <w:lang w:eastAsia="zh-CN"/>
        </w:rPr>
      </w:pPr>
      <w:r>
        <w:rPr>
          <w:rFonts w:hint="eastAsia"/>
          <w:color w:val="auto"/>
          <w:sz w:val="28"/>
          <w:szCs w:val="28"/>
          <w:lang w:eastAsia="zh-CN"/>
        </w:rPr>
        <w:t>经办人：                       日期：</w:t>
      </w:r>
    </w:p>
    <w:sectPr>
      <w:type w:val="continuous"/>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F9733">
    <w:pPr>
      <w:pStyle w:val="4"/>
      <w:spacing w:line="175" w:lineRule="auto"/>
      <w:ind w:left="40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E7100">
    <w:pPr>
      <w:pStyle w:val="4"/>
      <w:spacing w:line="175" w:lineRule="auto"/>
      <w:ind w:left="4052"/>
    </w:pPr>
    <w:r>
      <w:rPr>
        <w:sz w:val="24"/>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1ED6E2A">
                <w:pPr>
                  <w:pStyle w:val="5"/>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ZmYmYyZWViZjlkYmJjMDYwNzc5MzI1ZTVjNDc2MmIifQ=="/>
  </w:docVars>
  <w:rsids>
    <w:rsidRoot w:val="0ED472E7"/>
    <w:rsid w:val="00977C61"/>
    <w:rsid w:val="00AB7AF8"/>
    <w:rsid w:val="00C03BAB"/>
    <w:rsid w:val="012D2227"/>
    <w:rsid w:val="02AB78A7"/>
    <w:rsid w:val="03065425"/>
    <w:rsid w:val="03237D85"/>
    <w:rsid w:val="037E5349"/>
    <w:rsid w:val="03E92EA6"/>
    <w:rsid w:val="06C158EB"/>
    <w:rsid w:val="07AB20F7"/>
    <w:rsid w:val="07D763E6"/>
    <w:rsid w:val="07F61050"/>
    <w:rsid w:val="0875710F"/>
    <w:rsid w:val="08FE237D"/>
    <w:rsid w:val="0AE9469D"/>
    <w:rsid w:val="0B947CF1"/>
    <w:rsid w:val="0D96270B"/>
    <w:rsid w:val="0E3618E0"/>
    <w:rsid w:val="0E3C1CFB"/>
    <w:rsid w:val="0E412A21"/>
    <w:rsid w:val="0ED33FF1"/>
    <w:rsid w:val="0ED472E7"/>
    <w:rsid w:val="0F023AD2"/>
    <w:rsid w:val="10F16DCD"/>
    <w:rsid w:val="112C7E2D"/>
    <w:rsid w:val="13737F6D"/>
    <w:rsid w:val="15063063"/>
    <w:rsid w:val="183C5B38"/>
    <w:rsid w:val="18453242"/>
    <w:rsid w:val="1BCD0437"/>
    <w:rsid w:val="1C2F4C4D"/>
    <w:rsid w:val="1DF81251"/>
    <w:rsid w:val="1F715A5F"/>
    <w:rsid w:val="1FB35F24"/>
    <w:rsid w:val="20875058"/>
    <w:rsid w:val="20A42690"/>
    <w:rsid w:val="216B6728"/>
    <w:rsid w:val="2250591D"/>
    <w:rsid w:val="230175D1"/>
    <w:rsid w:val="23B50819"/>
    <w:rsid w:val="23E10F23"/>
    <w:rsid w:val="26756C6F"/>
    <w:rsid w:val="2CC15D95"/>
    <w:rsid w:val="2D145EC5"/>
    <w:rsid w:val="2D2C21AA"/>
    <w:rsid w:val="2D5D3ADD"/>
    <w:rsid w:val="2E76495E"/>
    <w:rsid w:val="2F973FE7"/>
    <w:rsid w:val="30191A45"/>
    <w:rsid w:val="319D3BB6"/>
    <w:rsid w:val="31C44DC7"/>
    <w:rsid w:val="326472CB"/>
    <w:rsid w:val="326B0B12"/>
    <w:rsid w:val="33C76FD1"/>
    <w:rsid w:val="33DF3038"/>
    <w:rsid w:val="35611EC4"/>
    <w:rsid w:val="359D0A22"/>
    <w:rsid w:val="39416402"/>
    <w:rsid w:val="3A521450"/>
    <w:rsid w:val="3A9F3776"/>
    <w:rsid w:val="3BB85EDD"/>
    <w:rsid w:val="3C7D7EBD"/>
    <w:rsid w:val="3CE16539"/>
    <w:rsid w:val="3E0B0C1F"/>
    <w:rsid w:val="4018450D"/>
    <w:rsid w:val="41A2189A"/>
    <w:rsid w:val="41B94927"/>
    <w:rsid w:val="42521512"/>
    <w:rsid w:val="43E34D01"/>
    <w:rsid w:val="449D459A"/>
    <w:rsid w:val="451D661F"/>
    <w:rsid w:val="465B26EF"/>
    <w:rsid w:val="477934A6"/>
    <w:rsid w:val="477977BF"/>
    <w:rsid w:val="48191843"/>
    <w:rsid w:val="49234EA6"/>
    <w:rsid w:val="499E6DEB"/>
    <w:rsid w:val="4A407EA2"/>
    <w:rsid w:val="4CDA2041"/>
    <w:rsid w:val="4F2F58F4"/>
    <w:rsid w:val="50884351"/>
    <w:rsid w:val="508F3BA2"/>
    <w:rsid w:val="5329681A"/>
    <w:rsid w:val="53C51418"/>
    <w:rsid w:val="55C027DF"/>
    <w:rsid w:val="56777341"/>
    <w:rsid w:val="571B7CCD"/>
    <w:rsid w:val="5772445E"/>
    <w:rsid w:val="58C30E7D"/>
    <w:rsid w:val="597E4543"/>
    <w:rsid w:val="5B6A4DC4"/>
    <w:rsid w:val="5B7A1773"/>
    <w:rsid w:val="5B9C5154"/>
    <w:rsid w:val="5EAF519E"/>
    <w:rsid w:val="60002340"/>
    <w:rsid w:val="60CF2C76"/>
    <w:rsid w:val="61642270"/>
    <w:rsid w:val="62072FBC"/>
    <w:rsid w:val="62C0797A"/>
    <w:rsid w:val="63E729FD"/>
    <w:rsid w:val="649015CE"/>
    <w:rsid w:val="69ED5BED"/>
    <w:rsid w:val="6BB264C9"/>
    <w:rsid w:val="6CA74BD1"/>
    <w:rsid w:val="6CD81D64"/>
    <w:rsid w:val="6D432FFA"/>
    <w:rsid w:val="6F2968A7"/>
    <w:rsid w:val="73E805A0"/>
    <w:rsid w:val="742C2D25"/>
    <w:rsid w:val="74D53759"/>
    <w:rsid w:val="750B7D03"/>
    <w:rsid w:val="76E71522"/>
    <w:rsid w:val="770D1350"/>
    <w:rsid w:val="77D5581E"/>
    <w:rsid w:val="78A4536A"/>
    <w:rsid w:val="78AB1C5D"/>
    <w:rsid w:val="7918765B"/>
    <w:rsid w:val="7E682F48"/>
    <w:rsid w:val="7F801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jc w:val="center"/>
    </w:pPr>
    <w:rPr>
      <w:rFonts w:ascii="Cambria" w:hAnsi="Cambria" w:eastAsia="黑体"/>
      <w:kern w:val="0"/>
      <w:szCs w:val="20"/>
    </w:rPr>
  </w:style>
  <w:style w:type="paragraph" w:styleId="4">
    <w:name w:val="Body Text"/>
    <w:basedOn w:val="1"/>
    <w:semiHidden/>
    <w:qFormat/>
    <w:uiPriority w:val="0"/>
    <w:rPr>
      <w:rFonts w:ascii="宋体" w:hAnsi="宋体" w:eastAsia="宋体" w:cs="宋体"/>
      <w:sz w:val="24"/>
      <w:lang w:eastAsia="en-US"/>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next w:val="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4847</Words>
  <Characters>4978</Characters>
  <Lines>33</Lines>
  <Paragraphs>9</Paragraphs>
  <TotalTime>0</TotalTime>
  <ScaleCrop>false</ScaleCrop>
  <LinksUpToDate>false</LinksUpToDate>
  <CharactersWithSpaces>5145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2024-04-22T07:51:00Z</dcterms:created>
  <dc:creator>心花怒放</dc:creator>
  <cp:lastModifiedBy>WPS_1551085096</cp:lastModifiedBy>
  <cp:lastPrinted>2025-05-07T01:23:00Z</cp:lastPrinted>
  <dcterms:modified xsi:type="dcterms:W3CDTF">2026-03-19T09:18:40Z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4444A1434C864977A96060BAD5128AED_11</vt:lpwstr>
  </property>
  <property fmtid="{D5CDD505-2E9C-101B-9397-08002B2CF9AE}" pid="4" name="KSOTemplateDocerSaveRecord">
    <vt:lpwstr>eyJoZGlkIjoiZTAxYTI3NzM5NmU5ZjJmMmE3ZDJkN2I0ZTMzNDJlODkiLCJ1c2VySWQiOiI0ODM0OTQ0NTcifQ==</vt:lpwstr>
  </property>
</Properties>
</file>