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三亚市吉阳区2025年秸秆综合利用项目(二次)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HNCS-2025--009-1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海南昌昇项目管理有限公司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三亚市吉阳区农业农村局</w:t>
      </w:r>
      <w:r>
        <w:rPr>
          <w:rFonts w:ascii="仿宋_GB2312" w:hAnsi="仿宋_GB2312" w:cs="仿宋_GB2312" w:eastAsia="仿宋_GB2312"/>
        </w:rPr>
        <w:t xml:space="preserve"> 委托， </w:t>
      </w:r>
      <w:r>
        <w:rPr>
          <w:rFonts w:ascii="仿宋_GB2312" w:hAnsi="仿宋_GB2312" w:cs="仿宋_GB2312" w:eastAsia="仿宋_GB2312"/>
        </w:rPr>
        <w:t>海南昌昇项目管理有限公司</w:t>
      </w:r>
      <w:r>
        <w:rPr>
          <w:rFonts w:ascii="仿宋_GB2312" w:hAnsi="仿宋_GB2312" w:cs="仿宋_GB2312" w:eastAsia="仿宋_GB2312"/>
        </w:rPr>
        <w:t xml:space="preserve"> 对 </w:t>
      </w:r>
      <w:r>
        <w:rPr>
          <w:rFonts w:ascii="仿宋_GB2312" w:hAnsi="仿宋_GB2312" w:cs="仿宋_GB2312" w:eastAsia="仿宋_GB2312"/>
        </w:rPr>
        <w:t>三亚市吉阳区2025年秸秆综合利用项目(二次)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HNCS-2025--009-1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三亚市吉阳区2025年秸秆综合利用项目(二次)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3,771,480.00元</w:t>
      </w:r>
      <w:r>
        <w:rPr>
          <w:rFonts w:ascii="仿宋_GB2312" w:hAnsi="仿宋_GB2312" w:cs="仿宋_GB2312" w:eastAsia="仿宋_GB2312"/>
        </w:rPr>
        <w:t>叁佰柒拾柒万壹仟肆佰捌拾元整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本项目服务期限为：三年，合同一年一签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与参与本项目的其他供应商之间不存在关联关系：单位负责人为同一人或者存在直接控股管理关系的不同供应商，不得参加同一合同项下的政府采购活动,为采购项目提供整体设计、规范编制或者项目管理、监理、检测等服务的供应商，不得再参加该项目的采购活动（提供声明函并加盖公章)</w:t>
      </w:r>
    </w:p>
    <w:p>
      <w:pPr>
        <w:pStyle w:val="null3"/>
        <w:jc w:val="left"/>
      </w:pPr>
      <w:r>
        <w:rPr>
          <w:rFonts w:ascii="仿宋_GB2312" w:hAnsi="仿宋_GB2312" w:cs="仿宋_GB2312" w:eastAsia="仿宋_GB2312"/>
        </w:rPr>
        <w:t>2、无环保类行政处罚记录：参加政府采购活动前三年内（成立不满三年的自公司成立之日起算），无环保类行政处罚记录（提供无环保类行政处罚记录声明函加盖公章）</w:t>
      </w:r>
    </w:p>
    <w:p>
      <w:pPr>
        <w:pStyle w:val="null3"/>
        <w:jc w:val="left"/>
      </w:pPr>
      <w:r>
        <w:rPr>
          <w:rFonts w:ascii="仿宋_GB2312" w:hAnsi="仿宋_GB2312" w:cs="仿宋_GB2312" w:eastAsia="仿宋_GB2312"/>
        </w:rPr>
        <w:t>3、政府采购供应商信用承诺书：提供政府采购供应商信用承诺书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1、采购项目需要落实的政府采购政策：《政府采购促进中小企业发展管理办法》、《关于进一步加大政府采购支持中小企业力度的通知》、《财政部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农业农村部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海南省工业和信息化厅关于落实超常规举措加大对中小企业政府采购支持的通知》等政府采购政策。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三亚市吉阳区农业农村局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海南省三亚市吉阳区吉阳大道218号A1栋5层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林应军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18389734106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海南昌昇项目管理有限公司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海南省三亚市吉阳区迎宾路美亚公馆B1215号房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覃桂迷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18889784144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采购包1：3,771,480.00元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说明：本项目第一年合同签订后30个工作日内，乙方应向甲方提供金额为合同金额的3%的履约保函，有效期自出具之日起3年内有效。</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参照海南省物价局关于降低部分招标代理服务收费标准的通知琼价费管[2011]225号文件标准，向中标供应商收取采购代理服务费83636.64元（大写：捌万叁仟陆佰叁拾陆点陆肆），中标方应在领取中标通知书3日前支付全部招标代理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1、本项目最高限价： 3771480.00元，超过最高限价的投标文件视为无效响应。 2、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解密时限内无法解密或解密失败的，自行承担不利后果。 3、 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联系人：覃工</w:t>
      </w:r>
    </w:p>
    <w:p>
      <w:pPr>
        <w:pStyle w:val="null3"/>
        <w:jc w:val="left"/>
      </w:pPr>
      <w:r>
        <w:rPr>
          <w:rFonts w:ascii="仿宋_GB2312" w:hAnsi="仿宋_GB2312" w:cs="仿宋_GB2312" w:eastAsia="仿宋_GB2312"/>
        </w:rPr>
        <w:t>联系电话：18889784144</w:t>
      </w:r>
    </w:p>
    <w:p>
      <w:pPr>
        <w:pStyle w:val="null3"/>
        <w:jc w:val="left"/>
      </w:pPr>
      <w:r>
        <w:rPr>
          <w:rFonts w:ascii="仿宋_GB2312" w:hAnsi="仿宋_GB2312" w:cs="仿宋_GB2312" w:eastAsia="仿宋_GB2312"/>
        </w:rPr>
        <w:t>地址：海南省三亚市吉阳区迎宾路美亚公馆B1215房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1、项目名称：三亚市吉阳区2025年秸秆综合利用项目（二次）</w:t>
      </w:r>
    </w:p>
    <w:p>
      <w:pPr>
        <w:pStyle w:val="null3"/>
        <w:ind w:firstLine="640"/>
        <w:jc w:val="left"/>
      </w:pPr>
      <w:r>
        <w:rPr>
          <w:rFonts w:ascii="仿宋_GB2312" w:hAnsi="仿宋_GB2312" w:cs="仿宋_GB2312" w:eastAsia="仿宋_GB2312"/>
          <w:sz w:val="24"/>
        </w:rPr>
        <w:t>2、项目地点：三亚市吉阳区</w:t>
      </w:r>
    </w:p>
    <w:p>
      <w:pPr>
        <w:pStyle w:val="null3"/>
        <w:ind w:firstLine="640"/>
        <w:jc w:val="left"/>
      </w:pPr>
      <w:r>
        <w:rPr>
          <w:rFonts w:ascii="仿宋_GB2312" w:hAnsi="仿宋_GB2312" w:cs="仿宋_GB2312" w:eastAsia="仿宋_GB2312"/>
          <w:sz w:val="24"/>
        </w:rPr>
        <w:t>3、服务内容：</w:t>
      </w:r>
    </w:p>
    <w:p>
      <w:pPr>
        <w:pStyle w:val="null3"/>
        <w:ind w:firstLine="640"/>
        <w:jc w:val="left"/>
      </w:pPr>
      <w:r>
        <w:rPr>
          <w:rFonts w:ascii="仿宋_GB2312" w:hAnsi="仿宋_GB2312" w:cs="仿宋_GB2312" w:eastAsia="仿宋_GB2312"/>
          <w:sz w:val="24"/>
        </w:rPr>
        <w:t>服务范围：红土坎、榆红村、抱坡村、干沟村、博后村、中廖村、安罗村、落笔村、新红村、南丁村、大茅村、罗蓬村、田独村、临村社区、新村社区、红花村、六盘村、海罗村等18个自然村。</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3,771,480.00</w:t>
      </w:r>
    </w:p>
    <w:p>
      <w:pPr>
        <w:pStyle w:val="null3"/>
        <w:jc w:val="left"/>
      </w:pPr>
      <w:r>
        <w:rPr>
          <w:rFonts w:ascii="仿宋_GB2312" w:hAnsi="仿宋_GB2312" w:cs="仿宋_GB2312" w:eastAsia="仿宋_GB2312"/>
        </w:rPr>
        <w:t>采购包最高限价（元）: 3,771,480.00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3,771,480.00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3,771,480.00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32"/>
              </w:rPr>
              <w:t>服务要求及标准：</w:t>
            </w:r>
          </w:p>
          <w:p>
            <w:pPr>
              <w:pStyle w:val="null3"/>
              <w:ind w:firstLine="640"/>
              <w:jc w:val="left"/>
            </w:pPr>
            <w:r>
              <w:rPr>
                <w:rFonts w:ascii="仿宋_GB2312" w:hAnsi="仿宋_GB2312" w:cs="仿宋_GB2312" w:eastAsia="仿宋_GB2312"/>
                <w:sz w:val="32"/>
              </w:rPr>
              <w:t>乙方负责在三亚市吉阳区辖区内开展秸秆回收利用，进行秸秆综合利用及收集清运工作。</w:t>
            </w:r>
          </w:p>
          <w:p>
            <w:pPr>
              <w:pStyle w:val="null3"/>
              <w:ind w:firstLine="640"/>
              <w:jc w:val="left"/>
            </w:pPr>
            <w:r>
              <w:rPr>
                <w:rFonts w:ascii="仿宋_GB2312" w:hAnsi="仿宋_GB2312" w:cs="仿宋_GB2312" w:eastAsia="仿宋_GB2312"/>
                <w:sz w:val="32"/>
              </w:rPr>
              <w:t>(一)秸秆还田工作要求：</w:t>
            </w:r>
          </w:p>
          <w:p>
            <w:pPr>
              <w:pStyle w:val="null3"/>
              <w:ind w:firstLine="640"/>
              <w:jc w:val="left"/>
            </w:pPr>
            <w:r>
              <w:rPr>
                <w:rFonts w:ascii="仿宋_GB2312" w:hAnsi="仿宋_GB2312" w:cs="仿宋_GB2312" w:eastAsia="仿宋_GB2312"/>
                <w:sz w:val="32"/>
              </w:rPr>
              <w:t>水稻秸秆直接粉碎还田约</w:t>
            </w:r>
            <w:r>
              <w:rPr>
                <w:rFonts w:ascii="仿宋_GB2312" w:hAnsi="仿宋_GB2312" w:cs="仿宋_GB2312" w:eastAsia="仿宋_GB2312"/>
                <w:sz w:val="32"/>
              </w:rPr>
              <w:t>10000亩。秸秆机械直接还田适宜于我区主要粮食秸秆量大、茬口紧张的生产特性。以实施水稻秸秆机械化粉碎还田为重点，探索作业流程及标准，科学合理地推行秸秆综合利用技术。</w:t>
            </w:r>
          </w:p>
          <w:p>
            <w:pPr>
              <w:pStyle w:val="null3"/>
              <w:ind w:firstLine="640"/>
              <w:jc w:val="left"/>
            </w:pPr>
            <w:r>
              <w:rPr>
                <w:rFonts w:ascii="仿宋_GB2312" w:hAnsi="仿宋_GB2312" w:cs="仿宋_GB2312" w:eastAsia="仿宋_GB2312"/>
                <w:sz w:val="32"/>
              </w:rPr>
              <w:t>1.用秸秆还田机将秸秆就地粉碎并进行翻耕还田。</w:t>
            </w:r>
          </w:p>
          <w:p>
            <w:pPr>
              <w:pStyle w:val="null3"/>
              <w:ind w:firstLine="640"/>
              <w:jc w:val="left"/>
            </w:pPr>
            <w:r>
              <w:rPr>
                <w:rFonts w:ascii="仿宋_GB2312" w:hAnsi="仿宋_GB2312" w:cs="仿宋_GB2312" w:eastAsia="仿宋_GB2312"/>
                <w:sz w:val="32"/>
              </w:rPr>
              <w:t>2.秸秆还田作业质量要求：割茬高度≤10CM,茎秆切碎长度≤15CM。</w:t>
            </w:r>
          </w:p>
          <w:p>
            <w:pPr>
              <w:pStyle w:val="null3"/>
              <w:ind w:firstLine="640"/>
              <w:jc w:val="left"/>
            </w:pPr>
            <w:r>
              <w:rPr>
                <w:rFonts w:ascii="仿宋_GB2312" w:hAnsi="仿宋_GB2312" w:cs="仿宋_GB2312" w:eastAsia="仿宋_GB2312"/>
                <w:sz w:val="32"/>
              </w:rPr>
              <w:t>3.农作物采摘完毕后，7日内用秸秆粉碎还田机及时粉碎及翻耕，作业时要注意选择拖拉机作业档位和调整留茬高度，严防漏切。采摘完毕后，用秸秆粉碎还田机及时粉碎及翻耕，作业时要注意选择拖拉机作业档位和调整留茬高度，严防漏切。</w:t>
            </w:r>
          </w:p>
          <w:p>
            <w:pPr>
              <w:pStyle w:val="null3"/>
              <w:ind w:firstLine="640"/>
              <w:jc w:val="left"/>
            </w:pPr>
            <w:r>
              <w:rPr>
                <w:rFonts w:ascii="仿宋_GB2312" w:hAnsi="仿宋_GB2312" w:cs="仿宋_GB2312" w:eastAsia="仿宋_GB2312"/>
                <w:sz w:val="32"/>
              </w:rPr>
              <w:t>4.为提高村民增收及认识秸秆还田的积极性，中标供应商在接到秸秆粉碎还田的任务通知后，就近优先雇佣本村村民还田粉碎。</w:t>
            </w:r>
          </w:p>
          <w:p>
            <w:pPr>
              <w:pStyle w:val="null3"/>
              <w:ind w:firstLine="640"/>
              <w:jc w:val="left"/>
            </w:pPr>
            <w:r>
              <w:rPr>
                <w:rFonts w:ascii="仿宋_GB2312" w:hAnsi="仿宋_GB2312" w:cs="仿宋_GB2312" w:eastAsia="仿宋_GB2312"/>
                <w:sz w:val="32"/>
              </w:rPr>
              <w:t>(二)秸秆离田工作要求：</w:t>
            </w:r>
          </w:p>
          <w:p>
            <w:pPr>
              <w:pStyle w:val="null3"/>
              <w:ind w:firstLine="640"/>
              <w:jc w:val="left"/>
            </w:pPr>
            <w:r>
              <w:rPr>
                <w:rFonts w:ascii="仿宋_GB2312" w:hAnsi="仿宋_GB2312" w:cs="仿宋_GB2312" w:eastAsia="仿宋_GB2312"/>
                <w:sz w:val="32"/>
              </w:rPr>
              <w:t>针对辣椒、茄子、圣女果、豇豆、青瓜等</w:t>
            </w:r>
            <w:r>
              <w:rPr>
                <w:rFonts w:ascii="仿宋_GB2312" w:hAnsi="仿宋_GB2312" w:cs="仿宋_GB2312" w:eastAsia="仿宋_GB2312"/>
                <w:sz w:val="32"/>
              </w:rPr>
              <w:t>(包括但不限于)秸秆由于不易腐烂、塑料绳等农资残留多，不宜还田。以收集离田集中清运的方式进行处置，从源头消除田间秸秆焚烧隐患。本项目秸秆收运方式为本项目产生的秸秆由各居(村)委会农户收集堆放至路边及田边，由乙方通过离田等方式将农作物秸秆收运至车辆处，最终进行综合利用化处置。</w:t>
            </w:r>
          </w:p>
          <w:p>
            <w:pPr>
              <w:pStyle w:val="null3"/>
              <w:ind w:firstLine="640"/>
              <w:jc w:val="left"/>
            </w:pPr>
            <w:r>
              <w:rPr>
                <w:rFonts w:ascii="仿宋_GB2312" w:hAnsi="仿宋_GB2312" w:cs="仿宋_GB2312" w:eastAsia="仿宋_GB2312"/>
                <w:sz w:val="32"/>
              </w:rPr>
              <w:t>1、秸秆清运处理标准和要求</w:t>
            </w:r>
          </w:p>
          <w:p>
            <w:pPr>
              <w:pStyle w:val="null3"/>
              <w:ind w:firstLine="640"/>
              <w:jc w:val="left"/>
            </w:pPr>
            <w:r>
              <w:rPr>
                <w:rFonts w:ascii="仿宋_GB2312" w:hAnsi="仿宋_GB2312" w:cs="仿宋_GB2312" w:eastAsia="仿宋_GB2312"/>
                <w:sz w:val="32"/>
              </w:rPr>
              <w:t>①各自然村工作人员负责通知本村种植户将秸秆放到指定地方，不得出现焚烧现象，中标单位在每个自然村或小组至少安排一辆以上的电动三轮车巡逻各村秸秆情况，确保做好吉阳区秸秆禁烧工作。</w:t>
            </w:r>
          </w:p>
          <w:p>
            <w:pPr>
              <w:pStyle w:val="null3"/>
              <w:ind w:firstLine="640"/>
              <w:jc w:val="left"/>
            </w:pPr>
            <w:r>
              <w:rPr>
                <w:rFonts w:ascii="仿宋_GB2312" w:hAnsi="仿宋_GB2312" w:cs="仿宋_GB2312" w:eastAsia="仿宋_GB2312"/>
                <w:sz w:val="32"/>
              </w:rPr>
              <w:t>②在接到各自然村工作人员通知后，乙方工作人员需24小时内做出响应，使用密闭压缩车辆清运，秸秆收集、转运区域及周边应干净整洁。</w:t>
            </w:r>
          </w:p>
          <w:p>
            <w:pPr>
              <w:pStyle w:val="null3"/>
              <w:ind w:firstLine="640"/>
              <w:jc w:val="left"/>
            </w:pPr>
            <w:r>
              <w:rPr>
                <w:rFonts w:ascii="仿宋_GB2312" w:hAnsi="仿宋_GB2312" w:cs="仿宋_GB2312" w:eastAsia="仿宋_GB2312"/>
                <w:sz w:val="32"/>
              </w:rPr>
              <w:t>③如遇自然灾害、暴风雨恶劣天气等特殊情况秸秆清运时间适当延后。</w:t>
            </w:r>
          </w:p>
          <w:p>
            <w:pPr>
              <w:pStyle w:val="null3"/>
              <w:ind w:firstLine="640"/>
              <w:jc w:val="left"/>
            </w:pPr>
            <w:r>
              <w:rPr>
                <w:rFonts w:ascii="仿宋_GB2312" w:hAnsi="仿宋_GB2312" w:cs="仿宋_GB2312" w:eastAsia="仿宋_GB2312"/>
                <w:sz w:val="32"/>
              </w:rPr>
              <w:t>④各作业车辆应保证证件齐全，车容车貌良好。秸秆清运应遵循安全文明作业规范。</w:t>
            </w:r>
          </w:p>
          <w:p>
            <w:pPr>
              <w:pStyle w:val="null3"/>
              <w:ind w:firstLine="640"/>
              <w:jc w:val="left"/>
            </w:pPr>
            <w:r>
              <w:rPr>
                <w:rFonts w:ascii="仿宋_GB2312" w:hAnsi="仿宋_GB2312" w:cs="仿宋_GB2312" w:eastAsia="仿宋_GB2312"/>
                <w:sz w:val="32"/>
              </w:rPr>
              <w:t>⑤秸秆清运设备要干净、整洁、完整，清运过程中要遵守交通法律法规，文明作业。</w:t>
            </w:r>
          </w:p>
          <w:p>
            <w:pPr>
              <w:pStyle w:val="null3"/>
              <w:ind w:firstLine="640"/>
              <w:jc w:val="left"/>
            </w:pPr>
            <w:r>
              <w:rPr>
                <w:rFonts w:ascii="仿宋_GB2312" w:hAnsi="仿宋_GB2312" w:cs="仿宋_GB2312" w:eastAsia="仿宋_GB2312"/>
                <w:sz w:val="32"/>
              </w:rPr>
              <w:t>⑥农忙时期实施高频次巡查清理，回收站（点）每周巡查清理二次，集中贮存站（点）每15天巡查清理一次。巡视员上报清理需求后，48小时内完成清理作业。</w:t>
            </w:r>
          </w:p>
          <w:p>
            <w:pPr>
              <w:pStyle w:val="null3"/>
              <w:ind w:firstLine="640"/>
              <w:jc w:val="left"/>
            </w:pPr>
            <w:r>
              <w:rPr>
                <w:rFonts w:ascii="仿宋_GB2312" w:hAnsi="仿宋_GB2312" w:cs="仿宋_GB2312" w:eastAsia="仿宋_GB2312"/>
                <w:sz w:val="32"/>
              </w:rPr>
              <w:t>2、管理标准和要求</w:t>
            </w:r>
          </w:p>
          <w:p>
            <w:pPr>
              <w:pStyle w:val="null3"/>
              <w:ind w:firstLine="640"/>
              <w:jc w:val="left"/>
            </w:pPr>
            <w:r>
              <w:rPr>
                <w:rFonts w:ascii="仿宋_GB2312" w:hAnsi="仿宋_GB2312" w:cs="仿宋_GB2312" w:eastAsia="仿宋_GB2312"/>
                <w:sz w:val="32"/>
              </w:rPr>
              <w:t>①乙方要按照要求配备相应服务人员及设施设备，并于进场一星期内将人员、设备花名册及相关资质等材料报送甲方核验。</w:t>
            </w:r>
          </w:p>
          <w:p>
            <w:pPr>
              <w:pStyle w:val="null3"/>
              <w:ind w:firstLine="640"/>
              <w:jc w:val="left"/>
            </w:pPr>
            <w:r>
              <w:rPr>
                <w:rFonts w:ascii="仿宋_GB2312" w:hAnsi="仿宋_GB2312" w:cs="仿宋_GB2312" w:eastAsia="仿宋_GB2312"/>
                <w:sz w:val="32"/>
              </w:rPr>
              <w:t>②乙方需在本市有固定的办公场所，有完善的管理机构，并在本市申请垃圾清运相关资质。</w:t>
            </w:r>
          </w:p>
          <w:p>
            <w:pPr>
              <w:pStyle w:val="null3"/>
              <w:ind w:firstLine="640"/>
              <w:jc w:val="left"/>
            </w:pPr>
            <w:r>
              <w:rPr>
                <w:rFonts w:ascii="仿宋_GB2312" w:hAnsi="仿宋_GB2312" w:cs="仿宋_GB2312" w:eastAsia="仿宋_GB2312"/>
                <w:sz w:val="32"/>
              </w:rPr>
              <w:t>③乙方投入秸秆清运的机械设备及工具，必须满足国家有关技术操作规程的要求，同时必须要满足正常作业需要。</w:t>
            </w:r>
          </w:p>
          <w:p>
            <w:pPr>
              <w:pStyle w:val="null3"/>
              <w:ind w:firstLine="640"/>
              <w:jc w:val="left"/>
            </w:pPr>
            <w:r>
              <w:rPr>
                <w:rFonts w:ascii="仿宋_GB2312" w:hAnsi="仿宋_GB2312" w:cs="仿宋_GB2312" w:eastAsia="仿宋_GB2312"/>
                <w:sz w:val="32"/>
              </w:rPr>
              <w:t>④乙方须编制《秸秆清运服务管理方法》,列明保证质量、安全、文明作业的措施；乙方应根据甲方确认的实施方案编制秸秆清运计划，并按此计划要求按时保质完成。</w:t>
            </w:r>
          </w:p>
          <w:p>
            <w:pPr>
              <w:pStyle w:val="null3"/>
              <w:ind w:firstLine="640"/>
              <w:jc w:val="left"/>
            </w:pPr>
            <w:r>
              <w:rPr>
                <w:rFonts w:ascii="仿宋_GB2312" w:hAnsi="仿宋_GB2312" w:cs="仿宋_GB2312" w:eastAsia="仿宋_GB2312"/>
                <w:sz w:val="32"/>
              </w:rPr>
              <w:t>⑤乙方必须按法律、法规及有关政策规定为其符合要求的服务人员购买社会养老、工伤、医疗、失业、计划生育、人身意外等相关社会保险。乙方必须执行国家劳动法的相关规定。</w:t>
            </w:r>
          </w:p>
          <w:p>
            <w:pPr>
              <w:pStyle w:val="null3"/>
              <w:ind w:firstLine="640"/>
              <w:jc w:val="left"/>
            </w:pPr>
            <w:r>
              <w:rPr>
                <w:rFonts w:ascii="仿宋_GB2312" w:hAnsi="仿宋_GB2312" w:cs="仿宋_GB2312" w:eastAsia="仿宋_GB2312"/>
                <w:sz w:val="32"/>
              </w:rPr>
              <w:t>⑥乙方必须落实好安全生产的措施和配置安全作业的劳保用品。且穿着统一标识的工作服，乙方的作业车辆要求统一标识。</w:t>
            </w:r>
          </w:p>
          <w:p>
            <w:pPr>
              <w:pStyle w:val="null3"/>
              <w:ind w:firstLine="640"/>
              <w:jc w:val="left"/>
            </w:pPr>
            <w:r>
              <w:rPr>
                <w:rFonts w:ascii="仿宋_GB2312" w:hAnsi="仿宋_GB2312" w:cs="仿宋_GB2312" w:eastAsia="仿宋_GB2312"/>
                <w:sz w:val="32"/>
              </w:rPr>
              <w:t>⑦秸秆清运设备要干净、整洁、完整，清运过程中要遵守交通法律法规，文明作业。</w:t>
            </w:r>
          </w:p>
          <w:p>
            <w:pPr>
              <w:pStyle w:val="null3"/>
              <w:ind w:firstLine="640"/>
              <w:jc w:val="left"/>
            </w:pPr>
            <w:r>
              <w:rPr>
                <w:rFonts w:ascii="仿宋_GB2312" w:hAnsi="仿宋_GB2312" w:cs="仿宋_GB2312" w:eastAsia="仿宋_GB2312"/>
                <w:sz w:val="32"/>
              </w:rPr>
              <w:t>⑧秸秆离田运至有资质的公司进行资源化、无害化利用免费处理。秸秆离田工作量由该公司提供过磅数据。</w:t>
            </w:r>
          </w:p>
          <w:p>
            <w:pPr>
              <w:pStyle w:val="null3"/>
              <w:jc w:val="both"/>
            </w:pPr>
            <w:r>
              <w:rPr>
                <w:rFonts w:ascii="仿宋_GB2312" w:hAnsi="仿宋_GB2312" w:cs="仿宋_GB2312" w:eastAsia="仿宋_GB2312"/>
                <w:sz w:val="32"/>
              </w:rPr>
              <w:t>⑨建立工作台账，同时逐步将农田巡查工作台账及秸秆回收台账定时上报区农业农村局，台账需保存双方各执一份。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服务范围：红土坎、榆红村、抱坡村、干沟村、博后村、中廖村、安罗村、落笔村、新红村、南丁村、大茅村、罗蓬村、田独村、临村社区、新村社区、红花村、六盘村、海罗村等</w:t>
            </w:r>
            <w:r>
              <w:rPr>
                <w:rFonts w:ascii="仿宋_GB2312" w:hAnsi="仿宋_GB2312" w:cs="仿宋_GB2312" w:eastAsia="仿宋_GB2312"/>
                <w:sz w:val="32"/>
              </w:rPr>
              <w:t>18个自然村。</w:t>
            </w:r>
          </w:p>
          <w:tbl>
            <w:tblPr>
              <w:tblBorders>
                <w:top w:val="none" w:color="000000" w:sz="4"/>
                <w:left w:val="none" w:color="000000" w:sz="4"/>
                <w:bottom w:val="none" w:color="000000" w:sz="4"/>
                <w:right w:val="none" w:color="000000" w:sz="4"/>
                <w:insideH w:val="none"/>
                <w:insideV w:val="none"/>
              </w:tblBorders>
            </w:tblPr>
            <w:tblGrid>
              <w:gridCol w:w="242"/>
              <w:gridCol w:w="1639"/>
              <w:gridCol w:w="316"/>
              <w:gridCol w:w="344"/>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秸秆破碎还田：针对水稻等适宜破碎还田的作物秸秆，进行机械化破碎还田</w:t>
                  </w:r>
                  <w:r>
                    <w:rPr>
                      <w:rFonts w:ascii="仿宋_GB2312" w:hAnsi="仿宋_GB2312" w:cs="仿宋_GB2312" w:eastAsia="仿宋_GB2312"/>
                      <w:sz w:val="24"/>
                    </w:rPr>
                    <w:t>。</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亩</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秸秆离田处置：针对辣椒、茄子等不适宜还田的作物秸秆，进行离田处置。</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吨</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w:t>
                  </w:r>
                </w:p>
              </w:tc>
            </w:tr>
          </w:tbl>
          <w:p>
            <w:pPr>
              <w:pStyle w:val="null3"/>
              <w:jc w:val="left"/>
            </w:pPr>
            <w:r>
              <w:rPr>
                <w:rFonts w:ascii="仿宋_GB2312" w:hAnsi="仿宋_GB2312" w:cs="仿宋_GB2312" w:eastAsia="仿宋_GB2312"/>
                <w:sz w:val="32"/>
              </w:rPr>
              <w:t>服务内容：</w:t>
            </w:r>
          </w:p>
          <w:p>
            <w:pPr>
              <w:pStyle w:val="null3"/>
              <w:ind w:firstLine="640"/>
              <w:jc w:val="left"/>
            </w:pPr>
            <w:r>
              <w:rPr>
                <w:rFonts w:ascii="仿宋_GB2312" w:hAnsi="仿宋_GB2312" w:cs="仿宋_GB2312" w:eastAsia="仿宋_GB2312"/>
                <w:sz w:val="32"/>
              </w:rPr>
              <w:t>①秸秆还田,水稻玉米秸秆直接粉碎并进行还田翻耕。</w:t>
            </w:r>
          </w:p>
          <w:p>
            <w:pPr>
              <w:pStyle w:val="null3"/>
              <w:ind w:firstLine="640"/>
              <w:jc w:val="left"/>
            </w:pPr>
            <w:r>
              <w:rPr>
                <w:rFonts w:ascii="仿宋_GB2312" w:hAnsi="仿宋_GB2312" w:cs="仿宋_GB2312" w:eastAsia="仿宋_GB2312"/>
                <w:sz w:val="32"/>
              </w:rPr>
              <w:t>②秸秆离田,针对辣椒、茄子、圣女果、豇豆、青瓜等(包括但不限于)秸秆由于不易腐烂、塑料绳等农资残留多，不宜还田。以收集离田集中清运的方式进行处置，由乙方通过铲车等方式将农作物秸秆铲至收运车辆处，运至有资质的公司进行资源化、无害化利用免费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甲方每月22-25号对乙方工作内容进行检查验收，对检查验收情况记录在案。</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与参与本项目的其他供应商之间不存在关联关系</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项目的采购活动（提供声明函并加盖公章)</w:t>
            </w:r>
          </w:p>
        </w:tc>
        <w:tc>
          <w:tcPr>
            <w:tcW w:type="dxa" w:w="1661"/>
          </w:tcPr>
          <w:p>
            <w:pPr>
              <w:pStyle w:val="null3"/>
              <w:jc w:val="left"/>
            </w:pPr>
            <w:r>
              <w:rPr>
                <w:rFonts w:ascii="仿宋_GB2312" w:hAnsi="仿宋_GB2312" w:cs="仿宋_GB2312" w:eastAsia="仿宋_GB2312"/>
              </w:rPr>
              <w:t>关联企业声明函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参加政府采购活动前三年内（成立不满三年的自公司成立之日起算），无环保类行政处罚记录（提供无环保类行政处罚记录声明函加盖公章）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信用承诺书 法律、行政法规规定的其他条件的声明函 其他材料 供应商应提交的相关证明材料 关联企业声明函 法定代表人资格证明书或法定代表人授权委托书 供应商类似项目业绩一览表 监狱企业的证明文件 具备履行合同所必需设备和专业技术能力的声明函 无环保类行政处罚记录声明函 开标（报价）一览表 中小企业声明函 政府采购供应商信用承诺书 供应商参加本项目投标无串通投标行为的承诺函 具有独立承担民事责任的能力证明文件 投标人承诺函 投标（响应）报价明细表 残疾人福利性单位声明函 报价函 无重大违法记录声明函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信用承诺书 法律、行政法规规定的其他条件的声明函 其他材料 供应商应提交的相关证明材料 关联企业声明函 法定代表人资格证明书或法定代表人授权委托书 供应商类似项目业绩一览表 监狱企业的证明文件 具备履行合同所必需设备和专业技术能力的声明函 无环保类行政处罚记录声明函 开标（报价）一览表 中小企业声明函 政府采购供应商信用承诺书 供应商参加本项目投标无串通投标行为的承诺函 具有独立承担民事责任的能力证明文件 投标人承诺函 投标（响应）报价明细表 残疾人福利性单位声明函 报价函 无重大违法记录声明函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供应商参加本项目投标无串通投标行为的承诺函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投标（响应）报价明细表 报价函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秸秆还田、离田作业实施方案</w:t>
            </w:r>
          </w:p>
        </w:tc>
        <w:tc>
          <w:tcPr>
            <w:tcW w:type="dxa" w:w="2492"/>
          </w:tcPr>
          <w:p>
            <w:pPr>
              <w:pStyle w:val="null3"/>
              <w:jc w:val="both"/>
            </w:pPr>
            <w:r>
              <w:rPr>
                <w:rFonts w:ascii="仿宋_GB2312" w:hAnsi="仿宋_GB2312" w:cs="仿宋_GB2312" w:eastAsia="仿宋_GB2312"/>
              </w:rPr>
              <w:t>供应商需编制秸秆还田、离田作业实施方案，包括但不限于以下2项内容：（1）秸秆还田作业实施方案（2）离田作业实施方案 。 评判标准： （1）包含以上2项内容的得4分，每缺1项扣2分，扣完为止；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组织管理方案</w:t>
            </w:r>
          </w:p>
        </w:tc>
        <w:tc>
          <w:tcPr>
            <w:tcW w:type="dxa" w:w="2492"/>
          </w:tcPr>
          <w:p>
            <w:pPr>
              <w:pStyle w:val="null3"/>
              <w:jc w:val="both"/>
            </w:pPr>
            <w:r>
              <w:rPr>
                <w:rFonts w:ascii="仿宋_GB2312" w:hAnsi="仿宋_GB2312" w:cs="仿宋_GB2312" w:eastAsia="仿宋_GB2312"/>
              </w:rPr>
              <w:t>供应商需编制组织管理方案，包括但不限于以下2项内容：（1）项目组织架构 （2）部门及岗位职责 。 评判标准： （1）包含以上2项内容的得4分，每缺1项扣2分，扣完为止；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人员方案</w:t>
            </w:r>
          </w:p>
        </w:tc>
        <w:tc>
          <w:tcPr>
            <w:tcW w:type="dxa" w:w="2492"/>
          </w:tcPr>
          <w:p>
            <w:pPr>
              <w:pStyle w:val="null3"/>
              <w:jc w:val="both"/>
            </w:pPr>
            <w:r>
              <w:rPr>
                <w:rFonts w:ascii="仿宋_GB2312" w:hAnsi="仿宋_GB2312" w:cs="仿宋_GB2312" w:eastAsia="仿宋_GB2312"/>
              </w:rPr>
              <w:t>供应商需编制人员方案，包括但不限于以下3项内容：（1）项目人员管理机制 （2）人员招聘方案 （3）人员培训方案。 评判标准： （1）包含以上3项内容得3分，每缺1项扣1分，扣完为止；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安全文明作业方案</w:t>
            </w:r>
          </w:p>
        </w:tc>
        <w:tc>
          <w:tcPr>
            <w:tcW w:type="dxa" w:w="2492"/>
          </w:tcPr>
          <w:p>
            <w:pPr>
              <w:pStyle w:val="null3"/>
              <w:jc w:val="both"/>
            </w:pPr>
            <w:r>
              <w:rPr>
                <w:rFonts w:ascii="仿宋_GB2312" w:hAnsi="仿宋_GB2312" w:cs="仿宋_GB2312" w:eastAsia="仿宋_GB2312"/>
              </w:rPr>
              <w:t>供应商需编制安全文明作业方案，包括但不限于以下3项内容：（1）安全作业管理制度；（2）安全文明作业方案；（3）安全事故处理方案 。 评判标准： （1）包含以上3项内容的得3分，每缺1项扣1分，扣完为止；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应急处置方案</w:t>
            </w:r>
          </w:p>
        </w:tc>
        <w:tc>
          <w:tcPr>
            <w:tcW w:type="dxa" w:w="2492"/>
          </w:tcPr>
          <w:p>
            <w:pPr>
              <w:pStyle w:val="null3"/>
              <w:jc w:val="both"/>
            </w:pPr>
            <w:r>
              <w:rPr>
                <w:rFonts w:ascii="仿宋_GB2312" w:hAnsi="仿宋_GB2312" w:cs="仿宋_GB2312" w:eastAsia="仿宋_GB2312"/>
              </w:rPr>
              <w:t>应急处置方案，包括但不限于以下4项内容：（1）重大自然灾害应急保障方案；（2）重大活动应急保障方案；（3）迎检应急保障方案；（4）其他应急保障方案。 评判标准： （1）包含以上4项内容的得4分，每缺1项扣1分，扣完为止； （2）A.实施方案科学合理，适用性强，思路清晰，内容全面，能够根据实际情况制订，考虑问题周全，实施过程务实，各项指标均能完成，得4分（不含）-6分；B.实施方案操作性基本满足项目实际需求，得2分（不含）-4分；C.实施方案不满足项目实际需求，得1分（不含）-2分；D.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投标单位自2022年1月1日以来，供应商具有类似秸秆收运项目业绩，每提供一份得3分，最高得9分。证明材料：提供合同复印件并加盖公章，合同时间以合同签订时间或中标通知书发出时间为准，未提供不得分。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拟派本项目的项目经理具有：（1）具备政府部门颁发的环境类相关专业高级及以上职称证书的得2分，中级职称证书的得1分；（2）具有政府部门颁发的安全培训合格证书的得2分； 此项满分4分。 2.拟派本项目的安全负责人具有：（1）具备政府部门颁发的环境类相关专业中级及以上职称证书的得2分；（2）具有政府部门颁发的中级（含）以上注册安全工程师职业资格证书的得2分。此项满分4分 3.投入本项目管理人员（项目经理、安全负责人除外），每提供一名本科及以上学历人员的得0.5分，满分2 分。 备注：提供学历证书、职称证书扫描件及近六个月内任意连续三个月投标单位为其缴纳的社保证明材料（不含补缴，可提供社保公共服务平台查询截图或网上打印件扫描件，如投标人成立不足三个月，提供成立以来的社保证明），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投标人具有效期内的ISO9001质量管理体系认证证书、IS014001环境管理体系认证证书、ISO45001职业健康安全管理体系认证证书的；每提供一个得2分，满分6分。 注：投标人须提供证书复印件和国家认证认可监督管理委员会（http://www.cnca.gov.cn/）网站查询的有效信息截图（或打印件），证明材料需加盖投标人公章，未按要求提供不得分。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投标人拟投入本项目的设备：秸秆破碎还田机≥3 辆，压缩车≥4辆,应急皮卡车2辆；全部满足者得 9 分，每少一项扣 1 分，扣完为止。 备注：以租赁合同复印件加盖公章或者发票复印件加盖公章作为得分依据，不提供者不得分。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HNCS-2025--009-1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三亚市吉阳区2025年秸秆综合利用项目(二次)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三亚市吉阳区2025年秸秆综合利用项目（二次）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3771480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详见附件：法律、行政法规规定的其他条件的声明函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详见附件：供应商参加本项目投标无串通投标行为的承诺函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详见附件：报价函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