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吉阳区人武部营区后期改造工程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[HNZX]20250800002[CS]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三亚市吉阳区住房和城乡建设局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海南正玺项目管理有限公司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三亚市吉阳区住房和城乡建设局</w:t>
      </w:r>
      <w:r>
        <w:rPr>
          <w:rFonts w:ascii="仿宋_GB2312" w:hAnsi="仿宋_GB2312" w:cs="仿宋_GB2312" w:eastAsia="仿宋_GB2312"/>
        </w:rPr>
        <w:t xml:space="preserve"> 的委托， </w:t>
      </w:r>
      <w:r>
        <w:rPr>
          <w:rFonts w:ascii="仿宋_GB2312" w:hAnsi="仿宋_GB2312" w:cs="仿宋_GB2312" w:eastAsia="仿宋_GB2312"/>
        </w:rPr>
        <w:t>海南正玺项目管理有限公司</w:t>
      </w:r>
      <w:r>
        <w:rPr>
          <w:rFonts w:ascii="仿宋_GB2312" w:hAnsi="仿宋_GB2312" w:cs="仿宋_GB2312" w:eastAsia="仿宋_GB2312"/>
        </w:rPr>
        <w:t xml:space="preserve"> 对 </w:t>
      </w:r>
      <w:r>
        <w:rPr>
          <w:rFonts w:ascii="仿宋_GB2312" w:hAnsi="仿宋_GB2312" w:cs="仿宋_GB2312" w:eastAsia="仿宋_GB2312"/>
        </w:rPr>
        <w:t>吉阳区人武部营区后期改造工程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[HNZX]20250800002[CS]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吉阳区人武部营区后期改造工程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2,281,462.21元</w:t>
      </w:r>
      <w:r>
        <w:rPr>
          <w:rFonts w:ascii="仿宋_GB2312" w:hAnsi="仿宋_GB2312" w:cs="仿宋_GB2312" w:eastAsia="仿宋_GB2312"/>
        </w:rPr>
        <w:t>贰佰贰拾捌万壹仟肆佰陆拾贰元贰角壹分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120天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1、在中华人民共和国境内注册、具有独立承担民事责任的能力：在中华人民共和国境内注册、具有独立承担民事责任的能力（提供营业执照或事业单位法人证书并加盖公章）</w:t>
      </w:r>
    </w:p>
    <w:p>
      <w:pPr>
        <w:pStyle w:val="null3"/>
        <w:jc w:val="left"/>
      </w:pPr>
      <w:r>
        <w:rPr>
          <w:rFonts w:ascii="仿宋_GB2312" w:hAnsi="仿宋_GB2312" w:cs="仿宋_GB2312" w:eastAsia="仿宋_GB2312"/>
        </w:rPr>
        <w:t>2、具备建设行政主管部门颁发的建筑装修装饰工程专业承包贰级（含）以上资质或根据《住房和城乡建设部关于印发建设工程企业资质管理制度改革方案的通知》【建市〔2020〕94号】换发新证的相应资质，并在人员、设备、资金等方面具有相应的施工能力且具有有效的安全生产许可证，并在人员、设备、资金等方面具有相应的施工能力，其中，拟派项目经理（项目负责人）须具备本单位注册的建筑工程专业贰级（含）以上注册建造师执业资格,且未担任其他在施建设工程项目的项目负责人（项目经理）：具备建设行政主管部门颁发的建筑装修装饰工程专业承包贰级（含）以上资质或根据《住房和城乡建设部关于印发建设工程企业资质管理制度改革方案的通知》【建市〔2020〕94号】换发新证的相应资质，并在人员、设备、资金等方面具有相应的施工能力且具有有效的安全生产许可证（提供资质证书复印件加盖公章、安全生产许可证副本复印件加盖公章），并在人员、设备、资金等方面具有相应的施工能力，其中，拟派项目经理（项目负责人）须具备本单位注册的建筑工程专业贰级（含）以上注册建造师执业资格,且未担任其他在施建设工程项目的项目负责人（项目经理）（提供全国建筑市场监管公共服务平台(四库一平台)截图证明、相关证书复印件加盖单位公章，并提供项目经理无在建工程项目的承诺函）</w:t>
      </w:r>
    </w:p>
    <w:p>
      <w:pPr>
        <w:pStyle w:val="null3"/>
        <w:jc w:val="left"/>
      </w:pPr>
      <w:r>
        <w:rPr>
          <w:rFonts w:ascii="仿宋_GB2312" w:hAnsi="仿宋_GB2312" w:cs="仿宋_GB2312" w:eastAsia="仿宋_GB2312"/>
        </w:rPr>
        <w:t>3、具有良好的商业信誉和健全的财务会计制度：具有良好的商业信誉和健全的财务会计制度（提供资格承诺函）</w:t>
      </w:r>
    </w:p>
    <w:p>
      <w:pPr>
        <w:pStyle w:val="null3"/>
        <w:jc w:val="left"/>
      </w:pPr>
      <w:r>
        <w:rPr>
          <w:rFonts w:ascii="仿宋_GB2312" w:hAnsi="仿宋_GB2312" w:cs="仿宋_GB2312" w:eastAsia="仿宋_GB2312"/>
        </w:rPr>
        <w:t>4、具有履行合同所必需的设备和专业技术能力：具有履行合同所必需的设备和专业技术能力（提供承诺书）</w:t>
      </w:r>
    </w:p>
    <w:p>
      <w:pPr>
        <w:pStyle w:val="null3"/>
        <w:jc w:val="left"/>
      </w:pPr>
      <w:r>
        <w:rPr>
          <w:rFonts w:ascii="仿宋_GB2312" w:hAnsi="仿宋_GB2312" w:cs="仿宋_GB2312" w:eastAsia="仿宋_GB2312"/>
        </w:rPr>
        <w:t>5、具有依法缴纳税收和社会保障资金的良好记录：具有依法缴纳税收和社会保障资金的良好记录（提供资格承诺函）</w:t>
      </w:r>
    </w:p>
    <w:p>
      <w:pPr>
        <w:pStyle w:val="null3"/>
        <w:jc w:val="left"/>
      </w:pPr>
      <w:r>
        <w:rPr>
          <w:rFonts w:ascii="仿宋_GB2312" w:hAnsi="仿宋_GB2312" w:cs="仿宋_GB2312" w:eastAsia="仿宋_GB2312"/>
        </w:rPr>
        <w:t>6、在“信用中国”网站（www.creditchina.gov.cn）没有列入失信被执行人、重大税收违法失信主体、政府采购严重违法失信行为记录名单的供应商及在中国政府采购网（www.ccgp.gov.cn）政府采购严重违法失信行为记录名单的供应商。：在“信用中国”网站（www.creditchina.gov.cn）没有列入失信被执行人、重大税收违法失信主体、政府采购严重违法失信行为记录名单的供应商及在中国政府采购网（www.ccgp.gov.cn）政府采购严重违法失信行为记录名单的供应商。（提供承诺函，格式自拟，由采购人或者代理机构在开标现场查询）</w:t>
      </w:r>
    </w:p>
    <w:p>
      <w:pPr>
        <w:pStyle w:val="null3"/>
        <w:jc w:val="left"/>
      </w:pPr>
      <w:r>
        <w:rPr>
          <w:rFonts w:ascii="仿宋_GB2312" w:hAnsi="仿宋_GB2312" w:cs="仿宋_GB2312" w:eastAsia="仿宋_GB2312"/>
        </w:rPr>
        <w:t>7、参加政府采购活动前三年内，在经营活动中没有重大违法记录（成立不足三年的从成立之日起计算）：参加政府采购活动前三年内，在经营活动中没有重大违法记录（成立不足三年的从成立之日起计算）（提供声明函，格式自拟）</w:t>
      </w:r>
    </w:p>
    <w:p>
      <w:pPr>
        <w:pStyle w:val="null3"/>
        <w:jc w:val="left"/>
      </w:pPr>
      <w:r>
        <w:rPr>
          <w:rFonts w:ascii="仿宋_GB2312" w:hAnsi="仿宋_GB2312" w:cs="仿宋_GB2312" w:eastAsia="仿宋_GB2312"/>
        </w:rPr>
        <w:t>8、参加政府采购活动前三年内，无环保类行政处罚记录：参加政府采购活动前三年内，无环保类行政处罚记录（提供声明函，格式自拟）</w:t>
      </w:r>
    </w:p>
    <w:p>
      <w:pPr>
        <w:pStyle w:val="null3"/>
        <w:jc w:val="left"/>
      </w:pPr>
      <w:r>
        <w:rPr>
          <w:rFonts w:ascii="仿宋_GB2312" w:hAnsi="仿宋_GB2312" w:cs="仿宋_GB2312" w:eastAsia="仿宋_GB2312"/>
        </w:rPr>
        <w:t>9、提供政府采购供应商信用承诺书，在招标文件中附带格式文本，按照信用承诺内容进行承诺。：提供政府采购供应商信用承诺书，在招标文件中附带格式文本，按照信用承诺内容进行承诺。</w:t>
      </w:r>
    </w:p>
    <w:p>
      <w:pPr>
        <w:pStyle w:val="null3"/>
        <w:jc w:val="left"/>
      </w:pPr>
      <w:r>
        <w:rPr>
          <w:rFonts w:ascii="仿宋_GB2312" w:hAnsi="仿宋_GB2312" w:cs="仿宋_GB2312" w:eastAsia="仿宋_GB2312"/>
        </w:rPr>
        <w:t>10、单位负责人为同一人或者存在直接控股、管理关系的不同供应商，不得参加同一合同项下的政府采购活动：单位负责人为同一人或者存在直接控股、管理关系的不同供应商，不得参加同一合同项下的政府采购活动（提供声明函，格式自拟）</w:t>
      </w:r>
    </w:p>
    <w:p>
      <w:pPr>
        <w:pStyle w:val="null3"/>
        <w:jc w:val="left"/>
      </w:pPr>
      <w:r>
        <w:rPr>
          <w:rFonts w:ascii="仿宋_GB2312" w:hAnsi="仿宋_GB2312" w:cs="仿宋_GB2312" w:eastAsia="仿宋_GB2312"/>
        </w:rPr>
        <w:t>11、建筑企业参与投标前，应当根据《海南省建筑企业诚信档案手册管理办法》的规定，通过海南省住房和城乡建设厅网站（http://www.hnjst.gov.cn/）登录海南省房屋建筑工程全过程监管信息平台填报项目名称、项目地址、派驻的项目班子人员信息，打印生成诚信档案手册：建筑企业参与投标前，应当根据《海南省建筑企业诚信档案手册管理办法》的规定，通过海南省住房和城乡建设厅网站（http://www.hnjst.gov.cn/）登录海南省房屋建筑工程全过程监管信息平台填报项目名称、项目地址、派驻的项目班子人员信息，打印生成诚信档案手册（提供诚信档案手册复印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 3、本项目为远程不见面开标，供应商无须到达开标现场，但开标前必须进入电子开标大厅在线签到（未签到视为无效投标），远程按时参加在线开标解密即可。4、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三亚市吉阳区住房和城乡建设局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三亚市吉阳区吉阳大道天豪·万琉合院A1栋</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李俊芳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0898-88670919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海南正玺项目管理有限公司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海南省海口市琼山区大英山西三路八一小区12栋702</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王则宇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18050973526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采购包1：2,281,462.21元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自响应文件递交截止之日起60天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招标代理服务费暂定人民币：16487.56元（大写：壹万陆仟伍佰捌拾柒元伍角陆分），最终以委托人委托的第三方结算审核机构出具的结算审核书为准。中标通知书发出后，委托人支付代理人代理服务费至合同价85%，余下款项待结算审核后，由委托人一次性支付给代理人。</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1、参照《政府采购促进中小企业发展管理办法》（财库〔2020〕46号）相关规定，发挥政府采购的政策功能，促进中小企业健康发展。本项目专门面向中小企业采购的采购项目。 2、根据国家统计局关于印发《统计上大中小微型企业划分办法（2017）》的通知，本项目所属行业：建筑业。3、各投标供应商的相关证明材料必须在响应文件内提供加盖公章扫描件； 4、响应文件中所附的有关证明、证书、证件等材料均为真实有效的，采购人在开标结束后有权对投标提交的证明、证书、证件等原件材料进行核实。经核实若虚假材料的，若为成交供应商的还将取消其成交资格，若已签订合同则取消合同并同时上报主管部门进行处罚。5、本项目采用远程不见面方式（供应商无需到现场）。供应商使用“投标客户端”编制、签章、生成加密响应文件，同时生成（同一版的备用响应文件），供应商自行留存，涉及“加盖公章”的内容应使用单位电子公章完成。开启时，供应商应当使用数字证书在解密时 限内完成全部已响应采购包的响应文件在线解密，若出现系统异常情况，工作人员可适当延长解密时长。 6、不接受供应商的备用标书上传。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联系电话：18050973526</w:t>
      </w:r>
    </w:p>
    <w:p>
      <w:pPr>
        <w:pStyle w:val="null3"/>
        <w:jc w:val="left"/>
      </w:pPr>
      <w:r>
        <w:rPr>
          <w:rFonts w:ascii="仿宋_GB2312" w:hAnsi="仿宋_GB2312" w:cs="仿宋_GB2312" w:eastAsia="仿宋_GB2312"/>
        </w:rPr>
        <w:t>地址：海南省海口市琼山区大英山西三路八一小区12栋702</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0"/>
        </w:rPr>
        <w:t>墙面装饰、天棚面吊顶、窗帘、纱窗、防盗网、钢梯、栏杆、垃圾外运、强弱电、给排水、门岗等工程。</w:t>
      </w:r>
      <w:r>
        <w:rPr>
          <w:rFonts w:ascii="仿宋_GB2312" w:hAnsi="仿宋_GB2312" w:cs="仿宋_GB2312" w:eastAsia="仿宋_GB2312"/>
          <w:sz w:val="30"/>
        </w:rPr>
        <w:t>墙面装饰、天棚面吊顶、窗帘、纱窗、防盗网、钢梯、栏杆、垃圾外运、强弱电、给排水、门岗等工程。</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2,281,462.21</w:t>
      </w:r>
    </w:p>
    <w:p>
      <w:pPr>
        <w:pStyle w:val="null3"/>
        <w:jc w:val="left"/>
      </w:pPr>
      <w:r>
        <w:rPr>
          <w:rFonts w:ascii="仿宋_GB2312" w:hAnsi="仿宋_GB2312" w:cs="仿宋_GB2312" w:eastAsia="仿宋_GB2312"/>
        </w:rPr>
        <w:t>采购包最高限价（元）: 2,281,462.21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B07000000-装修工程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2,281,462.21</w:t>
            </w:r>
          </w:p>
        </w:tc>
        <w:tc>
          <w:tcPr>
            <w:tcW w:type="dxa" w:w="831"/>
          </w:tcPr>
          <w:p>
            <w:pPr>
              <w:pStyle w:val="null3"/>
              <w:jc w:val="left"/>
            </w:pPr>
            <w:r>
              <w:rPr>
                <w:rFonts w:ascii="仿宋_GB2312" w:hAnsi="仿宋_GB2312" w:cs="仿宋_GB2312" w:eastAsia="仿宋_GB2312"/>
              </w:rPr>
              <w:t>元/平方米</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B07000000-装修工程</w:t>
            </w:r>
          </w:p>
        </w:tc>
        <w:tc>
          <w:tcPr>
            <w:tcW w:type="dxa" w:w="554"/>
          </w:tcPr>
          <w:p>
            <w:pPr>
              <w:pStyle w:val="null3"/>
              <w:jc w:val="left"/>
            </w:pPr>
            <w:r>
              <w:rPr>
                <w:rFonts w:ascii="仿宋_GB2312" w:hAnsi="仿宋_GB2312" w:cs="仿宋_GB2312" w:eastAsia="仿宋_GB2312"/>
              </w:rPr>
              <w:t>元/平方米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2,281,462.21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标的名称：B07000000-装修工程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具体以图纸和工程量清单为准。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02"/>
              <w:jc w:val="left"/>
            </w:pPr>
            <w:r>
              <w:rPr>
                <w:rFonts w:ascii="仿宋_GB2312" w:hAnsi="仿宋_GB2312" w:cs="仿宋_GB2312" w:eastAsia="仿宋_GB2312"/>
                <w:b/>
                <w:color w:val="000000"/>
              </w:rPr>
              <w:t>一、</w:t>
            </w:r>
            <w:r>
              <w:rPr>
                <w:rFonts w:ascii="仿宋_GB2312" w:hAnsi="仿宋_GB2312" w:cs="仿宋_GB2312" w:eastAsia="仿宋_GB2312"/>
                <w:b/>
                <w:color w:val="000000"/>
              </w:rPr>
              <w:t>项目</w:t>
            </w:r>
            <w:r>
              <w:rPr>
                <w:rFonts w:ascii="仿宋_GB2312" w:hAnsi="仿宋_GB2312" w:cs="仿宋_GB2312" w:eastAsia="仿宋_GB2312"/>
                <w:b/>
                <w:color w:val="000000"/>
              </w:rPr>
              <w:t>概况</w:t>
            </w:r>
          </w:p>
          <w:p>
            <w:pPr>
              <w:pStyle w:val="null3"/>
              <w:ind w:firstLine="600"/>
              <w:jc w:val="left"/>
            </w:pPr>
            <w:r>
              <w:rPr>
                <w:rFonts w:ascii="仿宋_GB2312" w:hAnsi="仿宋_GB2312" w:cs="仿宋_GB2312" w:eastAsia="仿宋_GB2312"/>
              </w:rPr>
              <w:t>1、项目名称：吉阳区人武部营区后期改造工程</w:t>
            </w:r>
          </w:p>
          <w:p>
            <w:pPr>
              <w:pStyle w:val="null3"/>
              <w:ind w:firstLine="600"/>
              <w:jc w:val="left"/>
            </w:pPr>
            <w:r>
              <w:rPr>
                <w:rFonts w:ascii="仿宋_GB2312" w:hAnsi="仿宋_GB2312" w:cs="仿宋_GB2312" w:eastAsia="仿宋_GB2312"/>
              </w:rPr>
              <w:t>2、项目预算：本项目预算金额为</w:t>
            </w:r>
            <w:r>
              <w:rPr>
                <w:rFonts w:ascii="仿宋_GB2312" w:hAnsi="仿宋_GB2312" w:cs="仿宋_GB2312" w:eastAsia="仿宋_GB2312"/>
              </w:rPr>
              <w:t>2281462.21</w:t>
            </w:r>
            <w:r>
              <w:rPr>
                <w:rFonts w:ascii="仿宋_GB2312" w:hAnsi="仿宋_GB2312" w:cs="仿宋_GB2312" w:eastAsia="仿宋_GB2312"/>
              </w:rPr>
              <w:t>元，最高限价为</w:t>
            </w:r>
            <w:r>
              <w:rPr>
                <w:rFonts w:ascii="仿宋_GB2312" w:hAnsi="仿宋_GB2312" w:cs="仿宋_GB2312" w:eastAsia="仿宋_GB2312"/>
              </w:rPr>
              <w:t>2281462.21</w:t>
            </w:r>
            <w:r>
              <w:rPr>
                <w:rFonts w:ascii="仿宋_GB2312" w:hAnsi="仿宋_GB2312" w:cs="仿宋_GB2312" w:eastAsia="仿宋_GB2312"/>
              </w:rPr>
              <w:t>元，超出采购预算金额的投标，按无效投标处理。</w:t>
            </w:r>
          </w:p>
          <w:p>
            <w:pPr>
              <w:pStyle w:val="null3"/>
              <w:ind w:firstLine="600"/>
              <w:jc w:val="left"/>
            </w:pPr>
            <w:r>
              <w:rPr>
                <w:rFonts w:ascii="仿宋_GB2312" w:hAnsi="仿宋_GB2312" w:cs="仿宋_GB2312" w:eastAsia="仿宋_GB2312"/>
              </w:rPr>
              <w:t>3、资金来源：政府资金</w:t>
            </w:r>
          </w:p>
          <w:p>
            <w:pPr>
              <w:pStyle w:val="null3"/>
              <w:ind w:firstLine="600"/>
              <w:jc w:val="left"/>
            </w:pPr>
            <w:r>
              <w:rPr>
                <w:rFonts w:ascii="仿宋_GB2312" w:hAnsi="仿宋_GB2312" w:cs="仿宋_GB2312" w:eastAsia="仿宋_GB2312"/>
              </w:rPr>
              <w:t>4、建设规模及内容：</w:t>
            </w:r>
            <w:r>
              <w:rPr>
                <w:rFonts w:ascii="仿宋_GB2312" w:hAnsi="仿宋_GB2312" w:cs="仿宋_GB2312" w:eastAsia="仿宋_GB2312"/>
              </w:rPr>
              <w:t>墙面装饰、天棚面吊顶、窗帘、纱窗、防盗网、钢梯、栏杆、垃圾外运、强弱电、给排水、门岗等工程。</w:t>
            </w:r>
          </w:p>
          <w:p>
            <w:pPr>
              <w:pStyle w:val="null3"/>
              <w:ind w:firstLine="600"/>
              <w:jc w:val="left"/>
            </w:pPr>
            <w:r>
              <w:rPr>
                <w:rFonts w:ascii="仿宋_GB2312" w:hAnsi="仿宋_GB2312" w:cs="仿宋_GB2312" w:eastAsia="仿宋_GB2312"/>
                <w:color w:val="000000"/>
              </w:rPr>
              <w:t>5、合同履行期限（工期）：120天</w:t>
            </w:r>
          </w:p>
          <w:p>
            <w:pPr>
              <w:pStyle w:val="null3"/>
              <w:ind w:firstLine="600"/>
              <w:jc w:val="left"/>
            </w:pPr>
            <w:r>
              <w:rPr>
                <w:rFonts w:ascii="仿宋_GB2312" w:hAnsi="仿宋_GB2312" w:cs="仿宋_GB2312" w:eastAsia="仿宋_GB2312"/>
                <w:color w:val="000000"/>
              </w:rPr>
              <w:t>6、地点：采购人指定地点。</w:t>
            </w:r>
          </w:p>
          <w:p>
            <w:pPr>
              <w:pStyle w:val="null3"/>
              <w:ind w:firstLine="600"/>
              <w:jc w:val="left"/>
            </w:pPr>
            <w:r>
              <w:rPr>
                <w:rFonts w:ascii="仿宋_GB2312" w:hAnsi="仿宋_GB2312" w:cs="仿宋_GB2312" w:eastAsia="仿宋_GB2312"/>
              </w:rPr>
              <w:t>7、技术要求：以《图纸》为准。</w:t>
            </w:r>
          </w:p>
          <w:p>
            <w:pPr>
              <w:pStyle w:val="null3"/>
              <w:ind w:firstLine="600"/>
              <w:jc w:val="left"/>
            </w:pPr>
            <w:r>
              <w:rPr>
                <w:rFonts w:ascii="仿宋_GB2312" w:hAnsi="仿宋_GB2312" w:cs="仿宋_GB2312" w:eastAsia="仿宋_GB2312"/>
              </w:rPr>
              <w:t>8、招标范围：按采购人提供的工程量清单及施工图所包含的全部工作内容进行施工(详见工程量清单和施工设计图)</w:t>
            </w:r>
          </w:p>
          <w:p>
            <w:pPr>
              <w:pStyle w:val="null3"/>
              <w:ind w:firstLine="600"/>
              <w:jc w:val="left"/>
            </w:pPr>
            <w:r>
              <w:rPr>
                <w:rFonts w:ascii="仿宋_GB2312" w:hAnsi="仿宋_GB2312" w:cs="仿宋_GB2312" w:eastAsia="仿宋_GB2312"/>
              </w:rPr>
              <w:t>9、质量要求：合格</w:t>
            </w:r>
          </w:p>
          <w:p>
            <w:pPr>
              <w:pStyle w:val="null3"/>
              <w:ind w:firstLine="600"/>
              <w:jc w:val="left"/>
            </w:pPr>
            <w:r>
              <w:rPr>
                <w:rFonts w:ascii="仿宋_GB2312" w:hAnsi="仿宋_GB2312" w:cs="仿宋_GB2312" w:eastAsia="仿宋_GB2312"/>
              </w:rPr>
              <w:t>10、验收标准：按采购人提供的工程量清单及施工图所包含的全部工作内容进行施工(详见工程量清单和施工设计图)</w:t>
            </w:r>
          </w:p>
          <w:p>
            <w:pPr>
              <w:pStyle w:val="null3"/>
              <w:ind w:firstLine="600"/>
              <w:jc w:val="left"/>
            </w:pPr>
            <w:r>
              <w:rPr>
                <w:rFonts w:ascii="仿宋_GB2312" w:hAnsi="仿宋_GB2312" w:cs="仿宋_GB2312" w:eastAsia="仿宋_GB2312"/>
              </w:rPr>
              <w:t>11、成交供应商与采购人应严格按照《财政部关于进一步加强政府采购需求和履约验收管理的指导意见》 (财库(2016)205 号)文件、竞争性磋商文件及相关法律法规要求与合同约定相关条</w:t>
            </w:r>
            <w:r>
              <w:rPr>
                <w:rFonts w:ascii="仿宋_GB2312" w:hAnsi="仿宋_GB2312" w:cs="仿宋_GB2312" w:eastAsia="仿宋_GB2312"/>
              </w:rPr>
              <w:t>款进行验收</w:t>
            </w:r>
            <w:r>
              <w:rPr>
                <w:rFonts w:ascii="仿宋_GB2312" w:hAnsi="仿宋_GB2312" w:cs="仿宋_GB2312" w:eastAsia="仿宋_GB2312"/>
              </w:rPr>
              <w:t>。</w:t>
            </w:r>
          </w:p>
          <w:p>
            <w:pPr>
              <w:pStyle w:val="null3"/>
              <w:ind w:firstLine="602"/>
              <w:jc w:val="left"/>
            </w:pPr>
            <w:r>
              <w:rPr>
                <w:rFonts w:ascii="仿宋_GB2312" w:hAnsi="仿宋_GB2312" w:cs="仿宋_GB2312" w:eastAsia="仿宋_GB2312"/>
                <w:b/>
                <w:color w:val="000000"/>
              </w:rPr>
              <w:t>二、付款方式：</w:t>
            </w:r>
            <w:r>
              <w:rPr>
                <w:rFonts w:ascii="仿宋_GB2312" w:hAnsi="仿宋_GB2312" w:cs="仿宋_GB2312" w:eastAsia="仿宋_GB2312"/>
                <w:color w:val="000000"/>
              </w:rPr>
              <w:t>合同签订后甲方向乙方支付预付款</w:t>
            </w:r>
            <w:r>
              <w:rPr>
                <w:rFonts w:ascii="仿宋_GB2312" w:hAnsi="仿宋_GB2312" w:cs="仿宋_GB2312" w:eastAsia="仿宋_GB2312"/>
                <w:color w:val="000000"/>
              </w:rPr>
              <w:t>30%,竣工后支付至80%,剩余资金待审定金额后支付。</w:t>
            </w:r>
          </w:p>
          <w:p>
            <w:pPr>
              <w:pStyle w:val="null3"/>
              <w:ind w:firstLine="600"/>
              <w:jc w:val="left"/>
            </w:pPr>
            <w:r>
              <w:rPr>
                <w:rFonts w:ascii="仿宋_GB2312" w:hAnsi="仿宋_GB2312" w:cs="仿宋_GB2312" w:eastAsia="仿宋_GB2312"/>
              </w:rPr>
              <w:t>三、</w:t>
            </w:r>
            <w:r>
              <w:rPr>
                <w:rFonts w:ascii="仿宋_GB2312" w:hAnsi="仿宋_GB2312" w:cs="仿宋_GB2312" w:eastAsia="仿宋_GB2312"/>
                <w:b/>
              </w:rPr>
              <w:t>其他</w:t>
            </w:r>
          </w:p>
          <w:p>
            <w:pPr>
              <w:pStyle w:val="null3"/>
              <w:jc w:val="both"/>
            </w:pPr>
            <w:r>
              <w:rPr>
                <w:rFonts w:ascii="仿宋_GB2312" w:hAnsi="仿宋_GB2312" w:cs="仿宋_GB2312" w:eastAsia="仿宋_GB2312"/>
              </w:rPr>
              <w:t>凡涉及磋商文件的补充说明和修改，均以采购代理机构在中国政府采购网</w:t>
            </w:r>
            <w:r>
              <w:rPr>
                <w:rFonts w:ascii="仿宋_GB2312" w:hAnsi="仿宋_GB2312" w:cs="仿宋_GB2312" w:eastAsia="仿宋_GB2312"/>
              </w:rPr>
              <w:t>(www.ccgp.gov.cn) 、中国政府采购网海南分网 (海南省政府采购智慧云平台)(https://ccgp-hainan.gov.cn/) 发布的公告为准。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在中华人民共和国境内注册、具有独立承担民事责任的能力</w:t>
            </w:r>
          </w:p>
        </w:tc>
        <w:tc>
          <w:tcPr>
            <w:tcW w:type="dxa" w:w="3322"/>
          </w:tcPr>
          <w:p>
            <w:pPr>
              <w:pStyle w:val="null3"/>
              <w:jc w:val="left"/>
            </w:pPr>
            <w:r>
              <w:rPr>
                <w:rFonts w:ascii="仿宋_GB2312" w:hAnsi="仿宋_GB2312" w:cs="仿宋_GB2312" w:eastAsia="仿宋_GB2312"/>
              </w:rPr>
              <w:t>在中华人民共和国境内注册、具有独立承担民事责任的能力（提供营业执照或事业单位法人证书并加盖公章）</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备建设行政主管部门颁发的建筑装修装饰工程专业承包贰级（含）以上资质或根据《住房和城乡建设部关于印发建设工程企业资质管理制度改革方案的通知》【建市〔2020〕94号】换发新证的相应资质，并在人员、设备、资金等方面具有相应的施工能力且具有有效的安全生产许可证，并在人员、设备、资金等方面具有相应的施工能力，其中，拟派项目经理（项目负责人）须具备本单位注册的建筑工程专业贰级（含）以上注册建造师执业资格,且未担任其他在施建设工程项目的项目负责人（项目经理）</w:t>
            </w:r>
          </w:p>
        </w:tc>
        <w:tc>
          <w:tcPr>
            <w:tcW w:type="dxa" w:w="3322"/>
          </w:tcPr>
          <w:p>
            <w:pPr>
              <w:pStyle w:val="null3"/>
              <w:jc w:val="left"/>
            </w:pPr>
            <w:r>
              <w:rPr>
                <w:rFonts w:ascii="仿宋_GB2312" w:hAnsi="仿宋_GB2312" w:cs="仿宋_GB2312" w:eastAsia="仿宋_GB2312"/>
              </w:rPr>
              <w:t>具备建设行政主管部门颁发的建筑装修装饰工程专业承包贰级（含）以上资质或根据《住房和城乡建设部关于印发建设工程企业资质管理制度改革方案的通知》【建市〔2020〕94号】换发新证的相应资质，并在人员、设备、资金等方面具有相应的施工能力且具有有效的安全生产许可证（提供资质证书复印件加盖公章、安全生产许可证副本复印件加盖公章），并在人员、设备、资金等方面具有相应的施工能力，其中，拟派项目经理（项目负责人）须具备本单位注册的建筑工程专业贰级（含）以上注册建造师执业资格,且未担任其他在施建设工程项目的项目负责人（项目经理）（提供全国建筑市场监管公共服务平台(四库一平台)截图证明、相关证书复印件加盖单位公章，并提供项目经理无在建工程项目的承诺函）</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具有良好的商业信誉和健全的财务会计制度</w:t>
            </w:r>
          </w:p>
        </w:tc>
        <w:tc>
          <w:tcPr>
            <w:tcW w:type="dxa" w:w="3322"/>
          </w:tcPr>
          <w:p>
            <w:pPr>
              <w:pStyle w:val="null3"/>
              <w:jc w:val="left"/>
            </w:pPr>
            <w:r>
              <w:rPr>
                <w:rFonts w:ascii="仿宋_GB2312" w:hAnsi="仿宋_GB2312" w:cs="仿宋_GB2312" w:eastAsia="仿宋_GB2312"/>
              </w:rPr>
              <w:t>具有良好的商业信誉和健全的财务会计制度（提供资格承诺函）</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具有履行合同所必需的设备和专业技术能力（提供承诺书）</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具有依法缴纳税收和社会保障资金的良好记录</w:t>
            </w:r>
          </w:p>
        </w:tc>
        <w:tc>
          <w:tcPr>
            <w:tcW w:type="dxa" w:w="3322"/>
          </w:tcPr>
          <w:p>
            <w:pPr>
              <w:pStyle w:val="null3"/>
              <w:jc w:val="left"/>
            </w:pPr>
            <w:r>
              <w:rPr>
                <w:rFonts w:ascii="仿宋_GB2312" w:hAnsi="仿宋_GB2312" w:cs="仿宋_GB2312" w:eastAsia="仿宋_GB2312"/>
              </w:rPr>
              <w:t>具有依法缴纳税收和社会保障资金的良好记录（提供资格承诺函）</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在“信用中国”网站（www.creditchina.gov.cn）没有列入失信被执行人、重大税收违法失信主体、政府采购严重违法失信行为记录名单的供应商及在中国政府采购网（www.ccgp.gov.cn）政府采购严重违法失信行为记录名单的供应商。</w:t>
            </w:r>
          </w:p>
        </w:tc>
        <w:tc>
          <w:tcPr>
            <w:tcW w:type="dxa" w:w="3322"/>
          </w:tcPr>
          <w:p>
            <w:pPr>
              <w:pStyle w:val="null3"/>
              <w:jc w:val="left"/>
            </w:pPr>
            <w:r>
              <w:rPr>
                <w:rFonts w:ascii="仿宋_GB2312" w:hAnsi="仿宋_GB2312" w:cs="仿宋_GB2312" w:eastAsia="仿宋_GB2312"/>
              </w:rPr>
              <w:t>在“信用中国”网站（www.creditchina.gov.cn）没有列入失信被执行人、重大税收违法失信主体、政府采购严重违法失信行为记录名单的供应商及在中国政府采购网（www.ccgp.gov.cn）政府采购严重违法失信行为记录名单的供应商。（提供承诺函，格式自拟，由采购人或者代理机构在开标现场查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参加政府采购活动前三年内，在经营活动中没有重大违法记录（成立不足三年的从成立之日起计算）</w:t>
            </w:r>
          </w:p>
        </w:tc>
        <w:tc>
          <w:tcPr>
            <w:tcW w:type="dxa" w:w="3322"/>
          </w:tcPr>
          <w:p>
            <w:pPr>
              <w:pStyle w:val="null3"/>
              <w:jc w:val="left"/>
            </w:pPr>
            <w:r>
              <w:rPr>
                <w:rFonts w:ascii="仿宋_GB2312" w:hAnsi="仿宋_GB2312" w:cs="仿宋_GB2312" w:eastAsia="仿宋_GB2312"/>
              </w:rPr>
              <w:t>参加政府采购活动前三年内，在经营活动中没有重大违法记录（成立不足三年的从成立之日起计算）（提供声明函，格式自拟）</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参加政府采购活动前三年内，无环保类行政处罚记录（提供声明函，格式自拟）</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提供政府采购供应商信用承诺书，在招标文件中附带格式文本，按照信用承诺内容进行承诺。</w:t>
            </w:r>
          </w:p>
        </w:tc>
        <w:tc>
          <w:tcPr>
            <w:tcW w:type="dxa" w:w="3322"/>
          </w:tcPr>
          <w:p>
            <w:pPr>
              <w:pStyle w:val="null3"/>
              <w:jc w:val="left"/>
            </w:pPr>
            <w:r>
              <w:rPr>
                <w:rFonts w:ascii="仿宋_GB2312" w:hAnsi="仿宋_GB2312" w:cs="仿宋_GB2312" w:eastAsia="仿宋_GB2312"/>
              </w:rPr>
              <w:t>提供政府采购供应商信用承诺书，在招标文件中附带格式文本，按照信用承诺内容进行承诺。</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单位负责人为同一人或者存在直接控股、管理关系的不同供应商，不得参加同一合同项下的政府采购活动（提供声明函，格式自拟）</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建筑企业参与投标前，应当根据《海南省建筑企业诚信档案手册管理办法》的规定，通过海南省住房和城乡建设厅网站（http://www.hnjst.gov.cn/）登录海南省房屋建筑工程全过程监管信息平台填报项目名称、项目地址、派驻的项目班子人员信息，打印生成诚信档案手册</w:t>
            </w:r>
          </w:p>
        </w:tc>
        <w:tc>
          <w:tcPr>
            <w:tcW w:type="dxa" w:w="3322"/>
          </w:tcPr>
          <w:p>
            <w:pPr>
              <w:pStyle w:val="null3"/>
              <w:jc w:val="left"/>
            </w:pPr>
            <w:r>
              <w:rPr>
                <w:rFonts w:ascii="仿宋_GB2312" w:hAnsi="仿宋_GB2312" w:cs="仿宋_GB2312" w:eastAsia="仿宋_GB2312"/>
              </w:rPr>
              <w:t>建筑企业参与投标前，应当根据《海南省建筑企业诚信档案手册管理办法》的规定，通过海南省住房和城乡建设厅网站（http://www.hnjst.gov.cn/）登录海南省房屋建筑工程全过程监管信息平台填报项目名称、项目地址、派驻的项目班子人员信息，打印生成诚信档案手册（提供诚信档案手册复印件加盖公章）</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1、施工方案与技术措施包括但不限于：①施工现场管理组织机构；②施工总体部署和规划；③施工程序和施工方法；④安全文明施工目标；⑤保证措施等内容。投标人提供上述内容的，每提供1项得1分，满分5分。 2、根据投标人提供的施工方案与技术措施进行评审赋分： A.施工方案与技术措施科学合理，适用性强，思路清晰，内容全面，能够根据实际情况制订，满足采购人的需要，考虑问题周全，实施过程务实，各项指标均能完成得9分； B.施工方案与技术措施无缺项漏项，能够满足采购需要，但缺乏针对性及可操作性得7分； C.施工方案与技术措施存在缺项漏项，思路不清晰，无针对性及可操作性，无法满足采购需求得5分； D.施工方案与技术措施不合理得2分；E.不提供者得0分。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1、质量管理体系及措施包括但不限于：①指挥系统；②质量监控系统；③质量过程管理；④联络协调系统；⑤保障措施等内容。投标人提供上述内容的，每提供1项得1分，满分5分。 2、根据投标人提供的质量管理体系及措施进行评审赋分： A.质量管理体系及措施科学合理，适用性强，思路清晰，内容全面，能够根据实际情况制订，满足采购人的需要，考虑问题周全，实施过程务实，各项指标均能完成得9分； B.质量管理体系及措施无缺项漏项，能够满足采购需要，但缺乏针对性及可操作性得7分； C.质量管理体系及措施存在缺项漏项，思路不清晰，无针对性及可操作性，无法满足采购需求得5分； D.质量管理体系及措施不合理得2分；E.不提供者得0分。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1、安全管理体系与措施包括但不限于：①安全管理方针；②安全管理组织机构；③施工安全管理目标；④安全监测与检查措施；⑤施工安全管理制度等内容。投标人提供上述内容的，每提供1项得1分，满分5分。 2、根据投标人提供的安全管理体系与措施进行评审赋分： A.安全管理体系与措施科学合理，适用性强，思路清晰，内容全面，能够根据实际情况制订，满足采购人的需要，考虑问题周全，实施过程务实，各项指标均能完成得9分； B.安全管理体系与措施无缺项漏项，能够满足采购需要，但缺乏针对性及可操作性得7分； C.安全管理体系与措施存在缺项漏项，思路不清晰，无针对性及可操作性，无法满足采购需求得5分； D.安全管理体系与措施不合理得2分；E.不提供者得0分。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1、工程进度计划与措施包括但不限于：①工程进度计划；②进度监控与控制；③指标安排；④沟通协调；⑤保障措施等内容。投标人提供上述内容的，每提供1项得1分，满分5分。 2、根据投标人提供的工程进度计划与措施进行评审赋分： A.工程进度计划与措施科学合理，适用性强，思路清晰，内容全面，能够根据实际情况制订，满足采购人的需要，考虑问题周全，实施过程务实，各项指标均能完成得9分； B.工程进度计划与措施无缺项漏项，能够满足采购需要，但缺乏针对性及可操作性得7分； C.工程进度计划与措施存在缺项漏项，思路不清晰，无针对性及可操作性，无法满足采购需求得5分； D.工程进度计划与措施不合理得2分；E.不提供者得0分。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1.环保管理体系与措施包括但不限于：①环保风险评估与管理；②施工环境保护管理目标；③环保管理制度和流程；④施工环境保护组织机构及保证体系；⑤施工环境保护岗位职责划分等内容。投标人提供上述内容的，每提供1项得1分，满分5分。 2、根据投标人提供的环保管理体系与措施进行评审赋分： A.施工方案与技术措施科学合理，适用性强，思路清晰，内容全面，能够根据实际情况制订，满足采购人的需要，考虑问题周全，实施过程务实，各项指标均能完成得9分； B.环保管理体系与措施无缺项漏项，能够满足采购需要，但缺乏针对性及可操作性得7分； C.环保管理体系与措施存在缺项漏项，思路不清晰，无针对性及可操作性，无法满足采购需求得5分； D.环保管理体系与措施不合理得2分；E.不提供者得0分。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供应商自2022年1月1日（时间以合同签订时间为准）至今承接过建筑装修装饰类施工项目的每个得2.5分，本项满分5分。 证明材料：提供施工合同复印件加盖公章，时间以合同签订时间为准；不提供不得分。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项目管理机构</w:t>
            </w:r>
          </w:p>
        </w:tc>
        <w:tc>
          <w:tcPr>
            <w:tcW w:type="dxa" w:w="2492"/>
          </w:tcPr>
          <w:p>
            <w:pPr>
              <w:pStyle w:val="null3"/>
              <w:jc w:val="left"/>
            </w:pPr>
            <w:r>
              <w:rPr>
                <w:rFonts w:ascii="仿宋_GB2312" w:hAnsi="仿宋_GB2312" w:cs="仿宋_GB2312" w:eastAsia="仿宋_GB2312"/>
              </w:rPr>
              <w:t>1、技术负责人具有建筑工程相关专业中级或以上职称得5分。注：响应文件中须提供有效的职称证书及相关人员2025年1月1日至今连续三个月在本单位缴纳的社保凭证材料加盖单位公章，提供不齐不得分。 2、除项目经理和技术负责人外，本项目管理机构人员配备：施工员、专职安全生产管理员、质量员、劳资专管员、资料员（可兼任） ，每个得2分，本项满分10分，缺少一个扣2分。以上人员须均具有建设行政主管部门颁发的岗位证书。证明材料：提供人员相应的岗位证书或电子培训合格证等相关证书，劳资专管员提供身份证和任命书，以上人员还需提供2025年1月1日至投标截止之日止连续三个月在本单位或其分公司缴纳的社保证明材料（网上打印的社保清单有加盖社保管理单位电子印章或税务机构电子印章的视为缴纳社保证明），如为已退休人员需提供与本单位签订的有效劳动合同及退休证明材料复印件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项目管理人员情况表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[HNZX]20250800002[CS]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吉阳区人武部营区后期改造工程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吉阳区人武部营区后期改造工程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B07000000-装修工程</w:t>
            </w:r>
          </w:p>
        </w:tc>
        <w:tc>
          <w:tcPr>
            <w:tcW w:type="dxa" w:w="1038"/>
          </w:tcPr>
          <w:p>
            <w:pPr>
              <w:pStyle w:val="null3"/>
              <w:jc w:val="left"/>
            </w:pPr>
            <w:r>
              <w:rPr>
                <w:rFonts w:ascii="仿宋_GB2312" w:hAnsi="仿宋_GB2312" w:cs="仿宋_GB2312" w:eastAsia="仿宋_GB2312"/>
              </w:rPr>
              <w:t xml:space="preserve"> 1.00元/平方米</w:t>
            </w:r>
          </w:p>
        </w:tc>
        <w:tc>
          <w:tcPr>
            <w:tcW w:type="dxa" w:w="1038"/>
          </w:tcPr>
          <w:p>
            <w:pPr>
              <w:pStyle w:val="null3"/>
              <w:jc w:val="left"/>
            </w:pPr>
            <w:r>
              <w:rPr>
                <w:rFonts w:ascii="仿宋_GB2312" w:hAnsi="仿宋_GB2312" w:cs="仿宋_GB2312" w:eastAsia="仿宋_GB2312"/>
              </w:rPr>
              <w:t xml:space="preserve"> 2281462.21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