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2025年三亚市吉阳区青少年社会服务项目(二次)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HNSQ-2025-017-1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中国共产主义青年团三亚市吉阳区委员会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海南森泉招标代理有限公司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中国共产主义青年团三亚市吉阳区委员会</w:t>
      </w:r>
      <w:r>
        <w:rPr>
          <w:rFonts w:ascii="仿宋_GB2312" w:hAnsi="仿宋_GB2312" w:cs="仿宋_GB2312" w:eastAsia="仿宋_GB2312"/>
        </w:rPr>
        <w:t xml:space="preserve"> 的委托， </w:t>
      </w:r>
      <w:r>
        <w:rPr>
          <w:rFonts w:ascii="仿宋_GB2312" w:hAnsi="仿宋_GB2312" w:cs="仿宋_GB2312" w:eastAsia="仿宋_GB2312"/>
        </w:rPr>
        <w:t>海南森泉招标代理有限公司</w:t>
      </w:r>
      <w:r>
        <w:rPr>
          <w:rFonts w:ascii="仿宋_GB2312" w:hAnsi="仿宋_GB2312" w:cs="仿宋_GB2312" w:eastAsia="仿宋_GB2312"/>
        </w:rPr>
        <w:t xml:space="preserve"> 对 </w:t>
      </w:r>
      <w:r>
        <w:rPr>
          <w:rFonts w:ascii="仿宋_GB2312" w:hAnsi="仿宋_GB2312" w:cs="仿宋_GB2312" w:eastAsia="仿宋_GB2312"/>
        </w:rPr>
        <w:t>2025年三亚市吉阳区青少年社会服务项目(二次)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HNSQ-2025-017-1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2025年三亚市吉阳区青少年社会服务项目(二次)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1 年，以签订合同之日起开始计算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无不良信用记录：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的“政府采购严重违法失信行为记录名单”的供应商。（供应商提供信用中国、中国政府采购网查询记录或提供信用承诺书加盖公章，格式自拟，信用中国、中国政府采购网查询记录代理机构现场查询核验）</w:t>
      </w:r>
    </w:p>
    <w:p>
      <w:pPr>
        <w:pStyle w:val="null3"/>
        <w:jc w:val="left"/>
      </w:pPr>
      <w:r>
        <w:rPr>
          <w:rFonts w:ascii="仿宋_GB2312" w:hAnsi="仿宋_GB2312" w:cs="仿宋_GB2312" w:eastAsia="仿宋_GB2312"/>
        </w:rPr>
        <w:t>2、与参与本项目的其他供应商之间不存在关联关系：单位负责人为同一人或者存在控股、管理关系的不同单位，不得同时参加本项目的磋商。（供应商提供与参与本项目的其他供应商之间不存在关联关系的声明）</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3、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 4、政府采购政策：《政府采购促进中小企业发展管理办法》《财政部发展改革委生态环境部市场监管总局关于调整优化节能产品、环境标志产品政府采购执行机制的通知》《关于信息安全产品实施政府采购的通知》《关于促进残疾人就业政府采购政策的通知》《财政部司法部关于政府采购支持监狱企业发展有关问题的通知》《关于政府采购支持绿色建材促进建筑品质提升试点工作的通知》《财政部国务院扶贫办关于运用政府采购政策支持脱贫攻坚的通知》《海南省财政厅关于印发《海南省绿色产品政府采购实施意见（试行）》的通知》《海南省财政厅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中国共产主义青年团三亚市吉阳区委员会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三亚市吉阳区迎宾路同心家园八期5号、6号商铺四楼409室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郑庆聪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0898-88713623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海南森泉招标代理有限公司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海南省海口市琼山区凤翔街道办中山南路2-28号703房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0898-65307629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代理服务费收费标准：招标代理服务费金额24000.00元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供应商无须到达开标现场，远程按时参加在线开标解密即可。本项目不接受供应商的电子备用响应文件，以供应商成功加密后递交至海南省政府采购智慧云平台的电子响应文件为准，因供应商自身原因导致无法解密或解密失败的，自行承担不利后果。 2. 签字和（或） 盖章要求： 2.1 电子标盖章要求：使用 CA 锁在响应文件制作工具中逐页加盖单位公章。 2.2 电子标签字以下四种形式之一均有效：（1）响应文件制作工具中加盖签名章或签字章；（2）响应文件制作工具中使用手写签名”签字；（3）响应文件打印为文本签字后扫描上传；（4）响应文件打印为文本盖签名章或签字章后扫描上传。2.3 电子系统中所涉及签章均可以是加盖单位公章。2.4由委托代理人签字的，响应文件应附有法定代表人授权书。 3.成交供应商收到成交通知书5个工作日内提供正本 1 份、副本 2 份的纸质版响应文件用于采购项目资料汇总。 4.供应商如遇技术问题自行联系海南省政府采购智慧云平台客服。 5.根据《三亚市人民政府办公室关于印发&lt;三亚市创建一流营商环境2021年实施方案&gt;的通知》（三府办〔2021〕44号）和《 三亚市金融发展局关于印发&lt;创建一流营商环境“获得信贷”指标2021年专项行动方案&gt;的通知》，三亚市在探索开展“政采贷 ”业务，中标或成交供应商可凭借与采购单位签订的政府采购合同向开展政府采购合同融资业务的3家银行（中信银行三亚分 行、兴业银行三亚分行和浦发银行三亚分行）的公司业务部申请信用贷款。</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联系人：符芳</w:t>
      </w:r>
    </w:p>
    <w:p>
      <w:pPr>
        <w:pStyle w:val="null3"/>
        <w:jc w:val="left"/>
      </w:pPr>
      <w:r>
        <w:rPr>
          <w:rFonts w:ascii="仿宋_GB2312" w:hAnsi="仿宋_GB2312" w:cs="仿宋_GB2312" w:eastAsia="仿宋_GB2312"/>
        </w:rPr>
        <w:t>联系电话：0898-65307629</w:t>
      </w:r>
    </w:p>
    <w:p>
      <w:pPr>
        <w:pStyle w:val="null3"/>
        <w:jc w:val="left"/>
      </w:pPr>
      <w:r>
        <w:rPr>
          <w:rFonts w:ascii="仿宋_GB2312" w:hAnsi="仿宋_GB2312" w:cs="仿宋_GB2312" w:eastAsia="仿宋_GB2312"/>
        </w:rPr>
        <w:t>地址：海南省海口市美苑路105号美苑小区1栋1单元201</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（一）项目背景。</w:t>
      </w:r>
      <w:r>
        <w:rPr>
          <w:rFonts w:ascii="仿宋_GB2312" w:hAnsi="仿宋_GB2312" w:cs="仿宋_GB2312" w:eastAsia="仿宋_GB2312"/>
          <w:sz w:val="28"/>
        </w:rPr>
        <w:t>以《共青团海南省委员会改革方案》（琼办发〔</w:t>
      </w:r>
      <w:r>
        <w:rPr>
          <w:rFonts w:ascii="仿宋_GB2312" w:hAnsi="仿宋_GB2312" w:cs="仿宋_GB2312" w:eastAsia="仿宋_GB2312"/>
          <w:sz w:val="28"/>
        </w:rPr>
        <w:t>2017〕29号）精神为指导，根据团省委、省财政厅联合下发了《关于印发&lt;关于实施海南省青少年事务社会工作基层专项行动的工作方案&gt;的通知》（琼团联字〔2017〕33号）以及《关于落实海南省青少年事务社会工作基层专项行动相关工作的通知》（琼团办字（2018）15号）</w:t>
      </w:r>
      <w:r>
        <w:rPr>
          <w:rFonts w:ascii="仿宋_GB2312" w:hAnsi="仿宋_GB2312" w:cs="仿宋_GB2312" w:eastAsia="仿宋_GB2312"/>
          <w:sz w:val="28"/>
        </w:rPr>
        <w:t>、关于印发《共青团三亚市吉阳区委员会改革实施方案》（吉委办发〔</w:t>
      </w:r>
      <w:r>
        <w:rPr>
          <w:rFonts w:ascii="仿宋_GB2312" w:hAnsi="仿宋_GB2312" w:cs="仿宋_GB2312" w:eastAsia="仿宋_GB2312"/>
          <w:sz w:val="28"/>
        </w:rPr>
        <w:t>2020</w:t>
      </w:r>
      <w:r>
        <w:rPr>
          <w:rFonts w:ascii="仿宋_GB2312" w:hAnsi="仿宋_GB2312" w:cs="仿宋_GB2312" w:eastAsia="仿宋_GB2312"/>
          <w:sz w:val="28"/>
        </w:rPr>
        <w:t>〕</w:t>
      </w:r>
      <w:r>
        <w:rPr>
          <w:rFonts w:ascii="仿宋_GB2312" w:hAnsi="仿宋_GB2312" w:cs="仿宋_GB2312" w:eastAsia="仿宋_GB2312"/>
          <w:sz w:val="28"/>
        </w:rPr>
        <w:t>20号</w:t>
      </w:r>
      <w:r>
        <w:rPr>
          <w:rFonts w:ascii="仿宋_GB2312" w:hAnsi="仿宋_GB2312" w:cs="仿宋_GB2312" w:eastAsia="仿宋_GB2312"/>
          <w:sz w:val="28"/>
        </w:rPr>
        <w:t>）、关于印发《三亚市吉阳区推进县域共青团基层组织改革试点工作实施方案的通知》（吉委办发</w:t>
      </w:r>
      <w:r>
        <w:rPr>
          <w:rFonts w:ascii="仿宋_GB2312" w:hAnsi="仿宋_GB2312" w:cs="仿宋_GB2312" w:eastAsia="仿宋_GB2312"/>
          <w:sz w:val="28"/>
        </w:rPr>
        <w:t>〔</w:t>
      </w:r>
      <w:r>
        <w:rPr>
          <w:rFonts w:ascii="仿宋_GB2312" w:hAnsi="仿宋_GB2312" w:cs="仿宋_GB2312" w:eastAsia="仿宋_GB2312"/>
          <w:sz w:val="28"/>
        </w:rPr>
        <w:t>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67</w:t>
      </w:r>
      <w:r>
        <w:rPr>
          <w:rFonts w:ascii="仿宋_GB2312" w:hAnsi="仿宋_GB2312" w:cs="仿宋_GB2312" w:eastAsia="仿宋_GB2312"/>
          <w:sz w:val="28"/>
        </w:rPr>
        <w:t>号</w:t>
      </w:r>
      <w:r>
        <w:rPr>
          <w:rFonts w:ascii="仿宋_GB2312" w:hAnsi="仿宋_GB2312" w:cs="仿宋_GB2312" w:eastAsia="仿宋_GB2312"/>
          <w:sz w:val="28"/>
        </w:rPr>
        <w:t>）等</w:t>
      </w:r>
      <w:r>
        <w:rPr>
          <w:rFonts w:ascii="仿宋_GB2312" w:hAnsi="仿宋_GB2312" w:cs="仿宋_GB2312" w:eastAsia="仿宋_GB2312"/>
          <w:sz w:val="28"/>
        </w:rPr>
        <w:t>文件要求，开展共青团和青少年事务工作。</w:t>
      </w:r>
      <w:r>
        <w:rPr>
          <w:rFonts w:ascii="仿宋_GB2312" w:hAnsi="仿宋_GB2312" w:cs="仿宋_GB2312" w:eastAsia="仿宋_GB2312"/>
          <w:sz w:val="28"/>
        </w:rPr>
        <w:t>为</w:t>
      </w:r>
      <w:r>
        <w:rPr>
          <w:rFonts w:ascii="仿宋_GB2312" w:hAnsi="仿宋_GB2312" w:cs="仿宋_GB2312" w:eastAsia="仿宋_GB2312"/>
          <w:sz w:val="28"/>
        </w:rPr>
        <w:t>满足三亚市吉阳区经济发展的客观需求，依托青年、立足于为青年服务，做好党的助手的宗旨，旨在吉阳区范围内着力打造一支数量足、结构优、能力强、素质高的青少年事务社工专业人才队伍。并运用社会工作理念、方法和技巧，发挥社工专业优势，积极开展青少年事务领域服务工作，有效解决吉阳区青少年在成长成才、身心健康、社会融入等方面面临的需求，为维护社会和谐稳定、提高社会治理水平提供有力的人才支撑，团结和带领广大青少年投入现代化吉阳区发展建设。</w:t>
      </w:r>
    </w:p>
    <w:p>
      <w:pPr>
        <w:pStyle w:val="null3"/>
        <w:ind w:firstLine="562"/>
        <w:jc w:val="both"/>
      </w:pPr>
      <w:r>
        <w:rPr>
          <w:rFonts w:ascii="仿宋_GB2312" w:hAnsi="仿宋_GB2312" w:cs="仿宋_GB2312" w:eastAsia="仿宋_GB2312"/>
          <w:sz w:val="28"/>
          <w:b/>
        </w:rPr>
        <w:t>（二）项目名称</w:t>
      </w:r>
      <w:r>
        <w:rPr>
          <w:rFonts w:ascii="仿宋_GB2312" w:hAnsi="仿宋_GB2312" w:cs="仿宋_GB2312" w:eastAsia="仿宋_GB2312"/>
          <w:sz w:val="28"/>
          <w:b/>
        </w:rPr>
        <w:t>：</w:t>
      </w:r>
      <w:r>
        <w:rPr>
          <w:rFonts w:ascii="仿宋_GB2312" w:hAnsi="仿宋_GB2312" w:cs="仿宋_GB2312" w:eastAsia="仿宋_GB2312"/>
          <w:sz w:val="28"/>
        </w:rPr>
        <w:t>2025年三亚市吉阳区青少年社会服务项目（二次）</w:t>
      </w:r>
    </w:p>
    <w:p>
      <w:pPr>
        <w:pStyle w:val="null3"/>
        <w:ind w:firstLine="562"/>
        <w:jc w:val="both"/>
      </w:pPr>
      <w:r>
        <w:rPr>
          <w:rFonts w:ascii="仿宋_GB2312" w:hAnsi="仿宋_GB2312" w:cs="仿宋_GB2312" w:eastAsia="仿宋_GB2312"/>
          <w:sz w:val="28"/>
          <w:b/>
        </w:rPr>
        <w:t>（三）项目采购预算</w:t>
      </w:r>
      <w:r>
        <w:rPr>
          <w:rFonts w:ascii="仿宋_GB2312" w:hAnsi="仿宋_GB2312" w:cs="仿宋_GB2312" w:eastAsia="仿宋_GB2312"/>
          <w:sz w:val="28"/>
          <w:b/>
        </w:rPr>
        <w:t>：</w:t>
      </w:r>
      <w:r>
        <w:rPr>
          <w:rFonts w:ascii="仿宋_GB2312" w:hAnsi="仿宋_GB2312" w:cs="仿宋_GB2312" w:eastAsia="仿宋_GB2312"/>
          <w:sz w:val="28"/>
        </w:rPr>
        <w:t>300万元（报价不得超出该预算）</w:t>
      </w:r>
    </w:p>
    <w:p>
      <w:pPr>
        <w:pStyle w:val="null3"/>
        <w:ind w:firstLine="562"/>
        <w:jc w:val="both"/>
      </w:pPr>
      <w:r>
        <w:rPr>
          <w:rFonts w:ascii="仿宋_GB2312" w:hAnsi="仿宋_GB2312" w:cs="仿宋_GB2312" w:eastAsia="仿宋_GB2312"/>
          <w:sz w:val="28"/>
          <w:b/>
        </w:rPr>
        <w:t>（四）资金来源</w:t>
      </w:r>
      <w:r>
        <w:rPr>
          <w:rFonts w:ascii="仿宋_GB2312" w:hAnsi="仿宋_GB2312" w:cs="仿宋_GB2312" w:eastAsia="仿宋_GB2312"/>
          <w:sz w:val="28"/>
          <w:b/>
        </w:rPr>
        <w:t>：</w:t>
      </w:r>
      <w:r>
        <w:rPr>
          <w:rFonts w:ascii="仿宋_GB2312" w:hAnsi="仿宋_GB2312" w:cs="仿宋_GB2312" w:eastAsia="仿宋_GB2312"/>
          <w:sz w:val="28"/>
        </w:rPr>
        <w:t>区政府</w:t>
      </w:r>
      <w:r>
        <w:rPr>
          <w:rFonts w:ascii="仿宋_GB2312" w:hAnsi="仿宋_GB2312" w:cs="仿宋_GB2312" w:eastAsia="仿宋_GB2312"/>
          <w:sz w:val="28"/>
        </w:rPr>
        <w:t>财政资金</w:t>
      </w:r>
    </w:p>
    <w:p>
      <w:pPr>
        <w:pStyle w:val="null3"/>
        <w:ind w:firstLine="562"/>
        <w:jc w:val="both"/>
      </w:pPr>
      <w:r>
        <w:rPr>
          <w:rFonts w:ascii="仿宋_GB2312" w:hAnsi="仿宋_GB2312" w:cs="仿宋_GB2312" w:eastAsia="仿宋_GB2312"/>
          <w:sz w:val="28"/>
          <w:b/>
        </w:rPr>
        <w:t>（五）服务期限</w:t>
      </w:r>
      <w:r>
        <w:rPr>
          <w:rFonts w:ascii="仿宋_GB2312" w:hAnsi="仿宋_GB2312" w:cs="仿宋_GB2312" w:eastAsia="仿宋_GB2312"/>
          <w:sz w:val="28"/>
          <w:b/>
        </w:rPr>
        <w:t>：</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 </w:t>
      </w:r>
      <w:r>
        <w:rPr>
          <w:rFonts w:ascii="仿宋_GB2312" w:hAnsi="仿宋_GB2312" w:cs="仿宋_GB2312" w:eastAsia="仿宋_GB2312"/>
          <w:sz w:val="28"/>
        </w:rPr>
        <w:t>年</w:t>
      </w:r>
      <w:r>
        <w:rPr>
          <w:rFonts w:ascii="仿宋_GB2312" w:hAnsi="仿宋_GB2312" w:cs="仿宋_GB2312" w:eastAsia="仿宋_GB2312"/>
          <w:sz w:val="28"/>
        </w:rPr>
        <w:t>，</w:t>
      </w:r>
      <w:r>
        <w:rPr>
          <w:rFonts w:ascii="仿宋_GB2312" w:hAnsi="仿宋_GB2312" w:cs="仿宋_GB2312" w:eastAsia="仿宋_GB2312"/>
          <w:sz w:val="28"/>
        </w:rPr>
        <w:t>以签订合同之日起开始计算。</w:t>
      </w:r>
    </w:p>
    <w:p>
      <w:pPr>
        <w:pStyle w:val="null3"/>
        <w:ind w:firstLine="562"/>
        <w:jc w:val="both"/>
      </w:pPr>
      <w:r>
        <w:rPr>
          <w:rFonts w:ascii="仿宋_GB2312" w:hAnsi="仿宋_GB2312" w:cs="仿宋_GB2312" w:eastAsia="仿宋_GB2312"/>
          <w:sz w:val="28"/>
          <w:b/>
        </w:rPr>
        <w:t>（六）服务地点及对象</w:t>
      </w:r>
      <w:r>
        <w:rPr>
          <w:rFonts w:ascii="仿宋_GB2312" w:hAnsi="仿宋_GB2312" w:cs="仿宋_GB2312" w:eastAsia="仿宋_GB2312"/>
          <w:sz w:val="28"/>
          <w:b/>
        </w:rPr>
        <w:t>：</w:t>
      </w:r>
      <w:r>
        <w:rPr>
          <w:rFonts w:ascii="仿宋_GB2312" w:hAnsi="仿宋_GB2312" w:cs="仿宋_GB2312" w:eastAsia="仿宋_GB2312"/>
          <w:sz w:val="28"/>
        </w:rPr>
        <w:t>三亚市吉阳区</w:t>
      </w:r>
      <w:r>
        <w:rPr>
          <w:rFonts w:ascii="仿宋_GB2312" w:hAnsi="仿宋_GB2312" w:cs="仿宋_GB2312" w:eastAsia="仿宋_GB2312"/>
          <w:sz w:val="28"/>
        </w:rPr>
        <w:t>41个村社区，惠及对象为吉阳区青少年。</w:t>
      </w:r>
    </w:p>
    <w:p>
      <w:pPr>
        <w:pStyle w:val="null3"/>
        <w:ind w:firstLine="562"/>
        <w:jc w:val="both"/>
      </w:pPr>
      <w:r>
        <w:rPr>
          <w:rFonts w:ascii="仿宋_GB2312" w:hAnsi="仿宋_GB2312" w:cs="仿宋_GB2312" w:eastAsia="仿宋_GB2312"/>
          <w:sz w:val="28"/>
          <w:b/>
        </w:rPr>
        <w:t>（七）项目拟配备人员</w:t>
      </w:r>
      <w:r>
        <w:rPr>
          <w:rFonts w:ascii="仿宋_GB2312" w:hAnsi="仿宋_GB2312" w:cs="仿宋_GB2312" w:eastAsia="仿宋_GB2312"/>
          <w:sz w:val="28"/>
          <w:b/>
        </w:rPr>
        <w:t>：</w:t>
      </w:r>
      <w:r>
        <w:rPr>
          <w:rFonts w:ascii="仿宋_GB2312" w:hAnsi="仿宋_GB2312" w:cs="仿宋_GB2312" w:eastAsia="仿宋_GB2312"/>
          <w:sz w:val="28"/>
        </w:rPr>
        <w:t>以购买服务的方式，配备</w:t>
      </w:r>
      <w:r>
        <w:rPr>
          <w:rFonts w:ascii="仿宋_GB2312" w:hAnsi="仿宋_GB2312" w:cs="仿宋_GB2312" w:eastAsia="仿宋_GB2312"/>
          <w:sz w:val="28"/>
        </w:rPr>
        <w:t>28名青少年事务社工分别服务吉阳区41个村社区，同时配备1名项目主任、1名督导，负责整个项目的实施督导，确保项目保质保量完成。</w:t>
      </w:r>
    </w:p>
    <w:p>
      <w:pPr>
        <w:pStyle w:val="null3"/>
        <w:ind w:firstLine="562"/>
        <w:jc w:val="both"/>
      </w:pPr>
      <w:r>
        <w:rPr>
          <w:rFonts w:ascii="仿宋_GB2312" w:hAnsi="仿宋_GB2312" w:cs="仿宋_GB2312" w:eastAsia="仿宋_GB2312"/>
          <w:sz w:val="28"/>
          <w:b/>
        </w:rPr>
        <w:t>（八）服务范围</w:t>
      </w:r>
      <w:r>
        <w:rPr>
          <w:rFonts w:ascii="仿宋_GB2312" w:hAnsi="仿宋_GB2312" w:cs="仿宋_GB2312" w:eastAsia="仿宋_GB2312"/>
          <w:sz w:val="28"/>
          <w:b/>
        </w:rPr>
        <w:t>：</w:t>
      </w:r>
      <w:r>
        <w:rPr>
          <w:rFonts w:ascii="仿宋_GB2312" w:hAnsi="仿宋_GB2312" w:cs="仿宋_GB2312" w:eastAsia="仿宋_GB2312"/>
          <w:sz w:val="28"/>
        </w:rPr>
        <w:t>三亚市</w:t>
      </w:r>
      <w:r>
        <w:rPr>
          <w:rFonts w:ascii="仿宋_GB2312" w:hAnsi="仿宋_GB2312" w:cs="仿宋_GB2312" w:eastAsia="仿宋_GB2312"/>
          <w:sz w:val="28"/>
        </w:rPr>
        <w:t>吉阳区青少年。</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C05990000-其他社会服务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outlineLvl w:val="0"/>
            </w:pPr>
            <w:r>
              <w:rPr>
                <w:rFonts w:ascii="仿宋_GB2312" w:hAnsi="仿宋_GB2312" w:cs="仿宋_GB2312" w:eastAsia="仿宋_GB2312"/>
                <w:sz w:val="28"/>
                <w:b/>
              </w:rPr>
              <w:t>服务目标与内容</w:t>
            </w:r>
          </w:p>
          <w:p>
            <w:pPr>
              <w:pStyle w:val="null3"/>
              <w:jc w:val="both"/>
              <w:outlineLvl w:val="1"/>
            </w:pPr>
            <w:r>
              <w:rPr>
                <w:rFonts w:ascii="仿宋_GB2312" w:hAnsi="仿宋_GB2312" w:cs="仿宋_GB2312" w:eastAsia="仿宋_GB2312"/>
                <w:sz w:val="28"/>
                <w:b/>
              </w:rPr>
              <w:t>（一）服务目标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《共青团海南省委员会改革方案》</w:t>
            </w:r>
            <w:r>
              <w:rPr>
                <w:rFonts w:ascii="仿宋_GB2312" w:hAnsi="仿宋_GB2312" w:cs="仿宋_GB2312" w:eastAsia="仿宋_GB2312"/>
                <w:sz w:val="28"/>
              </w:rPr>
              <w:t>及《共青团三亚市吉阳区委员会改革实施方案》和《三亚市吉阳区推进县域共青团基层组织改革试点工作实施方案的通知》等</w:t>
            </w:r>
            <w:r>
              <w:rPr>
                <w:rFonts w:ascii="仿宋_GB2312" w:hAnsi="仿宋_GB2312" w:cs="仿宋_GB2312" w:eastAsia="仿宋_GB2312"/>
                <w:sz w:val="28"/>
              </w:rPr>
              <w:t>要求，为贯彻落实有关购买青少年事务社会工作服务的指导意见，建立完善</w:t>
            </w:r>
            <w:r>
              <w:rPr>
                <w:rFonts w:ascii="仿宋_GB2312" w:hAnsi="仿宋_GB2312" w:cs="仿宋_GB2312" w:eastAsia="仿宋_GB2312"/>
                <w:sz w:val="28"/>
              </w:rPr>
              <w:t>“团干部+社工”的工作机制，有力增强基层团的工作力量。</w:t>
            </w:r>
            <w:r>
              <w:rPr>
                <w:rFonts w:ascii="仿宋_GB2312" w:hAnsi="仿宋_GB2312" w:cs="仿宋_GB2312" w:eastAsia="仿宋_GB2312"/>
                <w:sz w:val="28"/>
              </w:rPr>
              <w:t>以</w:t>
            </w:r>
            <w:r>
              <w:rPr>
                <w:rFonts w:ascii="仿宋_GB2312" w:hAnsi="仿宋_GB2312" w:cs="仿宋_GB2312" w:eastAsia="仿宋_GB2312"/>
                <w:sz w:val="28"/>
              </w:rPr>
              <w:t>三亚市吉阳区的基层大团委</w:t>
            </w:r>
            <w:r>
              <w:rPr>
                <w:rFonts w:ascii="仿宋_GB2312" w:hAnsi="仿宋_GB2312" w:cs="仿宋_GB2312" w:eastAsia="仿宋_GB2312"/>
                <w:sz w:val="28"/>
              </w:rPr>
              <w:t>为依托，</w:t>
            </w:r>
            <w:r>
              <w:rPr>
                <w:rFonts w:ascii="仿宋_GB2312" w:hAnsi="仿宋_GB2312" w:cs="仿宋_GB2312" w:eastAsia="仿宋_GB2312"/>
                <w:sz w:val="28"/>
              </w:rPr>
              <w:t>通过一系列专业服务，进一步强化青少年思想引导、身心健康、社会参与融入、权益维护和社会保障、违法犯罪预防等方面的工作，</w:t>
            </w:r>
            <w:r>
              <w:rPr>
                <w:rFonts w:ascii="仿宋_GB2312" w:hAnsi="仿宋_GB2312" w:cs="仿宋_GB2312" w:eastAsia="仿宋_GB2312"/>
                <w:sz w:val="28"/>
              </w:rPr>
              <w:t>有效满足青少年的个性化社会服务需求，同时</w:t>
            </w:r>
            <w:r>
              <w:rPr>
                <w:rFonts w:ascii="仿宋_GB2312" w:hAnsi="仿宋_GB2312" w:cs="仿宋_GB2312" w:eastAsia="仿宋_GB2312"/>
                <w:sz w:val="28"/>
              </w:rPr>
              <w:t>重点打造具</w:t>
            </w:r>
            <w:r>
              <w:rPr>
                <w:rFonts w:ascii="仿宋_GB2312" w:hAnsi="仿宋_GB2312" w:cs="仿宋_GB2312" w:eastAsia="仿宋_GB2312"/>
                <w:sz w:val="28"/>
              </w:rPr>
              <w:t>有影响力、社会认同度高</w:t>
            </w:r>
            <w:r>
              <w:rPr>
                <w:rFonts w:ascii="仿宋_GB2312" w:hAnsi="仿宋_GB2312" w:cs="仿宋_GB2312" w:eastAsia="仿宋_GB2312"/>
                <w:sz w:val="28"/>
              </w:rPr>
              <w:t>的</w:t>
            </w:r>
            <w:r>
              <w:rPr>
                <w:rFonts w:ascii="仿宋_GB2312" w:hAnsi="仿宋_GB2312" w:cs="仿宋_GB2312" w:eastAsia="仿宋_GB2312"/>
                <w:sz w:val="28"/>
              </w:rPr>
              <w:t>示范</w:t>
            </w:r>
            <w:r>
              <w:rPr>
                <w:rFonts w:ascii="仿宋_GB2312" w:hAnsi="仿宋_GB2312" w:cs="仿宋_GB2312" w:eastAsia="仿宋_GB2312"/>
                <w:sz w:val="28"/>
              </w:rPr>
              <w:t>点项目，推动吉阳区青少年服务事业的稳步发展</w:t>
            </w:r>
            <w:r>
              <w:rPr>
                <w:rFonts w:ascii="仿宋_GB2312" w:hAnsi="仿宋_GB2312" w:cs="仿宋_GB2312" w:eastAsia="仿宋_GB2312"/>
                <w:sz w:val="28"/>
              </w:rPr>
              <w:t>。</w:t>
            </w:r>
          </w:p>
          <w:p>
            <w:pPr>
              <w:pStyle w:val="null3"/>
              <w:jc w:val="both"/>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服务内容</w:t>
            </w:r>
          </w:p>
          <w:p>
            <w:pPr>
              <w:pStyle w:val="null3"/>
              <w:jc w:val="both"/>
              <w:outlineLvl w:val="2"/>
            </w:pPr>
            <w:r>
              <w:rPr>
                <w:rFonts w:ascii="仿宋_GB2312" w:hAnsi="仿宋_GB2312" w:cs="仿宋_GB2312" w:eastAsia="仿宋_GB2312"/>
                <w:sz w:val="28"/>
                <w:b/>
              </w:rPr>
              <w:t>1.助推乡村振兴服务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团建+生态”，打好乡村振兴“绿色牌”。利用乡村振兴基地，组织寓教于乐的研学活动，增强青少年的自理能力、创新精神和实践能力，实现团的组织网络、工作力量、服务项目在青少年身边有形化、日常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2）“团建+扶贫”。积极整合社会资源，实施公益帮扶，不断提升关爱帮扶困难青少年、贫困户等群体服务力。</w:t>
            </w:r>
          </w:p>
          <w:p>
            <w:pPr>
              <w:pStyle w:val="null3"/>
              <w:ind w:firstLine="560"/>
              <w:jc w:val="both"/>
            </w:pPr>
            <w:r>
              <w:rPr>
                <w:rFonts w:ascii="仿宋_GB2312" w:hAnsi="仿宋_GB2312" w:cs="仿宋_GB2312" w:eastAsia="仿宋_GB2312"/>
                <w:sz w:val="28"/>
              </w:rPr>
              <w:t>2.党建带团建，党团共建服务</w:t>
            </w:r>
          </w:p>
          <w:p>
            <w:pPr>
              <w:pStyle w:val="null3"/>
              <w:ind w:firstLine="560"/>
              <w:jc w:val="both"/>
            </w:pPr>
            <w:r>
              <w:rPr>
                <w:rFonts w:ascii="仿宋_GB2312" w:hAnsi="仿宋_GB2312" w:cs="仿宋_GB2312" w:eastAsia="仿宋_GB2312"/>
                <w:sz w:val="28"/>
              </w:rPr>
              <w:t>强化青少年</w:t>
            </w:r>
            <w:r>
              <w:rPr>
                <w:rFonts w:ascii="仿宋_GB2312" w:hAnsi="仿宋_GB2312" w:cs="仿宋_GB2312" w:eastAsia="仿宋_GB2312"/>
                <w:sz w:val="28"/>
              </w:rPr>
              <w:t>的</w:t>
            </w:r>
            <w:r>
              <w:rPr>
                <w:rFonts w:ascii="仿宋_GB2312" w:hAnsi="仿宋_GB2312" w:cs="仿宋_GB2312" w:eastAsia="仿宋_GB2312"/>
                <w:sz w:val="28"/>
              </w:rPr>
              <w:t>思想引领</w:t>
            </w:r>
            <w:r>
              <w:rPr>
                <w:rFonts w:ascii="仿宋_GB2312" w:hAnsi="仿宋_GB2312" w:cs="仿宋_GB2312" w:eastAsia="仿宋_GB2312"/>
                <w:sz w:val="28"/>
              </w:rPr>
              <w:t>工作</w:t>
            </w:r>
            <w:r>
              <w:rPr>
                <w:rFonts w:ascii="仿宋_GB2312" w:hAnsi="仿宋_GB2312" w:cs="仿宋_GB2312" w:eastAsia="仿宋_GB2312"/>
                <w:sz w:val="28"/>
              </w:rPr>
              <w:t>，</w:t>
            </w:r>
            <w:r>
              <w:rPr>
                <w:rFonts w:ascii="仿宋_GB2312" w:hAnsi="仿宋_GB2312" w:cs="仿宋_GB2312" w:eastAsia="仿宋_GB2312"/>
                <w:sz w:val="28"/>
              </w:rPr>
              <w:t>在学校、社区等新兴青年聚集地广泛开展红色主题教育活动，</w:t>
            </w:r>
            <w:r>
              <w:rPr>
                <w:rFonts w:ascii="仿宋_GB2312" w:hAnsi="仿宋_GB2312" w:cs="仿宋_GB2312" w:eastAsia="仿宋_GB2312"/>
                <w:sz w:val="28"/>
              </w:rPr>
              <w:t>深入推进党史</w:t>
            </w:r>
            <w:r>
              <w:rPr>
                <w:rFonts w:ascii="仿宋_GB2312" w:hAnsi="仿宋_GB2312" w:cs="仿宋_GB2312" w:eastAsia="仿宋_GB2312"/>
                <w:sz w:val="28"/>
              </w:rPr>
              <w:t>、</w:t>
            </w:r>
            <w:r>
              <w:rPr>
                <w:rFonts w:ascii="仿宋_GB2312" w:hAnsi="仿宋_GB2312" w:cs="仿宋_GB2312" w:eastAsia="仿宋_GB2312"/>
                <w:sz w:val="28"/>
              </w:rPr>
              <w:t>团史</w:t>
            </w:r>
            <w:r>
              <w:rPr>
                <w:rFonts w:ascii="仿宋_GB2312" w:hAnsi="仿宋_GB2312" w:cs="仿宋_GB2312" w:eastAsia="仿宋_GB2312"/>
                <w:sz w:val="28"/>
              </w:rPr>
              <w:t>学习教育，以青春之名，传递</w:t>
            </w:r>
            <w:r>
              <w:rPr>
                <w:rFonts w:ascii="仿宋_GB2312" w:hAnsi="仿宋_GB2312" w:cs="仿宋_GB2312" w:eastAsia="仿宋_GB2312"/>
                <w:sz w:val="28"/>
              </w:rPr>
              <w:t>“精神火炬”。</w:t>
            </w:r>
            <w:r>
              <w:rPr>
                <w:rFonts w:ascii="仿宋_GB2312" w:hAnsi="仿宋_GB2312" w:cs="仿宋_GB2312" w:eastAsia="仿宋_GB2312"/>
                <w:sz w:val="28"/>
              </w:rPr>
              <w:t>广泛开展生动活泼党史、团史宣传教育、爱国主义教育，组织生活和实践活动，</w:t>
            </w:r>
            <w:r>
              <w:rPr>
                <w:rFonts w:ascii="仿宋_GB2312" w:hAnsi="仿宋_GB2312" w:cs="仿宋_GB2312" w:eastAsia="仿宋_GB2312"/>
                <w:sz w:val="28"/>
              </w:rPr>
              <w:t>引导</w:t>
            </w:r>
            <w:r>
              <w:rPr>
                <w:rFonts w:ascii="仿宋_GB2312" w:hAnsi="仿宋_GB2312" w:cs="仿宋_GB2312" w:eastAsia="仿宋_GB2312"/>
                <w:sz w:val="28"/>
              </w:rPr>
              <w:t>广大青少年对标榜样，学习先进、跟党奋斗，充分营造全社会崇尚学习的浓厚氛围。</w:t>
            </w:r>
            <w:r>
              <w:rPr>
                <w:rFonts w:ascii="仿宋_GB2312" w:hAnsi="仿宋_GB2312" w:cs="仿宋_GB2312" w:eastAsia="仿宋_GB2312"/>
                <w:sz w:val="28"/>
              </w:rPr>
              <w:t>包括组织团员青年参加网上</w:t>
            </w:r>
            <w:r>
              <w:rPr>
                <w:rFonts w:ascii="仿宋_GB2312" w:hAnsi="仿宋_GB2312" w:cs="仿宋_GB2312" w:eastAsia="仿宋_GB2312"/>
                <w:sz w:val="28"/>
              </w:rPr>
              <w:t>“青年大学习”，深入学习习近平新时代中国特色社会主义思想，</w:t>
            </w:r>
            <w:r>
              <w:rPr>
                <w:rFonts w:ascii="仿宋_GB2312" w:hAnsi="仿宋_GB2312" w:cs="仿宋_GB2312" w:eastAsia="仿宋_GB2312"/>
                <w:sz w:val="28"/>
              </w:rPr>
              <w:t>坚决做到党有号召，团有行动，</w:t>
            </w:r>
            <w:r>
              <w:rPr>
                <w:rFonts w:ascii="仿宋_GB2312" w:hAnsi="仿宋_GB2312" w:cs="仿宋_GB2312" w:eastAsia="仿宋_GB2312"/>
                <w:sz w:val="28"/>
              </w:rPr>
              <w:t>激发青少年爱国情怀、树立民族气节，</w:t>
            </w:r>
            <w:r>
              <w:rPr>
                <w:rFonts w:ascii="仿宋_GB2312" w:hAnsi="仿宋_GB2312" w:cs="仿宋_GB2312" w:eastAsia="仿宋_GB2312"/>
                <w:sz w:val="28"/>
              </w:rPr>
              <w:t>时刻彰显青年风采</w:t>
            </w:r>
            <w:r>
              <w:rPr>
                <w:rFonts w:ascii="仿宋_GB2312" w:hAnsi="仿宋_GB2312" w:cs="仿宋_GB2312" w:eastAsia="仿宋_GB2312"/>
                <w:sz w:val="28"/>
              </w:rPr>
              <w:t>。</w:t>
            </w:r>
          </w:p>
          <w:p>
            <w:pPr>
              <w:pStyle w:val="null3"/>
              <w:jc w:val="both"/>
              <w:outlineLvl w:val="2"/>
            </w:pPr>
            <w:r>
              <w:rPr>
                <w:rFonts w:ascii="仿宋_GB2312" w:hAnsi="仿宋_GB2312" w:cs="仿宋_GB2312" w:eastAsia="仿宋_GB2312"/>
                <w:sz w:val="28"/>
                <w:b/>
              </w:rPr>
              <w:t>3.“团委+社区+社会组织+社工+志愿者”五社联动社区志愿服务</w:t>
            </w:r>
          </w:p>
          <w:p>
            <w:pPr>
              <w:pStyle w:val="null3"/>
              <w:ind w:firstLine="560"/>
              <w:jc w:val="both"/>
            </w:pPr>
            <w:r>
              <w:rPr>
                <w:rFonts w:ascii="仿宋_GB2312" w:hAnsi="仿宋_GB2312" w:cs="仿宋_GB2312" w:eastAsia="仿宋_GB2312"/>
                <w:sz w:val="28"/>
              </w:rPr>
              <w:t>进一步弘扬</w:t>
            </w:r>
            <w:r>
              <w:rPr>
                <w:rFonts w:ascii="仿宋_GB2312" w:hAnsi="仿宋_GB2312" w:cs="仿宋_GB2312" w:eastAsia="仿宋_GB2312"/>
                <w:sz w:val="28"/>
              </w:rPr>
              <w:t>“奉献、友爱、互助、进步”的志愿精神，组织动员青年志愿者开展志愿服务，充分利用共青团“青年之家”、青少年活动阵地参与社区志愿服务，聚焦扶贫济困、扶老救孤、微心愿等，打造常态化志愿服务。</w:t>
            </w:r>
          </w:p>
          <w:p>
            <w:pPr>
              <w:pStyle w:val="null3"/>
              <w:ind w:firstLine="560"/>
              <w:jc w:val="both"/>
            </w:pPr>
            <w:r>
              <w:rPr>
                <w:rFonts w:ascii="仿宋_GB2312" w:hAnsi="仿宋_GB2312" w:cs="仿宋_GB2312" w:eastAsia="仿宋_GB2312"/>
                <w:sz w:val="28"/>
              </w:rPr>
              <w:t>4.团建引领校园，护航青少年服务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1）针对校园青少年开展安全教育，增强青少年安全意识，提高自护能力，护航青少年成长。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2）开展青少年犯罪预防宣传等工作，引导广大青少年树立正确的人生观、价值观、远离违法犯罪，提升青少年法治意识和法治观念，做到知法懂法守法。</w:t>
            </w:r>
          </w:p>
          <w:p>
            <w:pPr>
              <w:pStyle w:val="null3"/>
              <w:ind w:firstLine="560"/>
              <w:jc w:val="both"/>
            </w:pPr>
            <w:r>
              <w:rPr>
                <w:rFonts w:ascii="仿宋_GB2312" w:hAnsi="仿宋_GB2312" w:cs="仿宋_GB2312" w:eastAsia="仿宋_GB2312"/>
                <w:sz w:val="28"/>
              </w:rPr>
              <w:t>5.关爱农村青少年服务</w:t>
            </w:r>
          </w:p>
          <w:p>
            <w:pPr>
              <w:pStyle w:val="null3"/>
              <w:ind w:firstLine="560"/>
              <w:jc w:val="both"/>
            </w:pPr>
            <w:r>
              <w:rPr>
                <w:rFonts w:ascii="仿宋_GB2312" w:hAnsi="仿宋_GB2312" w:cs="仿宋_GB2312" w:eastAsia="仿宋_GB2312"/>
                <w:sz w:val="28"/>
              </w:rPr>
              <w:t>进一步加强农村团的基层组织建设，不断提高团的吸引力和凝聚力，扩大团的工作有效覆盖，开展基础团组织活动，深入推进农村区域化团建工作，进一步夯实农村共青团的组织基础，扩大有效覆盖。</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1）主动了解农村青少年所需所盼，整合社会资源，凝聚社会力量，帮助贫困青少年及农村留守儿童实现愿望、放飞梦想，让更多的青少年感受爱、懂得爱、传承爱，树立自强自立的生活态度。</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2）开展农村返乡大学生座谈会、四点半课堂、传统节日主题团日活动，筑牢团组织基础，增强团组织活力。</w:t>
            </w:r>
          </w:p>
          <w:p>
            <w:pPr>
              <w:pStyle w:val="null3"/>
              <w:jc w:val="both"/>
              <w:outlineLvl w:val="2"/>
            </w:pPr>
            <w:r>
              <w:rPr>
                <w:rFonts w:ascii="仿宋_GB2312" w:hAnsi="仿宋_GB2312" w:cs="仿宋_GB2312" w:eastAsia="仿宋_GB2312"/>
                <w:sz w:val="28"/>
                <w:b/>
              </w:rPr>
              <w:t>6.社区参与服务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1）结合青年需求、区域实际，联系区域内社会单位、有效聚拢青年社会组织，推动“青年之家”作为区域化团建的组织平台。</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落实</w:t>
            </w:r>
            <w:r>
              <w:rPr>
                <w:rFonts w:ascii="仿宋_GB2312" w:hAnsi="仿宋_GB2312" w:cs="仿宋_GB2312" w:eastAsia="仿宋_GB2312"/>
                <w:sz w:val="28"/>
              </w:rPr>
              <w:t>“我为群众办实事”</w:t>
            </w:r>
            <w:r>
              <w:rPr>
                <w:rFonts w:ascii="仿宋_GB2312" w:hAnsi="仿宋_GB2312" w:cs="仿宋_GB2312" w:eastAsia="仿宋_GB2312"/>
                <w:sz w:val="28"/>
              </w:rPr>
              <w:t>“</w:t>
            </w:r>
            <w:r>
              <w:rPr>
                <w:rFonts w:ascii="仿宋_GB2312" w:hAnsi="仿宋_GB2312" w:cs="仿宋_GB2312" w:eastAsia="仿宋_GB2312"/>
                <w:sz w:val="28"/>
              </w:rPr>
              <w:t>我为青年</w:t>
            </w:r>
            <w:r>
              <w:rPr>
                <w:rFonts w:ascii="仿宋_GB2312" w:hAnsi="仿宋_GB2312" w:cs="仿宋_GB2312" w:eastAsia="仿宋_GB2312"/>
                <w:sz w:val="28"/>
              </w:rPr>
              <w:t>办实事</w:t>
            </w:r>
            <w:r>
              <w:rPr>
                <w:rFonts w:ascii="仿宋_GB2312" w:hAnsi="仿宋_GB2312" w:cs="仿宋_GB2312" w:eastAsia="仿宋_GB2312"/>
                <w:sz w:val="28"/>
              </w:rPr>
              <w:t>”等</w:t>
            </w:r>
            <w:r>
              <w:rPr>
                <w:rFonts w:ascii="仿宋_GB2312" w:hAnsi="仿宋_GB2312" w:cs="仿宋_GB2312" w:eastAsia="仿宋_GB2312"/>
                <w:sz w:val="28"/>
              </w:rPr>
              <w:t>主题实践，</w:t>
            </w:r>
            <w:r>
              <w:rPr>
                <w:rFonts w:ascii="仿宋_GB2312" w:hAnsi="仿宋_GB2312" w:cs="仿宋_GB2312" w:eastAsia="仿宋_GB2312"/>
                <w:sz w:val="28"/>
              </w:rPr>
              <w:t>帮助</w:t>
            </w:r>
            <w:r>
              <w:rPr>
                <w:rFonts w:ascii="仿宋_GB2312" w:hAnsi="仿宋_GB2312" w:cs="仿宋_GB2312" w:eastAsia="仿宋_GB2312"/>
                <w:sz w:val="28"/>
              </w:rPr>
              <w:t>青年主动融入</w:t>
            </w:r>
            <w:r>
              <w:rPr>
                <w:rFonts w:ascii="仿宋_GB2312" w:hAnsi="仿宋_GB2312" w:cs="仿宋_GB2312" w:eastAsia="仿宋_GB2312"/>
                <w:sz w:val="28"/>
              </w:rPr>
              <w:t>“大团建”体系、构建“大平台”格局、建立“大社交”网络，积极为广大青年创造机会</w:t>
            </w:r>
            <w:r>
              <w:rPr>
                <w:rFonts w:ascii="仿宋_GB2312" w:hAnsi="仿宋_GB2312" w:cs="仿宋_GB2312" w:eastAsia="仿宋_GB2312"/>
                <w:sz w:val="28"/>
              </w:rPr>
              <w:t>，</w:t>
            </w:r>
            <w:r>
              <w:rPr>
                <w:rFonts w:ascii="仿宋_GB2312" w:hAnsi="仿宋_GB2312" w:cs="仿宋_GB2312" w:eastAsia="仿宋_GB2312"/>
                <w:sz w:val="28"/>
              </w:rPr>
              <w:t>提供平台，拓展交际圈。</w:t>
            </w:r>
          </w:p>
          <w:p>
            <w:pPr>
              <w:pStyle w:val="null3"/>
              <w:jc w:val="both"/>
              <w:outlineLvl w:val="2"/>
            </w:pPr>
            <w:r>
              <w:rPr>
                <w:rFonts w:ascii="仿宋_GB2312" w:hAnsi="仿宋_GB2312" w:cs="仿宋_GB2312" w:eastAsia="仿宋_GB2312"/>
                <w:sz w:val="28"/>
                <w:b/>
              </w:rPr>
              <w:t>7.传统节日文化服务</w:t>
            </w:r>
          </w:p>
          <w:p>
            <w:pPr>
              <w:pStyle w:val="null3"/>
              <w:ind w:firstLine="560"/>
              <w:jc w:val="both"/>
            </w:pPr>
            <w:r>
              <w:rPr>
                <w:rFonts w:ascii="仿宋_GB2312" w:hAnsi="仿宋_GB2312" w:cs="仿宋_GB2312" w:eastAsia="仿宋_GB2312"/>
                <w:sz w:val="28"/>
              </w:rPr>
              <w:t>结合中华传统节日大力弘扬民族传统文化，丰富广大青少年文化生活，使传统节日焕发新的活力，培养和树立广大青少年对中华优秀传统文化的认同感、自豪感和家国情怀。</w:t>
            </w:r>
          </w:p>
          <w:p>
            <w:pPr>
              <w:pStyle w:val="null3"/>
              <w:ind w:firstLine="560"/>
              <w:jc w:val="both"/>
            </w:pPr>
            <w:r>
              <w:rPr>
                <w:rFonts w:ascii="仿宋_GB2312" w:hAnsi="仿宋_GB2312" w:cs="仿宋_GB2312" w:eastAsia="仿宋_GB2312"/>
                <w:sz w:val="28"/>
              </w:rPr>
              <w:t>8.青少年公益成长服务</w:t>
            </w:r>
          </w:p>
          <w:p>
            <w:pPr>
              <w:pStyle w:val="null3"/>
              <w:ind w:firstLine="560"/>
              <w:jc w:val="left"/>
            </w:pPr>
            <w:r>
              <w:rPr>
                <w:rFonts w:ascii="仿宋_GB2312" w:hAnsi="仿宋_GB2312" w:cs="仿宋_GB2312" w:eastAsia="仿宋_GB2312"/>
                <w:sz w:val="28"/>
              </w:rPr>
              <w:t>组织辖区青少年开展各种教育、康乐及社会体验活动，充实青少年的业余生活，协助青少年建立良好的社会支持系统，锻炼青少年人际交往。促进青少年社会实践能力提升，提升青少年的自信心和自尊心，营造健康、快乐、安全的成长环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rPr>
              <w:t>附件清单：</w:t>
            </w:r>
          </w:p>
          <w:tbl>
            <w:tblPr>
              <w:tblBorders>
                <w:top w:val="none" w:color="000000" w:sz="4"/>
                <w:left w:val="none" w:color="000000" w:sz="4"/>
                <w:bottom w:val="none" w:color="000000" w:sz="4"/>
                <w:right w:val="none" w:color="000000" w:sz="4"/>
                <w:insideH w:val="none"/>
                <w:insideV w:val="none"/>
              </w:tblBorders>
            </w:tblPr>
            <w:tblGrid>
              <w:gridCol w:w="482"/>
              <w:gridCol w:w="237"/>
              <w:gridCol w:w="203"/>
              <w:gridCol w:w="241"/>
              <w:gridCol w:w="245"/>
              <w:gridCol w:w="1134"/>
            </w:tblGrid>
            <w:tr>
              <w:tc>
                <w:tcPr>
                  <w:tcW w:type="dxa" w:w="4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服务内容</w:t>
                  </w:r>
                </w:p>
              </w:tc>
              <w:tc>
                <w:tcPr>
                  <w:tcW w:type="dxa" w:w="23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分类</w:t>
                  </w:r>
                </w:p>
              </w:tc>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名称</w:t>
                  </w:r>
                </w:p>
              </w:tc>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数量</w:t>
                  </w:r>
                </w:p>
              </w:tc>
              <w:tc>
                <w:tcPr>
                  <w:tcW w:type="dxa" w:w="2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合计</w:t>
                  </w:r>
                </w:p>
              </w:tc>
              <w:tc>
                <w:tcPr>
                  <w:tcW w:type="dxa" w:w="11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b/>
                    </w:rPr>
                    <w:t>备注</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助推乡村振兴服务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乡村</w:t>
                  </w:r>
                </w:p>
                <w:p>
                  <w:pPr>
                    <w:pStyle w:val="null3"/>
                    <w:jc w:val="center"/>
                  </w:pPr>
                  <w:r>
                    <w:rPr>
                      <w:rFonts w:ascii="仿宋_GB2312" w:hAnsi="仿宋_GB2312" w:cs="仿宋_GB2312" w:eastAsia="仿宋_GB2312"/>
                      <w:sz w:val="28"/>
                    </w:rPr>
                    <w:t>振兴</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20场</w:t>
                  </w:r>
                </w:p>
              </w:tc>
              <w:tc>
                <w:tcPr>
                  <w:tcW w:type="dxa" w:w="2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活动不少于</w:t>
                  </w:r>
                  <w:r>
                    <w:rPr>
                      <w:rFonts w:ascii="仿宋_GB2312" w:hAnsi="仿宋_GB2312" w:cs="仿宋_GB2312" w:eastAsia="仿宋_GB2312"/>
                      <w:sz w:val="28"/>
                    </w:rPr>
                    <w:t>320场，其中大型活动不少于5场。</w:t>
                  </w: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结合乡村振兴开展青少年研学、农村扶贫、公益帮扶等。</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党建带团建，党团共建服务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党史、团史</w:t>
                  </w:r>
                </w:p>
                <w:p>
                  <w:pPr>
                    <w:pStyle w:val="null3"/>
                    <w:jc w:val="center"/>
                  </w:pPr>
                  <w:r>
                    <w:rPr>
                      <w:rFonts w:ascii="仿宋_GB2312" w:hAnsi="仿宋_GB2312" w:cs="仿宋_GB2312" w:eastAsia="仿宋_GB2312"/>
                      <w:sz w:val="28"/>
                    </w:rPr>
                    <w:t>教育</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开展传承党史、团史教育、红色文化学习、青年大学习，培养青少年的爱国情怀。</w:t>
                  </w:r>
                </w:p>
              </w:tc>
            </w:tr>
            <w:tr>
              <w:tc>
                <w:tcPr>
                  <w:tcW w:type="dxa" w:w="48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“团委+社区+社会组织+社工+志愿者”五社联动社区志愿服务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志愿</w:t>
                  </w:r>
                </w:p>
                <w:p>
                  <w:pPr>
                    <w:pStyle w:val="null3"/>
                    <w:jc w:val="center"/>
                  </w:pPr>
                  <w:r>
                    <w:rPr>
                      <w:rFonts w:ascii="仿宋_GB2312" w:hAnsi="仿宋_GB2312" w:cs="仿宋_GB2312" w:eastAsia="仿宋_GB2312"/>
                      <w:sz w:val="28"/>
                    </w:rPr>
                    <w:t>行动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开展志愿服务活动，丰富青年之家阵地。</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志愿</w:t>
                  </w:r>
                </w:p>
                <w:p>
                  <w:pPr>
                    <w:pStyle w:val="null3"/>
                    <w:jc w:val="center"/>
                  </w:pPr>
                  <w:r>
                    <w:rPr>
                      <w:rFonts w:ascii="仿宋_GB2312" w:hAnsi="仿宋_GB2312" w:cs="仿宋_GB2312" w:eastAsia="仿宋_GB2312"/>
                      <w:sz w:val="28"/>
                    </w:rPr>
                    <w:t>服务</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服务</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不限</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协助团委工作安排，招募青年志愿者参与志愿服务时长不少于</w:t>
                  </w:r>
                  <w:r>
                    <w:rPr>
                      <w:rFonts w:ascii="仿宋_GB2312" w:hAnsi="仿宋_GB2312" w:cs="仿宋_GB2312" w:eastAsia="仿宋_GB2312"/>
                      <w:sz w:val="28"/>
                    </w:rPr>
                    <w:t>600小时。</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团建引领校园，护航青少年服务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青春自护、法制教育</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55场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开展禁毒防艾、防性侵、犯罪预防宣传等安全教育服务。</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关爱农村</w:t>
                  </w:r>
                </w:p>
                <w:p>
                  <w:pPr>
                    <w:pStyle w:val="null3"/>
                    <w:jc w:val="center"/>
                  </w:pPr>
                  <w:r>
                    <w:rPr>
                      <w:rFonts w:ascii="仿宋_GB2312" w:hAnsi="仿宋_GB2312" w:cs="仿宋_GB2312" w:eastAsia="仿宋_GB2312"/>
                      <w:sz w:val="28"/>
                    </w:rPr>
                    <w:t>青少年服务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农村基层团组织建设</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50场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为贫困青少年提供圆梦帮扶、返乡大学生服务、四点半课堂、传统节日主题团日活动服务。</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社区参与服务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青年</w:t>
                  </w:r>
                </w:p>
                <w:p>
                  <w:pPr>
                    <w:pStyle w:val="null3"/>
                    <w:jc w:val="center"/>
                  </w:pPr>
                  <w:r>
                    <w:rPr>
                      <w:rFonts w:ascii="仿宋_GB2312" w:hAnsi="仿宋_GB2312" w:cs="仿宋_GB2312" w:eastAsia="仿宋_GB2312"/>
                      <w:sz w:val="28"/>
                    </w:rPr>
                    <w:t>行动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20场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开展整合社会组织、为群众、为青年办实事，建立社交网络。</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传统节日文化服务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传统节日活动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15场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培养和树立青少年认知传统、尊重传统、继承传统、弘扬传统的思想观念，增进青少年对中华优秀传统文化的认同感和自豪感。</w:t>
                  </w:r>
                </w:p>
              </w:tc>
            </w:tr>
            <w:tr>
              <w:tc>
                <w:tcPr>
                  <w:tcW w:type="dxa" w:w="48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青少年公益</w:t>
                  </w:r>
                </w:p>
                <w:p>
                  <w:pPr>
                    <w:pStyle w:val="null3"/>
                    <w:jc w:val="center"/>
                  </w:pPr>
                  <w:r>
                    <w:rPr>
                      <w:rFonts w:ascii="仿宋_GB2312" w:hAnsi="仿宋_GB2312" w:cs="仿宋_GB2312" w:eastAsia="仿宋_GB2312"/>
                      <w:sz w:val="28"/>
                    </w:rPr>
                    <w:t>成长服务</w:t>
                  </w: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爱国教育活动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60场</w:t>
                  </w: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提升青少年的爱国主义情怀和感恩之心。</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社会体验活动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以参与社会体验的方式，提升青少年的动手、动脑、敢于表达和朋辈交往的能力，如开展体育、竞技类活动或夏令营等。</w:t>
                  </w:r>
                </w:p>
              </w:tc>
            </w:tr>
            <w:tr>
              <w:tc>
                <w:tcPr>
                  <w:tcW w:type="dxa" w:w="482"/>
                  <w:vMerge/>
                  <w:tcBorders>
                    <w:top w:val="none" w:color="000000" w:sz="4"/>
                    <w:left w:val="single" w:color="000000" w:sz="4"/>
                    <w:bottom w:val="single" w:color="000000" w:sz="4"/>
                    <w:right w:val="single" w:color="000000" w:sz="4"/>
                  </w:tcBorders>
                </w:tcPr>
                <w:p/>
              </w:tc>
              <w:tc>
                <w:tcPr>
                  <w:tcW w:type="dxa" w:w="23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传统文化活动</w:t>
                  </w:r>
                </w:p>
              </w:tc>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活动</w:t>
                  </w:r>
                </w:p>
              </w:tc>
              <w:tc>
                <w:tcPr>
                  <w:tcW w:type="dxa" w:w="241"/>
                  <w:vMerge/>
                  <w:tcBorders>
                    <w:top w:val="none" w:color="000000" w:sz="4"/>
                    <w:left w:val="single" w:color="000000" w:sz="4"/>
                    <w:bottom w:val="single" w:color="000000" w:sz="4"/>
                    <w:right w:val="single" w:color="000000" w:sz="4"/>
                  </w:tcBorders>
                </w:tcPr>
                <w:p/>
              </w:tc>
              <w:tc>
                <w:tcPr>
                  <w:tcW w:type="dxa" w:w="245"/>
                  <w:vMerge/>
                  <w:tcBorders>
                    <w:top w:val="none" w:color="000000" w:sz="4"/>
                    <w:left w:val="single" w:color="000000" w:sz="4"/>
                    <w:bottom w:val="single" w:color="000000" w:sz="4"/>
                    <w:right w:val="single" w:color="000000" w:sz="4"/>
                  </w:tcBorders>
                </w:tcP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rPr>
                    <w:t>加深青少年对传统文化的认识与了解，丰富时代精神，提升民族个性，如开展非遗文化学习等。</w:t>
                  </w:r>
                </w:p>
              </w:tc>
            </w:tr>
            <w:tr>
              <w:tc>
                <w:tcPr>
                  <w:tcW w:type="dxa" w:w="4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团组织系统服务</w:t>
                  </w:r>
                </w:p>
              </w:tc>
              <w:tc>
                <w:tcPr>
                  <w:tcW w:type="dxa" w:w="926"/>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8"/>
                    </w:rPr>
                    <w:t>基层团组织规范化建设</w:t>
                  </w:r>
                </w:p>
              </w:tc>
              <w:tc>
                <w:tcPr>
                  <w:tcW w:type="dxa" w:w="11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28"/>
                    </w:rPr>
                    <w:t>建立完善</w:t>
                  </w:r>
                  <w:r>
                    <w:rPr>
                      <w:rFonts w:ascii="仿宋_GB2312" w:hAnsi="仿宋_GB2312" w:cs="仿宋_GB2312" w:eastAsia="仿宋_GB2312"/>
                      <w:sz w:val="28"/>
                    </w:rPr>
                    <w:t>“团干部+社工”的工作机制，优化吉阳区41个村、社区的基层团组织工作，扩大基层的工作有效覆盖（配合村、社区团支部掌握团员队伍的数量、分布、及流向，搞好团员登记、统计工作、管理团员档案；活动台账的管理，基层团务档案管理，建立健全“五盒一册”。</w:t>
                  </w:r>
                </w:p>
                <w:p>
                  <w:pPr>
                    <w:pStyle w:val="null3"/>
                    <w:numPr>
                      <w:ilvl w:val="0"/>
                      <w:numId w:val="1"/>
                    </w:numPr>
                    <w:jc w:val="left"/>
                  </w:pPr>
                  <w:r>
                    <w:rPr>
                      <w:rFonts w:ascii="仿宋_GB2312" w:hAnsi="仿宋_GB2312" w:cs="仿宋_GB2312" w:eastAsia="仿宋_GB2312"/>
                      <w:sz w:val="28"/>
                    </w:rPr>
                    <w:t>丰富青少年及居民群众的日常生活，促进团员青年参与社会服务的同时进一步凝聚青年、团结青年、活跃青年，实现社会融入，提升个人价值，增强基层组织的服务力。</w:t>
                  </w:r>
                </w:p>
                <w:p>
                  <w:pPr>
                    <w:pStyle w:val="null3"/>
                    <w:numPr>
                      <w:ilvl w:val="0"/>
                      <w:numId w:val="1"/>
                    </w:numPr>
                    <w:jc w:val="left"/>
                  </w:pPr>
                  <w:r>
                    <w:rPr>
                      <w:rFonts w:ascii="仿宋_GB2312" w:hAnsi="仿宋_GB2312" w:cs="仿宋_GB2312" w:eastAsia="仿宋_GB2312"/>
                      <w:sz w:val="28"/>
                    </w:rPr>
                    <w:t>协助和配合团吉阳区委开展日常各项工作，根据实际需要，协助开展圆梦行动工作，协助重大政策、事件的及时发布及了解，协助开展落实团市委、团区委的有关工作部署和相关要求。</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outlineLvl w:val="1"/>
            </w:pPr>
            <w:r>
              <w:rPr>
                <w:rFonts w:ascii="仿宋_GB2312" w:hAnsi="仿宋_GB2312" w:cs="仿宋_GB2312" w:eastAsia="仿宋_GB2312"/>
                <w:sz w:val="28"/>
                <w:b/>
              </w:rPr>
              <w:t>（一）资金结算方式</w:t>
            </w:r>
          </w:p>
          <w:p>
            <w:pPr>
              <w:pStyle w:val="null3"/>
              <w:ind w:firstLine="560"/>
              <w:jc w:val="both"/>
            </w:pPr>
            <w:r>
              <w:rPr>
                <w:rFonts w:ascii="仿宋_GB2312" w:hAnsi="仿宋_GB2312" w:cs="仿宋_GB2312" w:eastAsia="仿宋_GB2312"/>
                <w:sz w:val="28"/>
                <w:color w:val="000000"/>
              </w:rPr>
              <w:t>1.付款方式</w:t>
            </w:r>
          </w:p>
          <w:p>
            <w:pPr>
              <w:pStyle w:val="null3"/>
              <w:ind w:firstLine="560"/>
              <w:jc w:val="both"/>
            </w:pPr>
            <w:r>
              <w:rPr>
                <w:rFonts w:ascii="仿宋_GB2312" w:hAnsi="仿宋_GB2312" w:cs="仿宋_GB2312" w:eastAsia="仿宋_GB2312"/>
                <w:sz w:val="28"/>
                <w:color w:val="000000"/>
              </w:rPr>
              <w:t>根据项目计划进度安排，分三期支付。</w:t>
            </w:r>
          </w:p>
          <w:p>
            <w:pPr>
              <w:pStyle w:val="null3"/>
              <w:ind w:firstLine="562"/>
              <w:jc w:val="both"/>
            </w:pPr>
            <w:r>
              <w:rPr>
                <w:rFonts w:ascii="仿宋_GB2312" w:hAnsi="仿宋_GB2312" w:cs="仿宋_GB2312" w:eastAsia="仿宋_GB2312"/>
                <w:sz w:val="28"/>
                <w:b/>
                <w:color w:val="000000"/>
              </w:rPr>
              <w:t>首次付款：</w:t>
            </w:r>
            <w:r>
              <w:rPr>
                <w:rFonts w:ascii="仿宋_GB2312" w:hAnsi="仿宋_GB2312" w:cs="仿宋_GB2312" w:eastAsia="仿宋_GB2312"/>
                <w:sz w:val="28"/>
                <w:color w:val="000000"/>
              </w:rPr>
              <w:t>合同签订且乙方开始履行义务后</w:t>
            </w:r>
            <w:r>
              <w:rPr>
                <w:rFonts w:ascii="仿宋_GB2312" w:hAnsi="仿宋_GB2312" w:cs="仿宋_GB2312" w:eastAsia="仿宋_GB2312"/>
                <w:sz w:val="28"/>
                <w:color w:val="000000"/>
              </w:rPr>
              <w:t>30个工作日内，甲方支付协议总金额的60%；</w:t>
            </w:r>
          </w:p>
          <w:p>
            <w:pPr>
              <w:pStyle w:val="null3"/>
              <w:ind w:firstLine="562"/>
              <w:jc w:val="both"/>
            </w:pPr>
            <w:r>
              <w:rPr>
                <w:rFonts w:ascii="仿宋_GB2312" w:hAnsi="仿宋_GB2312" w:cs="仿宋_GB2312" w:eastAsia="仿宋_GB2312"/>
                <w:sz w:val="28"/>
                <w:b/>
                <w:color w:val="000000"/>
              </w:rPr>
              <w:t>中期付款：</w:t>
            </w:r>
            <w:r>
              <w:rPr>
                <w:rFonts w:ascii="仿宋_GB2312" w:hAnsi="仿宋_GB2312" w:cs="仿宋_GB2312" w:eastAsia="仿宋_GB2312"/>
                <w:sz w:val="28"/>
                <w:color w:val="000000"/>
              </w:rPr>
              <w:t>协议履行</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u w:val="single"/>
              </w:rPr>
              <w:t xml:space="preserve">6 </w:t>
            </w:r>
            <w:r>
              <w:rPr>
                <w:rFonts w:ascii="仿宋_GB2312" w:hAnsi="仿宋_GB2312" w:cs="仿宋_GB2312" w:eastAsia="仿宋_GB2312"/>
                <w:sz w:val="28"/>
                <w:color w:val="000000"/>
              </w:rPr>
              <w:t>个月后，由甲方指定第三方评估机构进行中期评估，中期评估结果为中等（含中等）及以上的</w:t>
            </w:r>
            <w:r>
              <w:rPr>
                <w:rFonts w:ascii="仿宋_GB2312" w:hAnsi="仿宋_GB2312" w:cs="仿宋_GB2312" w:eastAsia="仿宋_GB2312"/>
                <w:sz w:val="28"/>
                <w:color w:val="000000"/>
              </w:rPr>
              <w:t>”的，甲方在评估报告出具后30个工作日内，支付合同总价款的20%。如评估结果为“合格（含合格）及以下的”，甲方要求乙方整改，整改期限不得超过一个月；如整改后还未到达标准的，甲乙双方进行实际结算，乙方要将甲方已经支付费用与实际发生费用的差额退回甲方，合同终止；</w:t>
            </w:r>
          </w:p>
          <w:p>
            <w:pPr>
              <w:pStyle w:val="null3"/>
              <w:ind w:firstLine="562"/>
              <w:jc w:val="both"/>
            </w:pPr>
            <w:r>
              <w:rPr>
                <w:rFonts w:ascii="仿宋_GB2312" w:hAnsi="仿宋_GB2312" w:cs="仿宋_GB2312" w:eastAsia="仿宋_GB2312"/>
                <w:sz w:val="28"/>
                <w:b/>
                <w:color w:val="000000"/>
              </w:rPr>
              <w:t>末期付款：</w:t>
            </w:r>
            <w:r>
              <w:rPr>
                <w:rFonts w:ascii="仿宋_GB2312" w:hAnsi="仿宋_GB2312" w:cs="仿宋_GB2312" w:eastAsia="仿宋_GB2312"/>
                <w:sz w:val="28"/>
                <w:color w:val="000000"/>
              </w:rPr>
              <w:t>乙方完成项目后，甲方指定第三方评估机构进行期末评估，期末评估结果为</w:t>
            </w:r>
            <w:r>
              <w:rPr>
                <w:rFonts w:ascii="仿宋_GB2312" w:hAnsi="仿宋_GB2312" w:cs="仿宋_GB2312" w:eastAsia="仿宋_GB2312"/>
                <w:sz w:val="28"/>
                <w:color w:val="000000"/>
              </w:rPr>
              <w:t>“中等（含中等）及以上的”的，甲方在评估报告出具后15个工作日内，支付余下协议总金额的20%。如期末评估结果为“合格（含合格）及以下的”，甲方要求乙方整改，整改期限不得超过两个月；如整改后还不合格的，协议终止，尾款不予结算。同时，乙方要将甲方已经支付费用与实际发生费用的差额退回甲方。</w:t>
            </w:r>
          </w:p>
          <w:p>
            <w:pPr>
              <w:pStyle w:val="null3"/>
              <w:ind w:firstLine="560"/>
              <w:jc w:val="both"/>
            </w:pPr>
            <w:r>
              <w:rPr>
                <w:rFonts w:ascii="仿宋_GB2312" w:hAnsi="仿宋_GB2312" w:cs="仿宋_GB2312" w:eastAsia="仿宋_GB2312"/>
                <w:sz w:val="28"/>
                <w:color w:val="000000"/>
              </w:rPr>
              <w:t>2.每次支付前，乙方需要提供符合当期金额的正规发票（含税）以及请款申请，甲方收到相应金额的正式发票（含税）后在约定的时间内将相应款项转入乙方指定账户。</w:t>
            </w:r>
          </w:p>
          <w:p>
            <w:pPr>
              <w:pStyle w:val="null3"/>
              <w:jc w:val="both"/>
              <w:outlineLvl w:val="1"/>
            </w:pPr>
            <w:r>
              <w:rPr>
                <w:rFonts w:ascii="仿宋_GB2312" w:hAnsi="仿宋_GB2312" w:cs="仿宋_GB2312" w:eastAsia="仿宋_GB2312"/>
                <w:sz w:val="28"/>
                <w:b/>
              </w:rPr>
              <w:t>（二）评估方法及标准</w:t>
            </w:r>
          </w:p>
          <w:p>
            <w:pPr>
              <w:pStyle w:val="null3"/>
              <w:ind w:firstLine="560"/>
              <w:jc w:val="both"/>
            </w:pPr>
            <w:r>
              <w:rPr>
                <w:rFonts w:ascii="仿宋_GB2312" w:hAnsi="仿宋_GB2312" w:cs="仿宋_GB2312" w:eastAsia="仿宋_GB2312"/>
                <w:sz w:val="28"/>
                <w:color w:val="000000"/>
              </w:rPr>
              <w:t>1.评估方法：甲方将指派</w:t>
            </w:r>
            <w:r>
              <w:rPr>
                <w:rFonts w:ascii="仿宋_GB2312" w:hAnsi="仿宋_GB2312" w:cs="仿宋_GB2312" w:eastAsia="仿宋_GB2312"/>
                <w:sz w:val="28"/>
                <w:color w:val="000000"/>
              </w:rPr>
              <w:t>第三方评估机构，参照</w:t>
            </w:r>
            <w:r>
              <w:rPr>
                <w:rFonts w:ascii="仿宋_GB2312" w:hAnsi="仿宋_GB2312" w:cs="仿宋_GB2312" w:eastAsia="仿宋_GB2312"/>
                <w:sz w:val="28"/>
                <w:color w:val="000000"/>
              </w:rPr>
              <w:t>《三亚市政府购买社会工作服务项目效果中期评估指导标准》和《三亚市政府购买社会工作服务项目效果期末评估指导标准》以及合同</w:t>
            </w:r>
            <w:r>
              <w:rPr>
                <w:rFonts w:ascii="仿宋_GB2312" w:hAnsi="仿宋_GB2312" w:cs="仿宋_GB2312" w:eastAsia="仿宋_GB2312"/>
                <w:sz w:val="28"/>
                <w:color w:val="000000"/>
              </w:rPr>
              <w:t>服务项目质量标准和要求</w:t>
            </w:r>
            <w:r>
              <w:rPr>
                <w:rFonts w:ascii="仿宋_GB2312" w:hAnsi="仿宋_GB2312" w:cs="仿宋_GB2312" w:eastAsia="仿宋_GB2312"/>
                <w:sz w:val="28"/>
                <w:color w:val="000000"/>
              </w:rPr>
              <w:t>，逐项进行检查、评分和综合评价，并形成评估报告。</w:t>
            </w:r>
          </w:p>
          <w:p>
            <w:pPr>
              <w:pStyle w:val="null3"/>
              <w:ind w:firstLine="560"/>
              <w:jc w:val="both"/>
            </w:pPr>
            <w:r>
              <w:rPr>
                <w:rFonts w:ascii="仿宋_GB2312" w:hAnsi="仿宋_GB2312" w:cs="仿宋_GB2312" w:eastAsia="仿宋_GB2312"/>
                <w:sz w:val="28"/>
                <w:color w:val="000000"/>
              </w:rPr>
              <w:t>2.评估标准：评估结果采用百分制。中期评估中，专业服务、项目管理分值分别占60%、40%；期末评估中，专业服务、项目管理、服务成效分值各占50%、30%、20%。</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评估等次。综合评估结果分</w:t>
            </w:r>
            <w:r>
              <w:rPr>
                <w:rFonts w:ascii="仿宋_GB2312" w:hAnsi="仿宋_GB2312" w:cs="仿宋_GB2312" w:eastAsia="仿宋_GB2312"/>
                <w:sz w:val="28"/>
              </w:rPr>
              <w:t>5个等次，90分及以上的为优秀，80分及以上、90分以下的为良好，70分及以上、80分以下的为中等，60分及以上、70分以下的为合格，60分以下的为不合格。</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奖惩。</w:t>
            </w:r>
            <w:r>
              <w:rPr>
                <w:rFonts w:ascii="仿宋_GB2312" w:hAnsi="仿宋_GB2312" w:cs="仿宋_GB2312" w:eastAsia="仿宋_GB2312"/>
                <w:sz w:val="28"/>
                <w:b/>
              </w:rPr>
              <w:t>期末评估结果为优秀和良好的，甲方在选择承接主体时，可在同等条件下给予乙方优先资格；</w:t>
            </w:r>
            <w:r>
              <w:rPr>
                <w:rFonts w:ascii="仿宋_GB2312" w:hAnsi="仿宋_GB2312" w:cs="仿宋_GB2312" w:eastAsia="仿宋_GB2312"/>
                <w:sz w:val="28"/>
              </w:rPr>
              <w:t>评估为合格的，责令其限期提出整改方案并进行整改；评估为不合格的，采取本合同约定方式扣减经费；由于任务未完成导致不合格的，服务提供机构要继续提供服务直至完成合同所约定全部任务，甲方不再另行支付任何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562"/>
              <w:jc w:val="both"/>
            </w:pPr>
            <w:r>
              <w:rPr>
                <w:rFonts w:ascii="仿宋_GB2312" w:hAnsi="仿宋_GB2312" w:cs="仿宋_GB2312" w:eastAsia="仿宋_GB2312"/>
                <w:sz w:val="28"/>
                <w:b/>
              </w:rPr>
              <w:t>（一）项目采购预算</w:t>
            </w:r>
            <w:r>
              <w:rPr>
                <w:rFonts w:ascii="仿宋_GB2312" w:hAnsi="仿宋_GB2312" w:cs="仿宋_GB2312" w:eastAsia="仿宋_GB2312"/>
                <w:sz w:val="28"/>
                <w:b/>
              </w:rPr>
              <w:t>：</w:t>
            </w:r>
            <w:r>
              <w:rPr>
                <w:rFonts w:ascii="仿宋_GB2312" w:hAnsi="仿宋_GB2312" w:cs="仿宋_GB2312" w:eastAsia="仿宋_GB2312"/>
                <w:sz w:val="28"/>
              </w:rPr>
              <w:t>300万（报价不得超出该预算）</w:t>
            </w:r>
          </w:p>
          <w:p>
            <w:pPr>
              <w:pStyle w:val="null3"/>
              <w:ind w:firstLine="562"/>
              <w:jc w:val="both"/>
            </w:pPr>
            <w:r>
              <w:rPr>
                <w:rFonts w:ascii="仿宋_GB2312" w:hAnsi="仿宋_GB2312" w:cs="仿宋_GB2312" w:eastAsia="仿宋_GB2312"/>
                <w:sz w:val="28"/>
                <w:b/>
              </w:rPr>
              <w:t>（二）服务期限</w:t>
            </w:r>
            <w:r>
              <w:rPr>
                <w:rFonts w:ascii="仿宋_GB2312" w:hAnsi="仿宋_GB2312" w:cs="仿宋_GB2312" w:eastAsia="仿宋_GB2312"/>
                <w:sz w:val="28"/>
                <w:b/>
              </w:rPr>
              <w:t>：</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1 </w:t>
            </w:r>
            <w:r>
              <w:rPr>
                <w:rFonts w:ascii="仿宋_GB2312" w:hAnsi="仿宋_GB2312" w:cs="仿宋_GB2312" w:eastAsia="仿宋_GB2312"/>
                <w:sz w:val="28"/>
              </w:rPr>
              <w:t>年</w:t>
            </w:r>
            <w:r>
              <w:rPr>
                <w:rFonts w:ascii="仿宋_GB2312" w:hAnsi="仿宋_GB2312" w:cs="仿宋_GB2312" w:eastAsia="仿宋_GB2312"/>
                <w:sz w:val="28"/>
              </w:rPr>
              <w:t>，</w:t>
            </w:r>
            <w:r>
              <w:rPr>
                <w:rFonts w:ascii="仿宋_GB2312" w:hAnsi="仿宋_GB2312" w:cs="仿宋_GB2312" w:eastAsia="仿宋_GB2312"/>
                <w:sz w:val="28"/>
              </w:rPr>
              <w:t>以签订合同之日起开始计算。</w:t>
            </w:r>
          </w:p>
          <w:p>
            <w:pPr>
              <w:pStyle w:val="null3"/>
              <w:ind w:firstLine="562"/>
              <w:jc w:val="both"/>
            </w:pPr>
            <w:r>
              <w:rPr>
                <w:rFonts w:ascii="仿宋_GB2312" w:hAnsi="仿宋_GB2312" w:cs="仿宋_GB2312" w:eastAsia="仿宋_GB2312"/>
                <w:sz w:val="28"/>
                <w:b/>
              </w:rPr>
              <w:t>（三）服务地点</w:t>
            </w:r>
            <w:r>
              <w:rPr>
                <w:rFonts w:ascii="仿宋_GB2312" w:hAnsi="仿宋_GB2312" w:cs="仿宋_GB2312" w:eastAsia="仿宋_GB2312"/>
                <w:sz w:val="28"/>
                <w:b/>
              </w:rPr>
              <w:t>：</w:t>
            </w:r>
            <w:r>
              <w:rPr>
                <w:rFonts w:ascii="仿宋_GB2312" w:hAnsi="仿宋_GB2312" w:cs="仿宋_GB2312" w:eastAsia="仿宋_GB2312"/>
                <w:sz w:val="28"/>
              </w:rPr>
              <w:t>三亚市吉阳区</w:t>
            </w:r>
            <w:r>
              <w:rPr>
                <w:rFonts w:ascii="仿宋_GB2312" w:hAnsi="仿宋_GB2312" w:cs="仿宋_GB2312" w:eastAsia="仿宋_GB2312"/>
                <w:sz w:val="28"/>
              </w:rPr>
              <w:t>41个村社区。</w:t>
            </w:r>
          </w:p>
          <w:p>
            <w:pPr>
              <w:pStyle w:val="null3"/>
              <w:ind w:firstLine="562"/>
              <w:jc w:val="both"/>
            </w:pPr>
            <w:r>
              <w:rPr>
                <w:rFonts w:ascii="仿宋_GB2312" w:hAnsi="仿宋_GB2312" w:cs="仿宋_GB2312" w:eastAsia="仿宋_GB2312"/>
                <w:sz w:val="28"/>
                <w:b/>
              </w:rPr>
              <w:t>（四）服务对象</w:t>
            </w:r>
            <w:r>
              <w:rPr>
                <w:rFonts w:ascii="仿宋_GB2312" w:hAnsi="仿宋_GB2312" w:cs="仿宋_GB2312" w:eastAsia="仿宋_GB2312"/>
                <w:sz w:val="28"/>
                <w:b/>
              </w:rPr>
              <w:t>：</w:t>
            </w:r>
            <w:r>
              <w:rPr>
                <w:rFonts w:ascii="仿宋_GB2312" w:hAnsi="仿宋_GB2312" w:cs="仿宋_GB2312" w:eastAsia="仿宋_GB2312"/>
                <w:sz w:val="28"/>
              </w:rPr>
              <w:t>惠及对象为吉阳区青少年。</w:t>
            </w:r>
          </w:p>
          <w:p>
            <w:pPr>
              <w:pStyle w:val="null3"/>
              <w:ind w:firstLine="562"/>
              <w:jc w:val="both"/>
            </w:pPr>
            <w:r>
              <w:rPr>
                <w:rFonts w:ascii="仿宋_GB2312" w:hAnsi="仿宋_GB2312" w:cs="仿宋_GB2312" w:eastAsia="仿宋_GB2312"/>
                <w:sz w:val="28"/>
                <w:b/>
              </w:rPr>
              <w:t>（五）项目拟配备人员</w:t>
            </w:r>
            <w:r>
              <w:rPr>
                <w:rFonts w:ascii="仿宋_GB2312" w:hAnsi="仿宋_GB2312" w:cs="仿宋_GB2312" w:eastAsia="仿宋_GB2312"/>
                <w:sz w:val="28"/>
                <w:b/>
              </w:rPr>
              <w:t>：</w:t>
            </w:r>
            <w:r>
              <w:rPr>
                <w:rFonts w:ascii="仿宋_GB2312" w:hAnsi="仿宋_GB2312" w:cs="仿宋_GB2312" w:eastAsia="仿宋_GB2312"/>
                <w:sz w:val="28"/>
              </w:rPr>
              <w:t>以购买服务的方式，配备</w:t>
            </w:r>
            <w:r>
              <w:rPr>
                <w:rFonts w:ascii="仿宋_GB2312" w:hAnsi="仿宋_GB2312" w:cs="仿宋_GB2312" w:eastAsia="仿宋_GB2312"/>
                <w:sz w:val="28"/>
              </w:rPr>
              <w:t>28名青少年事务社工分别服务吉阳区41个村社区，同时配备1名项目主任、1名督导，负责整个项目的实施督导，确保项目保质保量完成。</w:t>
            </w:r>
          </w:p>
          <w:p>
            <w:pPr>
              <w:pStyle w:val="null3"/>
              <w:ind w:firstLine="562"/>
              <w:jc w:val="both"/>
            </w:pPr>
            <w:r>
              <w:rPr>
                <w:rFonts w:ascii="仿宋_GB2312" w:hAnsi="仿宋_GB2312" w:cs="仿宋_GB2312" w:eastAsia="仿宋_GB2312"/>
                <w:sz w:val="28"/>
                <w:b/>
              </w:rPr>
              <w:t>（六）磋商有效期（响应有效期）</w:t>
            </w:r>
            <w:r>
              <w:rPr>
                <w:rFonts w:ascii="仿宋_GB2312" w:hAnsi="仿宋_GB2312" w:cs="仿宋_GB2312" w:eastAsia="仿宋_GB2312"/>
                <w:sz w:val="28"/>
                <w:b/>
              </w:rPr>
              <w:t>：</w:t>
            </w:r>
            <w:r>
              <w:rPr>
                <w:rFonts w:ascii="仿宋_GB2312" w:hAnsi="仿宋_GB2312" w:cs="仿宋_GB2312" w:eastAsia="仿宋_GB2312"/>
                <w:sz w:val="28"/>
              </w:rPr>
              <w:t>60日历天。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 诚信投标、诚信履约承诺书 政府采购供应商信用承诺书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无环保类行政处罚记录声明函 诚信投标、诚信履约承诺书 政府采购供应商信用承诺书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供应商无不良信用记录</w:t>
            </w:r>
          </w:p>
        </w:tc>
        <w:tc>
          <w:tcPr>
            <w:tcW w:type="dxa" w:w="3322"/>
          </w:tcPr>
          <w:p>
            <w:pPr>
              <w:pStyle w:val="null3"/>
              <w:jc w:val="left"/>
            </w:pPr>
            <w:r>
              <w:rPr>
                <w:rFonts w:ascii="仿宋_GB2312" w:hAnsi="仿宋_GB2312" w:cs="仿宋_GB2312" w:eastAsia="仿宋_GB2312"/>
              </w:rPr>
              <w:t>供应商必须为未被列入“信用中国”网站(www.creditchina.gov.cn)失信被执行人（信用中国或中国执行信息公开网查询）、政府采购严重违法失信行为记录名单、重大税收违法失信主体的供应商和中国政府采购网( www.ccgp.gov.cn ) 的“政府采购严重违法失信行为记录名单”的供应商。（供应商提供信用中国、中国政府采购网查询记录或提供信用承诺书加盖公章，格式自拟，信用中国、中国政府采购网查询记录代理机构现场查询核验）</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与参与本项目的其他供应商之间不存在关联关系</w:t>
            </w:r>
          </w:p>
        </w:tc>
        <w:tc>
          <w:tcPr>
            <w:tcW w:type="dxa" w:w="3322"/>
          </w:tcPr>
          <w:p>
            <w:pPr>
              <w:pStyle w:val="null3"/>
              <w:jc w:val="left"/>
            </w:pPr>
            <w:r>
              <w:rPr>
                <w:rFonts w:ascii="仿宋_GB2312" w:hAnsi="仿宋_GB2312" w:cs="仿宋_GB2312" w:eastAsia="仿宋_GB2312"/>
              </w:rPr>
              <w:t>单位负责人为同一人或者存在控股、管理关系的不同单位，不得同时参加本项目的磋商。（供应商提供与参与本项目的其他供应商之间不存在关联关系的声明）</w:t>
            </w:r>
          </w:p>
        </w:tc>
        <w:tc>
          <w:tcPr>
            <w:tcW w:type="dxa" w:w="1661"/>
          </w:tcPr>
          <w:p>
            <w:pPr>
              <w:pStyle w:val="null3"/>
              <w:jc w:val="left"/>
            </w:pPr>
            <w:r>
              <w:rPr>
                <w:rFonts w:ascii="仿宋_GB2312" w:hAnsi="仿宋_GB2312" w:cs="仿宋_GB2312" w:eastAsia="仿宋_GB2312"/>
              </w:rPr>
              <w:t>与参与本项目的其他投标人之间不存在关联关系的声明.</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政府采购供应商信用承诺书 自觉抵制政府采购领域商业贿赂行为承诺书 封面 商业信誉、财务会计制度、缴纳税收和社保的承诺函 与参与本项目的其他投标人之间不存在关联关系的声明. 具有独立承担民事责任的能力证明文件 供应商承诺函 供应商无不良信用记录 诚信投标、诚信履约承诺书 投标（响应）报价明细表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服务期限、服务地点须满足磋商文件要求。</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磋商有效期（响应有效期）须满足磋商文件要求。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 与参与本项目的其他投标人之间不存在关联关系的声明.</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需求调研</w:t>
            </w:r>
          </w:p>
        </w:tc>
        <w:tc>
          <w:tcPr>
            <w:tcW w:type="dxa" w:w="2492"/>
          </w:tcPr>
          <w:p>
            <w:pPr>
              <w:pStyle w:val="null3"/>
              <w:jc w:val="left"/>
            </w:pPr>
            <w:r>
              <w:rPr>
                <w:rFonts w:ascii="仿宋_GB2312" w:hAnsi="仿宋_GB2312" w:cs="仿宋_GB2312" w:eastAsia="仿宋_GB2312"/>
              </w:rPr>
              <w:t>供应商开展科学系统的项目需求调研，针对项目需求开展调研，形成需求调研报告。需求调研方案内容包含但不限于：①项目背景；②服务理念；③服务对象；④调查方法；⑤调研结果分析及建议。 1.需求调研方案涵盖上述5项内容，且满足或优于采购需求的得5分。 2.以上5项内容，每小项1分，每项因缺项扣1分，每有一处内容有缺陷扣0.5分，以上5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项目整体服务方案</w:t>
            </w:r>
          </w:p>
        </w:tc>
        <w:tc>
          <w:tcPr>
            <w:tcW w:type="dxa" w:w="2492"/>
          </w:tcPr>
          <w:p>
            <w:pPr>
              <w:pStyle w:val="null3"/>
              <w:jc w:val="left"/>
            </w:pPr>
            <w:r>
              <w:rPr>
                <w:rFonts w:ascii="仿宋_GB2312" w:hAnsi="仿宋_GB2312" w:cs="仿宋_GB2312" w:eastAsia="仿宋_GB2312"/>
              </w:rPr>
              <w:t>供应商根据本项目需求及自身情况制定项目整体服务方案，包含但不限于以下内容：①对本项目采购需求的理解；②总体服务依据及总体服务思路；③服务目标；④服务工作流程；⑤服务质量保障方案；⑥对本项目的合理性建议。 1.项目整体服务方案涵盖上述6项内容，且满足或优于采购需求的得15分； 2.以上6项内容，每小项2.5分，每项因缺项扣2.5分，每有一处内容有缺陷扣1分，以上6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服务内容推进计划及保证措施</w:t>
            </w:r>
          </w:p>
        </w:tc>
        <w:tc>
          <w:tcPr>
            <w:tcW w:type="dxa" w:w="2492"/>
          </w:tcPr>
          <w:p>
            <w:pPr>
              <w:pStyle w:val="null3"/>
              <w:jc w:val="left"/>
            </w:pPr>
            <w:r>
              <w:rPr>
                <w:rFonts w:ascii="仿宋_GB2312" w:hAnsi="仿宋_GB2312" w:cs="仿宋_GB2312" w:eastAsia="仿宋_GB2312"/>
              </w:rPr>
              <w:t>本项目服务内容包括：①助推乡村振兴服务；②党建带团建，党团共建服务；③“团委+社区+社会组织+社工+志愿者”五社联动社区志愿服务；④团建引领校园，护航青少年服务；⑤关爱农村青少年服务；⑥社区参与服务；⑦传统节日文化服务；⑧青少年公益成长服务。 供应商根据项目需求及自身情况，逐项提供服务内容推进计划及保证措施。 1.服务内容推进计划及保证措施涵盖上述8项服务内容，且满足或优于采购需求的得20分； 2.以上8项内容，每小项2.5分，每项因缺项扣2.5分，每有一处内容有缺陷扣1分，以上8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专业管理制度</w:t>
            </w:r>
          </w:p>
        </w:tc>
        <w:tc>
          <w:tcPr>
            <w:tcW w:type="dxa" w:w="2492"/>
          </w:tcPr>
          <w:p>
            <w:pPr>
              <w:pStyle w:val="null3"/>
              <w:jc w:val="left"/>
            </w:pPr>
            <w:r>
              <w:rPr>
                <w:rFonts w:ascii="仿宋_GB2312" w:hAnsi="仿宋_GB2312" w:cs="仿宋_GB2312" w:eastAsia="仿宋_GB2312"/>
              </w:rPr>
              <w:t>供应商根据本项目需求及自身情况制定促进项目实施的专业管理制度，包含但不限于以下内容：①单位财务管理制度；②社工招募、培训、督导制度；③社会工作专业工作方法管理制度；④社工绩效考核制度。 1.专业管理制度涵盖上述4项内容，且满足或优于采购需求的得10分； 2.以上4项内容，每小项2.5分，每项因缺项扣2.5分，每有一处内容有缺陷扣1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应急管理保障方案</w:t>
            </w:r>
          </w:p>
        </w:tc>
        <w:tc>
          <w:tcPr>
            <w:tcW w:type="dxa" w:w="2492"/>
          </w:tcPr>
          <w:p>
            <w:pPr>
              <w:pStyle w:val="null3"/>
              <w:jc w:val="left"/>
            </w:pPr>
            <w:r>
              <w:rPr>
                <w:rFonts w:ascii="仿宋_GB2312" w:hAnsi="仿宋_GB2312" w:cs="仿宋_GB2312" w:eastAsia="仿宋_GB2312"/>
              </w:rPr>
              <w:t>供应商根据项目需求提供应急管理保障方案，内容包括但不限于:①各类意外情况应急处理机制；②应急预案的管理制度；③应急保障方案（需含应急处理人员信息，联系电话等内容）；④责任追究机制。 1.应急管理保障方案涵盖上述4项内容，且满足或优于采购需求的得10分； 2.以上4项内容，每小项2.5分，每项因缺项扣2.5分，每有一处内容有缺陷扣1分，以上4项内容因缺陷最多每项扣2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自2021年1月1日至今，供应商承接过类似相关项目业绩的，每提供一个业绩得3分，最高得9分。 证明材料：提供业绩合同复印件加盖公章，可只提供合同关键页，合同关键页包括但不限于合同标的、服务内容、合同签章页、合同签订时间，并以合同签订起止时间为准，未按要求提供不得分。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供应商服务业绩一览表</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1.服务团队配备1名项目主任、1名督导、28名青少年事务社工，得基本分5分。服务团队每增加一人，加1分，最多加2分。（服务团队人员数量提供承诺函，若未按承诺内容完成，将自动放弃中标资格，并承担由此带来的法律责任。格式自拟，内容不全或不提供不得分）。 2.项目主任具有三年以上五年以下的社工工作经验的得1分，项目主任具有五年以上的社工工作经验的得2分。（证明材料：提供身份证复印件、工作简历、劳动合同、近三个月任意一个月在投标单位缴纳社保的证明加盖公章（网上打印的社保清单有加盖社保管理单位或税务机构电子印章，可为投标单位其分公司人员），未按要求提供不得分。） 3.项目督导具有中级（或者以上级）社会工作师证书，拥有一定年限（3-5年或以上）的直接社会工作实务经验的得1分；项目督导参加过专业培训机构举办的“社会工作督导培训班”或“社会工作督导人才训练营”的得1分。（证明材料：提供身份证及相关证书复印件，需要服务机构出具的工作证明或者颁发的结业证书、培训证明佐证，不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拟派人员资历</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详见附件：2025年三亚市吉阳区青少年社会服务项目采购合同6.5.docx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HNSQ-2025-017-1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2025年三亚市吉阳区青少年社会服务项目(二次)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2025年三亚市吉阳区青少年社会服务项目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C05990000-其他社会服务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详见附件：供应商服务业绩一览表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ind w:firstLine="960"/>
        <w:jc w:val="left"/>
      </w:pPr>
      <w:r>
        <w:rPr>
          <w:rFonts w:ascii="仿宋_GB2312" w:hAnsi="仿宋_GB2312" w:cs="仿宋_GB2312" w:eastAsia="仿宋_GB2312"/>
        </w:rPr>
        <w:t>详见附件：拟派人员资历</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详见附件：技术方案</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