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13BFA2"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</w:rPr>
        <w:t>技术响应表</w:t>
      </w:r>
    </w:p>
    <w:p w14:paraId="4E0ACA67">
      <w:pPr>
        <w:snapToGrid w:val="0"/>
        <w:ind w:firstLine="446" w:firstLineChars="148"/>
        <w:jc w:val="center"/>
        <w:rPr>
          <w:rFonts w:ascii="宋体" w:hAnsi="宋体"/>
          <w:b/>
          <w:sz w:val="30"/>
          <w:szCs w:val="30"/>
        </w:rPr>
      </w:pPr>
    </w:p>
    <w:p w14:paraId="31E6D4A1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</w:rPr>
        <w:t>必须仔细阅读</w:t>
      </w:r>
      <w:r>
        <w:rPr>
          <w:rFonts w:hint="eastAsia" w:ascii="宋体" w:hAnsi="宋体"/>
          <w:sz w:val="24"/>
          <w:szCs w:val="24"/>
          <w:lang w:val="en-US" w:eastAsia="zh-CN"/>
        </w:rPr>
        <w:t>采购文件</w:t>
      </w:r>
      <w:r>
        <w:rPr>
          <w:rFonts w:hint="eastAsia" w:ascii="宋体" w:hAnsi="宋体"/>
          <w:sz w:val="24"/>
          <w:szCs w:val="24"/>
          <w:lang w:eastAsia="zh-CN"/>
        </w:rPr>
        <w:t>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”要求在《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  <w:lang w:eastAsia="zh-CN"/>
        </w:rPr>
        <w:t>响应表》中需要进行响应的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条款，</w:t>
      </w:r>
      <w:r>
        <w:rPr>
          <w:rFonts w:hint="eastAsia" w:ascii="宋体" w:hAnsi="宋体"/>
          <w:sz w:val="24"/>
          <w:szCs w:val="24"/>
          <w:lang w:eastAsia="zh-CN"/>
        </w:rPr>
        <w:t>并</w:t>
      </w:r>
      <w:r>
        <w:rPr>
          <w:rFonts w:hint="eastAsia" w:ascii="宋体" w:hAnsi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上述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条款的响应情况逐项列入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以及</w:t>
      </w:r>
      <w:r>
        <w:rPr>
          <w:rFonts w:hint="eastAsia" w:ascii="宋体" w:hAnsi="宋体"/>
          <w:sz w:val="24"/>
          <w:szCs w:val="24"/>
        </w:rPr>
        <w:t>对其响应情况进行说明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</w:rPr>
        <w:t>未列入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的视作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>响应。</w:t>
      </w:r>
    </w:p>
    <w:p w14:paraId="5187FA3F"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b/>
          <w:sz w:val="24"/>
          <w:szCs w:val="24"/>
        </w:rPr>
        <w:t>必须根据</w:t>
      </w:r>
      <w:r>
        <w:rPr>
          <w:rFonts w:hint="eastAsia" w:ascii="宋体" w:hAnsi="宋体"/>
          <w:b/>
          <w:sz w:val="24"/>
          <w:szCs w:val="24"/>
          <w:lang w:eastAsia="zh-CN"/>
        </w:rPr>
        <w:t>标的</w:t>
      </w:r>
      <w:r>
        <w:rPr>
          <w:rFonts w:hint="eastAsia" w:ascii="宋体" w:hAnsi="宋体"/>
          <w:b/>
          <w:sz w:val="24"/>
          <w:szCs w:val="24"/>
        </w:rPr>
        <w:t>的实际情况如实填写，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磋商小组</w:t>
      </w:r>
      <w:r>
        <w:rPr>
          <w:rFonts w:hint="eastAsia" w:ascii="宋体" w:hAnsi="宋体"/>
          <w:b/>
          <w:sz w:val="24"/>
          <w:szCs w:val="24"/>
        </w:rPr>
        <w:t>如发现有虚假描述的，该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b/>
          <w:sz w:val="24"/>
          <w:szCs w:val="24"/>
          <w:lang w:eastAsia="zh-CN"/>
        </w:rPr>
        <w:t>文件</w:t>
      </w:r>
      <w:r>
        <w:rPr>
          <w:rFonts w:hint="eastAsia" w:ascii="宋体" w:hAnsi="宋体"/>
          <w:b/>
          <w:sz w:val="24"/>
          <w:szCs w:val="24"/>
        </w:rPr>
        <w:t>作无效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b/>
          <w:sz w:val="24"/>
          <w:szCs w:val="24"/>
          <w:lang w:eastAsia="zh-CN"/>
        </w:rPr>
        <w:t>文件</w:t>
      </w:r>
      <w:r>
        <w:rPr>
          <w:rFonts w:hint="eastAsia" w:ascii="宋体" w:hAnsi="宋体"/>
          <w:b/>
          <w:sz w:val="24"/>
          <w:szCs w:val="24"/>
        </w:rPr>
        <w:t>处理。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1B748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D75271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A165A4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标的</w:t>
            </w:r>
            <w:r>
              <w:rPr>
                <w:rFonts w:hint="eastAsia" w:ascii="宋体" w:hAnsi="宋体"/>
                <w:sz w:val="18"/>
                <w:szCs w:val="18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0AAC582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响应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文件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技术</w:t>
            </w:r>
            <w:r>
              <w:rPr>
                <w:rFonts w:hint="eastAsia" w:ascii="宋体" w:hAnsi="宋体"/>
                <w:sz w:val="18"/>
                <w:szCs w:val="18"/>
              </w:rPr>
              <w:t>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54E3DD1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供应商技术</w:t>
            </w:r>
            <w:r>
              <w:rPr>
                <w:rFonts w:hint="eastAsia" w:ascii="宋体" w:hAnsi="宋体"/>
                <w:sz w:val="18"/>
                <w:szCs w:val="18"/>
              </w:rPr>
              <w:t>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8C63AD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响应情况说明（</w:t>
            </w:r>
            <w:r>
              <w:rPr>
                <w:rFonts w:hint="eastAsia" w:ascii="宋体" w:hAnsi="宋体"/>
                <w:szCs w:val="21"/>
              </w:rPr>
              <w:t>＋/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=</w:t>
            </w:r>
            <w:r>
              <w:rPr>
                <w:rFonts w:hint="eastAsia"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2D0871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 w14:paraId="70B6C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04E2AB5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3585105C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7F42056C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2B1A5D37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0C89E2A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186C119B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2965A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0AAFFBE8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7D29D76F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132A3C95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7D874AB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0B684801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31DC74E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10AA8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2806EB72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74A8DEF7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5FB3E265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92787DE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82EC2C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5F20A4C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1B6B2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0B14FA1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4B38C200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632574CA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45988277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564648C6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71A6B23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53DEFBDF">
      <w:pPr>
        <w:spacing w:line="360" w:lineRule="auto"/>
        <w:ind w:firstLine="360" w:firstLineChars="200"/>
        <w:rPr>
          <w:rFonts w:ascii="宋体" w:hAnsi="宋体"/>
          <w:sz w:val="18"/>
          <w:szCs w:val="18"/>
        </w:rPr>
      </w:pPr>
    </w:p>
    <w:p w14:paraId="19FD8163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注：1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此表为表样，行数可自行添加，但表式不变。</w:t>
      </w:r>
      <w:r>
        <w:rPr>
          <w:rFonts w:hint="eastAsia" w:ascii="宋体" w:hAnsi="宋体"/>
          <w:sz w:val="24"/>
          <w:szCs w:val="24"/>
        </w:rPr>
        <w:tab/>
      </w:r>
    </w:p>
    <w:p w14:paraId="2E0801B8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.采购</w:t>
      </w:r>
      <w:r>
        <w:rPr>
          <w:rFonts w:hint="eastAsia" w:ascii="宋体" w:hAnsi="宋体"/>
          <w:sz w:val="24"/>
          <w:szCs w:val="24"/>
          <w:lang w:eastAsia="zh-CN"/>
        </w:rPr>
        <w:t>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”未要求在该表中进行响应的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  <w:lang w:eastAsia="zh-CN"/>
        </w:rPr>
        <w:t>条款，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  <w:lang w:eastAsia="zh-CN"/>
        </w:rPr>
        <w:t>无需填写；可是，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</w:rPr>
        <w:t>根据</w:t>
      </w:r>
      <w:r>
        <w:rPr>
          <w:rFonts w:hint="eastAsia" w:ascii="宋体" w:hAnsi="宋体"/>
          <w:sz w:val="24"/>
          <w:szCs w:val="24"/>
          <w:lang w:eastAsia="zh-CN"/>
        </w:rPr>
        <w:t>项目情况需要</w:t>
      </w:r>
      <w:r>
        <w:rPr>
          <w:rFonts w:hint="eastAsia" w:ascii="宋体" w:hAnsi="宋体"/>
          <w:sz w:val="24"/>
          <w:szCs w:val="24"/>
        </w:rPr>
        <w:t>添加的设备、材料</w:t>
      </w:r>
      <w:r>
        <w:rPr>
          <w:rFonts w:hint="eastAsia" w:ascii="宋体" w:hAnsi="宋体"/>
          <w:sz w:val="24"/>
          <w:szCs w:val="24"/>
          <w:lang w:eastAsia="zh-CN"/>
        </w:rPr>
        <w:t>、服务</w:t>
      </w:r>
      <w:r>
        <w:rPr>
          <w:rFonts w:hint="eastAsia" w:ascii="宋体" w:hAnsi="宋体"/>
          <w:sz w:val="24"/>
          <w:szCs w:val="24"/>
        </w:rPr>
        <w:t>等</w:t>
      </w:r>
      <w:r>
        <w:rPr>
          <w:rFonts w:hint="eastAsia" w:ascii="宋体" w:hAnsi="宋体"/>
          <w:sz w:val="24"/>
          <w:szCs w:val="24"/>
          <w:lang w:eastAsia="zh-CN"/>
        </w:rPr>
        <w:t>请</w:t>
      </w:r>
      <w:r>
        <w:rPr>
          <w:rFonts w:hint="eastAsia" w:ascii="宋体" w:hAnsi="宋体"/>
          <w:sz w:val="24"/>
          <w:szCs w:val="24"/>
        </w:rPr>
        <w:t>列出</w:t>
      </w:r>
      <w:r>
        <w:rPr>
          <w:rFonts w:hint="eastAsia" w:ascii="宋体" w:hAnsi="宋体"/>
          <w:sz w:val="24"/>
          <w:szCs w:val="24"/>
          <w:lang w:val="en" w:eastAsia="zh-CN"/>
        </w:rPr>
        <w:t>，</w:t>
      </w:r>
      <w:r>
        <w:rPr>
          <w:rFonts w:hint="eastAsia" w:ascii="宋体" w:hAnsi="宋体"/>
          <w:sz w:val="24"/>
          <w:szCs w:val="24"/>
        </w:rPr>
        <w:t>但不作为无效</w:t>
      </w:r>
      <w:r>
        <w:rPr>
          <w:rFonts w:hint="eastAsia" w:ascii="宋体" w:hAnsi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sz w:val="24"/>
          <w:szCs w:val="24"/>
          <w:lang w:eastAsia="zh-CN"/>
        </w:rPr>
        <w:t>的依据</w:t>
      </w:r>
      <w:r>
        <w:rPr>
          <w:rFonts w:hint="eastAsia" w:ascii="宋体" w:hAnsi="宋体"/>
          <w:sz w:val="24"/>
          <w:szCs w:val="24"/>
        </w:rPr>
        <w:t>。</w:t>
      </w:r>
    </w:p>
    <w:p w14:paraId="39744AC6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请在“</w:t>
      </w:r>
      <w:r>
        <w:rPr>
          <w:rFonts w:hint="eastAsia" w:ascii="宋体" w:hAnsi="宋体"/>
          <w:sz w:val="24"/>
          <w:szCs w:val="24"/>
          <w:lang w:val="en-US" w:eastAsia="zh-CN"/>
        </w:rPr>
        <w:t>供应商技术</w:t>
      </w:r>
      <w:r>
        <w:rPr>
          <w:rFonts w:hint="eastAsia" w:ascii="宋体" w:hAnsi="宋体"/>
          <w:sz w:val="24"/>
          <w:szCs w:val="24"/>
        </w:rPr>
        <w:t>响应情况描述” 中列出</w:t>
      </w:r>
      <w:r>
        <w:rPr>
          <w:rFonts w:hint="eastAsia" w:ascii="宋体" w:hAnsi="宋体"/>
          <w:sz w:val="24"/>
          <w:szCs w:val="24"/>
          <w:lang w:eastAsia="zh-CN"/>
        </w:rPr>
        <w:t>标的</w:t>
      </w:r>
      <w:r>
        <w:rPr>
          <w:rFonts w:hint="eastAsia" w:ascii="宋体" w:hAnsi="宋体"/>
          <w:sz w:val="24"/>
          <w:szCs w:val="24"/>
        </w:rPr>
        <w:t>的详细参数情况。</w:t>
      </w:r>
    </w:p>
    <w:p w14:paraId="78D74B64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“响应情况说明”应按下列规定填写</w:t>
      </w:r>
      <w:r>
        <w:rPr>
          <w:rFonts w:hint="eastAsia" w:ascii="宋体" w:hAnsi="宋体"/>
          <w:sz w:val="24"/>
          <w:szCs w:val="24"/>
          <w:lang w:eastAsia="zh-CN"/>
        </w:rPr>
        <w:t>对</w:t>
      </w:r>
      <w:r>
        <w:rPr>
          <w:rFonts w:hint="eastAsia" w:ascii="宋体" w:hAnsi="宋体"/>
          <w:sz w:val="24"/>
          <w:szCs w:val="24"/>
          <w:lang w:val="en-US" w:eastAsia="zh-CN"/>
        </w:rPr>
        <w:t>采购文件</w:t>
      </w:r>
      <w:r>
        <w:rPr>
          <w:rFonts w:hint="eastAsia" w:ascii="宋体" w:hAnsi="宋体"/>
          <w:sz w:val="24"/>
          <w:szCs w:val="24"/>
        </w:rPr>
        <w:t>技术条款</w:t>
      </w:r>
      <w:r>
        <w:rPr>
          <w:rFonts w:hint="eastAsia" w:ascii="宋体" w:hAnsi="宋体"/>
          <w:sz w:val="24"/>
          <w:szCs w:val="24"/>
          <w:lang w:eastAsia="zh-CN"/>
        </w:rPr>
        <w:t>的响应情况</w:t>
      </w:r>
      <w:r>
        <w:rPr>
          <w:rFonts w:hint="eastAsia" w:ascii="宋体" w:hAnsi="宋体"/>
          <w:sz w:val="24"/>
          <w:szCs w:val="24"/>
        </w:rPr>
        <w:t>：优于的</w:t>
      </w:r>
      <w:r>
        <w:rPr>
          <w:rFonts w:hint="eastAsia" w:ascii="宋体" w:hAnsi="宋体"/>
          <w:sz w:val="24"/>
          <w:szCs w:val="24"/>
          <w:lang w:eastAsia="zh-CN"/>
        </w:rPr>
        <w:t>视为正偏离</w:t>
      </w:r>
      <w:r>
        <w:rPr>
          <w:rFonts w:hint="eastAsia" w:ascii="宋体" w:hAnsi="宋体"/>
          <w:sz w:val="24"/>
          <w:szCs w:val="24"/>
        </w:rPr>
        <w:t>，填写“＋”；符合的</w:t>
      </w:r>
      <w:r>
        <w:rPr>
          <w:rFonts w:hint="eastAsia" w:ascii="宋体" w:hAnsi="宋体"/>
          <w:sz w:val="24"/>
          <w:szCs w:val="24"/>
          <w:lang w:eastAsia="zh-CN"/>
        </w:rPr>
        <w:t>视为满足</w:t>
      </w:r>
      <w:r>
        <w:rPr>
          <w:rFonts w:hint="eastAsia" w:ascii="宋体" w:hAnsi="宋体"/>
          <w:sz w:val="24"/>
          <w:szCs w:val="24"/>
        </w:rPr>
        <w:t>，填写“=”；低于的</w:t>
      </w:r>
      <w:r>
        <w:rPr>
          <w:rFonts w:hint="eastAsia" w:ascii="宋体" w:hAnsi="宋体"/>
          <w:sz w:val="24"/>
          <w:szCs w:val="24"/>
          <w:lang w:eastAsia="zh-CN"/>
        </w:rPr>
        <w:t>视为负偏离或不满足</w:t>
      </w:r>
      <w:r>
        <w:rPr>
          <w:rFonts w:hint="eastAsia" w:ascii="宋体" w:hAnsi="宋体"/>
          <w:sz w:val="24"/>
          <w:szCs w:val="24"/>
        </w:rPr>
        <w:t>，填写“-”</w:t>
      </w:r>
      <w:r>
        <w:rPr>
          <w:rFonts w:hint="eastAsia" w:ascii="宋体" w:hAnsi="宋体"/>
          <w:sz w:val="24"/>
          <w:szCs w:val="24"/>
          <w:lang w:eastAsia="zh-CN"/>
        </w:rPr>
        <w:t>；如不按规定填写或不填写的，均视为不响应</w:t>
      </w:r>
      <w:r>
        <w:rPr>
          <w:rFonts w:hint="eastAsia" w:ascii="宋体" w:hAnsi="宋体"/>
          <w:sz w:val="24"/>
          <w:szCs w:val="24"/>
        </w:rPr>
        <w:t>。</w:t>
      </w:r>
    </w:p>
    <w:p w14:paraId="367EA1A0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  <w:lang w:val="en-US" w:eastAsia="zh-CN"/>
        </w:rPr>
        <w:t>.采购文件</w:t>
      </w:r>
      <w:r>
        <w:rPr>
          <w:rFonts w:hint="eastAsia" w:ascii="宋体" w:hAnsi="宋体"/>
          <w:sz w:val="24"/>
          <w:szCs w:val="24"/>
        </w:rPr>
        <w:t>有标注“★”条款</w:t>
      </w:r>
      <w:r>
        <w:rPr>
          <w:rFonts w:hint="eastAsia" w:ascii="宋体" w:hAnsi="宋体"/>
          <w:sz w:val="24"/>
          <w:szCs w:val="24"/>
          <w:lang w:eastAsia="zh-CN"/>
        </w:rPr>
        <w:t>的</w:t>
      </w:r>
      <w:r>
        <w:rPr>
          <w:rFonts w:hint="eastAsia" w:ascii="宋体" w:hAnsi="宋体"/>
          <w:sz w:val="24"/>
          <w:szCs w:val="24"/>
        </w:rPr>
        <w:t>为实质性条款，若有任何一条负偏离或不满足则导致</w:t>
      </w:r>
      <w:r>
        <w:rPr>
          <w:rFonts w:hint="eastAsia" w:ascii="宋体" w:hAnsi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sz w:val="24"/>
          <w:szCs w:val="24"/>
        </w:rPr>
        <w:t>无效。</w:t>
      </w:r>
      <w:r>
        <w:rPr>
          <w:rFonts w:hint="eastAsia" w:ascii="宋体" w:hAnsi="宋体"/>
          <w:sz w:val="24"/>
          <w:szCs w:val="24"/>
          <w:lang w:eastAsia="zh-CN"/>
        </w:rPr>
        <w:t>非</w:t>
      </w:r>
      <w:r>
        <w:rPr>
          <w:rFonts w:hint="eastAsia" w:ascii="宋体" w:hAnsi="宋体"/>
          <w:sz w:val="24"/>
          <w:szCs w:val="24"/>
        </w:rPr>
        <w:t>“★”号条款未响应或不满足</w:t>
      </w:r>
      <w:r>
        <w:rPr>
          <w:rFonts w:hint="eastAsia" w:ascii="宋体" w:hAnsi="宋体"/>
          <w:sz w:val="24"/>
          <w:szCs w:val="24"/>
          <w:lang w:eastAsia="zh-CN"/>
        </w:rPr>
        <w:t>（负偏离）</w:t>
      </w:r>
      <w:r>
        <w:rPr>
          <w:rFonts w:hint="eastAsia" w:ascii="宋体" w:hAnsi="宋体"/>
          <w:sz w:val="24"/>
          <w:szCs w:val="24"/>
        </w:rPr>
        <w:t>，将根据评审要求影响其得分，但不作为无效</w:t>
      </w:r>
      <w:r>
        <w:rPr>
          <w:rFonts w:hint="eastAsia" w:ascii="宋体" w:hAnsi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sz w:val="24"/>
          <w:szCs w:val="24"/>
        </w:rPr>
        <w:t>条款</w:t>
      </w:r>
      <w:r>
        <w:rPr>
          <w:rFonts w:hint="eastAsia" w:ascii="宋体" w:hAnsi="宋体"/>
          <w:sz w:val="24"/>
          <w:szCs w:val="24"/>
        </w:rPr>
        <w:t>。</w:t>
      </w:r>
    </w:p>
    <w:p w14:paraId="5B2D209C">
      <w:pPr>
        <w:spacing w:line="480" w:lineRule="auto"/>
        <w:ind w:firstLine="5280" w:firstLineChars="2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供应商名称（加盖公章）：</w:t>
      </w:r>
    </w:p>
    <w:p w14:paraId="36D9C471">
      <w:pPr>
        <w:spacing w:line="480" w:lineRule="auto"/>
        <w:ind w:firstLine="5280" w:firstLineChars="2200"/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日期：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2F7C50"/>
    <w:rsid w:val="54D16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adjustRightInd w:val="0"/>
      <w:spacing w:line="312" w:lineRule="atLeast"/>
      <w:jc w:val="left"/>
      <w:textAlignment w:val="baseline"/>
    </w:pPr>
    <w:rPr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526</Words>
  <Characters>534</Characters>
  <Lines>0</Lines>
  <Paragraphs>0</Paragraphs>
  <TotalTime>0</TotalTime>
  <ScaleCrop>false</ScaleCrop>
  <LinksUpToDate>false</LinksUpToDate>
  <CharactersWithSpaces>555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2025-06-06T02:06:00Z</dcterms:created>
  <dc:creator>lenovo</dc:creator>
  <cp:lastModifiedBy>小星</cp:lastModifiedBy>
  <dcterms:modified xsi:type="dcterms:W3CDTF">2025-06-06T02:10:58Z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eyJoZGlkIjoiMjdiMTNlMWFhNGYwZTcxZGJmZDdjZTU4Y2I2MWRiYjgiLCJ1c2VySWQiOiIyMjYxNzk2NzkifQ==</vt:lpwstr>
  </property>
  <property fmtid="{D5CDD505-2E9C-101B-9397-08002B2CF9AE}" pid="4" name="ICV">
    <vt:lpwstr>258C5B727C0E42A19395E58656E71FC1_12</vt:lpwstr>
  </property>
</Properties>
</file>