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29359">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center"/>
        <w:textAlignment w:val="auto"/>
        <w:rPr>
          <w:rFonts w:hint="eastAsia" w:ascii="宋体" w:hAnsi="宋体" w:eastAsia="宋体" w:cs="宋体"/>
          <w:b w:val="0"/>
          <w:bCs w:val="0"/>
          <w:color w:val="auto"/>
          <w:sz w:val="36"/>
          <w:szCs w:val="36"/>
          <w:lang w:eastAsia="zh-CN"/>
        </w:rPr>
      </w:pPr>
    </w:p>
    <w:p w14:paraId="2C9E7CD1">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center"/>
        <w:textAlignment w:val="auto"/>
        <w:rPr>
          <w:rFonts w:hint="eastAsia" w:ascii="宋体" w:hAnsi="宋体" w:eastAsia="宋体" w:cs="宋体"/>
          <w:b w:val="0"/>
          <w:bCs w:val="0"/>
          <w:color w:val="auto"/>
          <w:sz w:val="36"/>
          <w:szCs w:val="36"/>
          <w:lang w:eastAsia="zh-CN"/>
        </w:rPr>
      </w:pPr>
    </w:p>
    <w:p w14:paraId="25984232">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center"/>
        <w:textAlignment w:val="auto"/>
        <w:rPr>
          <w:rFonts w:hint="eastAsia" w:ascii="宋体" w:hAnsi="宋体" w:eastAsia="宋体" w:cs="宋体"/>
          <w:b w:val="0"/>
          <w:bCs w:val="0"/>
          <w:color w:val="auto"/>
          <w:sz w:val="36"/>
          <w:szCs w:val="36"/>
          <w:lang w:eastAsia="zh-CN"/>
        </w:rPr>
      </w:pPr>
    </w:p>
    <w:p w14:paraId="4053D062">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center"/>
        <w:textAlignment w:val="auto"/>
        <w:rPr>
          <w:rFonts w:hint="eastAsia" w:ascii="宋体" w:hAnsi="宋体" w:eastAsia="宋体" w:cs="宋体"/>
          <w:b w:val="0"/>
          <w:bCs w:val="0"/>
          <w:color w:val="auto"/>
          <w:sz w:val="36"/>
          <w:szCs w:val="36"/>
        </w:rPr>
      </w:pPr>
      <w:r>
        <w:rPr>
          <w:rFonts w:hint="eastAsia" w:ascii="宋体" w:hAnsi="宋体" w:eastAsia="宋体" w:cs="宋体"/>
          <w:b w:val="0"/>
          <w:bCs w:val="0"/>
          <w:color w:val="auto"/>
          <w:sz w:val="36"/>
          <w:szCs w:val="36"/>
        </w:rPr>
        <w:fldChar w:fldCharType="begin"/>
      </w:r>
      <w:r>
        <w:rPr>
          <w:rFonts w:hint="eastAsia" w:ascii="宋体" w:hAnsi="宋体" w:eastAsia="宋体" w:cs="宋体"/>
          <w:b w:val="0"/>
          <w:bCs w:val="0"/>
          <w:color w:val="auto"/>
          <w:sz w:val="36"/>
          <w:szCs w:val="36"/>
        </w:rPr>
        <w:instrText xml:space="preserve"> HYPERLINK "https://www.ccgp-hainan.gov.cn/cgw/cgw_cgyx.jsp?id=10652&amp;proId=14082" \t "https://www.ccgp-hainan.gov.cn/cgw/_blank" </w:instrText>
      </w:r>
      <w:r>
        <w:rPr>
          <w:rFonts w:hint="eastAsia" w:ascii="宋体" w:hAnsi="宋体" w:eastAsia="宋体" w:cs="宋体"/>
          <w:b w:val="0"/>
          <w:bCs w:val="0"/>
          <w:color w:val="auto"/>
          <w:sz w:val="36"/>
          <w:szCs w:val="36"/>
        </w:rPr>
        <w:fldChar w:fldCharType="separate"/>
      </w:r>
      <w:r>
        <w:rPr>
          <w:rFonts w:hint="eastAsia" w:ascii="宋体" w:hAnsi="宋体" w:cs="宋体"/>
          <w:b w:val="0"/>
          <w:bCs w:val="0"/>
          <w:color w:val="auto"/>
          <w:sz w:val="36"/>
          <w:szCs w:val="36"/>
          <w:lang w:eastAsia="zh-CN"/>
        </w:rPr>
        <w:t>“优化营商环境建设”辅助服务项目</w:t>
      </w:r>
      <w:r>
        <w:rPr>
          <w:rFonts w:hint="eastAsia" w:ascii="宋体" w:hAnsi="宋体" w:eastAsia="宋体" w:cs="宋体"/>
          <w:b w:val="0"/>
          <w:bCs w:val="0"/>
          <w:color w:val="auto"/>
          <w:sz w:val="36"/>
          <w:szCs w:val="36"/>
        </w:rPr>
        <w:fldChar w:fldCharType="end"/>
      </w:r>
    </w:p>
    <w:p w14:paraId="131D5710">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center"/>
        <w:textAlignment w:val="auto"/>
        <w:rPr>
          <w:rFonts w:hint="eastAsia" w:ascii="宋体" w:hAnsi="宋体" w:eastAsia="宋体" w:cs="宋体"/>
          <w:b w:val="0"/>
          <w:bCs w:val="0"/>
          <w:color w:val="auto"/>
          <w:sz w:val="36"/>
          <w:szCs w:val="36"/>
        </w:rPr>
      </w:pPr>
      <w:r>
        <w:rPr>
          <w:rFonts w:hint="eastAsia" w:ascii="宋体" w:hAnsi="宋体" w:eastAsia="宋体" w:cs="宋体"/>
          <w:b w:val="0"/>
          <w:bCs w:val="0"/>
          <w:color w:val="auto"/>
          <w:sz w:val="36"/>
          <w:szCs w:val="36"/>
        </w:rPr>
        <w:t>服务合同</w:t>
      </w:r>
    </w:p>
    <w:p w14:paraId="4C021FB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pPr>
    </w:p>
    <w:p w14:paraId="6DA233F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pPr>
    </w:p>
    <w:p w14:paraId="5F15ED0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pPr>
    </w:p>
    <w:p w14:paraId="004F4DA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宋体" w:hAnsi="宋体" w:eastAsia="宋体" w:cs="宋体"/>
          <w:b w:val="0"/>
          <w:bCs w:val="0"/>
          <w:color w:val="auto"/>
          <w:sz w:val="32"/>
          <w:szCs w:val="32"/>
        </w:rPr>
      </w:pPr>
    </w:p>
    <w:p w14:paraId="4994605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项目名称：</w:t>
      </w:r>
      <w:r>
        <w:rPr>
          <w:rFonts w:hint="eastAsia" w:ascii="宋体" w:hAnsi="宋体" w:cs="宋体"/>
          <w:b w:val="0"/>
          <w:bCs w:val="0"/>
          <w:color w:val="auto"/>
          <w:sz w:val="32"/>
          <w:szCs w:val="32"/>
          <w:u w:val="single"/>
          <w:lang w:val="en-US" w:eastAsia="zh-CN"/>
        </w:rPr>
        <w:t>“优化营商环境建设”辅助服务项目</w:t>
      </w:r>
    </w:p>
    <w:p w14:paraId="61AF3ED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项目编号：</w:t>
      </w:r>
      <w:r>
        <w:rPr>
          <w:rFonts w:hint="eastAsia" w:ascii="宋体" w:hAnsi="宋体" w:eastAsia="宋体" w:cs="宋体"/>
          <w:b w:val="0"/>
          <w:bCs w:val="0"/>
          <w:color w:val="auto"/>
          <w:sz w:val="32"/>
          <w:szCs w:val="32"/>
          <w:u w:val="single"/>
          <w:lang w:val="en-US" w:eastAsia="zh-CN"/>
        </w:rPr>
        <w:t xml:space="preserve">  </w:t>
      </w:r>
      <w:r>
        <w:rPr>
          <w:rFonts w:hint="eastAsia" w:ascii="宋体" w:hAnsi="宋体" w:cs="宋体"/>
          <w:b w:val="0"/>
          <w:bCs w:val="0"/>
          <w:color w:val="auto"/>
          <w:sz w:val="32"/>
          <w:szCs w:val="32"/>
          <w:u w:val="single"/>
          <w:lang w:val="en-US" w:eastAsia="zh-CN"/>
        </w:rPr>
        <w:t xml:space="preserve">                           </w:t>
      </w:r>
      <w:r>
        <w:rPr>
          <w:rFonts w:hint="eastAsia" w:ascii="宋体" w:hAnsi="宋体" w:eastAsia="宋体" w:cs="宋体"/>
          <w:b w:val="0"/>
          <w:bCs w:val="0"/>
          <w:color w:val="auto"/>
          <w:sz w:val="32"/>
          <w:szCs w:val="32"/>
          <w:u w:val="single"/>
          <w:lang w:val="en-US" w:eastAsia="zh-CN"/>
        </w:rPr>
        <w:t xml:space="preserve"> </w:t>
      </w:r>
    </w:p>
    <w:p w14:paraId="02122A7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pPr>
    </w:p>
    <w:p w14:paraId="6A85441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pPr>
    </w:p>
    <w:p w14:paraId="21FBFDF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宋体" w:hAnsi="宋体" w:eastAsia="宋体" w:cs="宋体"/>
          <w:b w:val="0"/>
          <w:bCs w:val="0"/>
          <w:color w:val="auto"/>
          <w:sz w:val="32"/>
          <w:szCs w:val="32"/>
        </w:rPr>
      </w:pPr>
    </w:p>
    <w:p w14:paraId="0FE5846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甲方：</w:t>
      </w:r>
      <w:r>
        <w:rPr>
          <w:rFonts w:hint="eastAsia" w:ascii="宋体" w:hAnsi="宋体" w:cs="宋体"/>
          <w:b w:val="0"/>
          <w:bCs w:val="0"/>
          <w:color w:val="auto"/>
          <w:sz w:val="32"/>
          <w:szCs w:val="32"/>
          <w:u w:val="single"/>
          <w:lang w:eastAsia="zh-CN"/>
        </w:rPr>
        <w:t>三亚市海棠区营商环境建设局</w:t>
      </w:r>
      <w:r>
        <w:rPr>
          <w:rFonts w:hint="eastAsia" w:ascii="宋体" w:hAnsi="宋体" w:eastAsia="宋体" w:cs="宋体"/>
          <w:b w:val="0"/>
          <w:bCs w:val="0"/>
          <w:color w:val="auto"/>
          <w:sz w:val="32"/>
          <w:szCs w:val="32"/>
          <w:lang w:val="en-US" w:eastAsia="zh-CN"/>
        </w:rPr>
        <w:t xml:space="preserve">  </w:t>
      </w:r>
    </w:p>
    <w:p w14:paraId="7B2D761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宋体" w:hAnsi="宋体" w:eastAsia="宋体" w:cs="宋体"/>
          <w:b w:val="0"/>
          <w:bCs w:val="0"/>
          <w:color w:val="auto"/>
          <w:sz w:val="32"/>
          <w:szCs w:val="32"/>
          <w:u w:val="single"/>
          <w:lang w:val="en-US" w:eastAsia="zh-CN"/>
        </w:rPr>
      </w:pPr>
      <w:r>
        <w:rPr>
          <w:rFonts w:hint="eastAsia" w:ascii="宋体" w:hAnsi="宋体" w:eastAsia="宋体" w:cs="宋体"/>
          <w:b w:val="0"/>
          <w:bCs w:val="0"/>
          <w:color w:val="auto"/>
          <w:sz w:val="32"/>
          <w:szCs w:val="32"/>
        </w:rPr>
        <w:t>乙方：</w:t>
      </w:r>
      <w:r>
        <w:rPr>
          <w:rFonts w:hint="eastAsia" w:ascii="宋体" w:hAnsi="宋体" w:eastAsia="宋体" w:cs="宋体"/>
          <w:b w:val="0"/>
          <w:bCs w:val="0"/>
          <w:color w:val="auto"/>
          <w:sz w:val="32"/>
          <w:szCs w:val="32"/>
          <w:u w:val="single"/>
          <w:lang w:val="en-US" w:eastAsia="zh-CN"/>
        </w:rPr>
        <w:t xml:space="preserve">                            </w:t>
      </w:r>
    </w:p>
    <w:p w14:paraId="32CC0E4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pPr>
    </w:p>
    <w:p w14:paraId="4AA9C9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color w:val="auto"/>
        </w:rPr>
      </w:pPr>
    </w:p>
    <w:p w14:paraId="2650FF3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pPr>
    </w:p>
    <w:p w14:paraId="06B234F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sectPr>
          <w:footerReference r:id="rId3" w:type="default"/>
          <w:pgSz w:w="11906" w:h="16838"/>
          <w:pgMar w:top="1440" w:right="1800" w:bottom="1440" w:left="1800" w:header="851" w:footer="992" w:gutter="0"/>
          <w:pgNumType w:fmt="decimal" w:start="1"/>
          <w:cols w:space="720" w:num="1"/>
          <w:docGrid w:type="lines" w:linePitch="312" w:charSpace="0"/>
        </w:sectPr>
      </w:pPr>
      <w:r>
        <w:rPr>
          <w:rFonts w:hint="eastAsia" w:ascii="宋体" w:hAnsi="宋体" w:eastAsia="宋体" w:cs="宋体"/>
          <w:b w:val="0"/>
          <w:bCs w:val="0"/>
          <w:color w:val="auto"/>
          <w:sz w:val="32"/>
          <w:szCs w:val="32"/>
        </w:rPr>
        <w:t>签订日期：</w:t>
      </w:r>
      <w:r>
        <w:rPr>
          <w:rFonts w:hint="eastAsia" w:ascii="宋体" w:hAnsi="宋体" w:eastAsia="宋体" w:cs="宋体"/>
          <w:b w:val="0"/>
          <w:bCs w:val="0"/>
          <w:color w:val="auto"/>
          <w:sz w:val="32"/>
          <w:szCs w:val="32"/>
          <w:lang w:val="en-US" w:eastAsia="zh-CN"/>
        </w:rPr>
        <w:t>202</w:t>
      </w:r>
      <w:r>
        <w:rPr>
          <w:rFonts w:hint="eastAsia" w:ascii="宋体" w:hAnsi="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lang w:val="en-US" w:eastAsia="zh-CN"/>
        </w:rPr>
        <w:t xml:space="preserve">  </w:t>
      </w:r>
      <w:r>
        <w:rPr>
          <w:rFonts w:hint="eastAsia" w:ascii="宋体" w:hAnsi="宋体" w:eastAsia="宋体" w:cs="宋体"/>
          <w:b w:val="0"/>
          <w:bCs w:val="0"/>
          <w:color w:val="auto"/>
          <w:sz w:val="32"/>
          <w:szCs w:val="32"/>
        </w:rPr>
        <w:t>月</w:t>
      </w:r>
      <w:r>
        <w:rPr>
          <w:rFonts w:hint="eastAsia" w:ascii="宋体" w:hAnsi="宋体" w:eastAsia="宋体" w:cs="宋体"/>
          <w:b w:val="0"/>
          <w:bCs w:val="0"/>
          <w:color w:val="auto"/>
          <w:sz w:val="32"/>
          <w:szCs w:val="32"/>
          <w:lang w:val="en-US" w:eastAsia="zh-CN"/>
        </w:rPr>
        <w:t xml:space="preserve">  </w:t>
      </w:r>
      <w:r>
        <w:rPr>
          <w:rFonts w:hint="eastAsia" w:ascii="宋体" w:hAnsi="宋体" w:eastAsia="宋体" w:cs="宋体"/>
          <w:b w:val="0"/>
          <w:bCs w:val="0"/>
          <w:color w:val="auto"/>
          <w:sz w:val="32"/>
          <w:szCs w:val="32"/>
        </w:rPr>
        <w:t>日</w:t>
      </w:r>
    </w:p>
    <w:p w14:paraId="7DB5587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lang w:eastAsia="zh-CN"/>
        </w:rPr>
      </w:pPr>
      <w:r>
        <w:rPr>
          <w:rFonts w:hint="eastAsia" w:ascii="宋体" w:hAnsi="宋体" w:cs="宋体"/>
          <w:b w:val="0"/>
          <w:bCs w:val="0"/>
          <w:color w:val="auto"/>
          <w:sz w:val="32"/>
          <w:szCs w:val="32"/>
          <w:lang w:eastAsia="zh-CN"/>
        </w:rPr>
        <w:t>三亚市海棠区营商环境建设局</w:t>
      </w:r>
    </w:p>
    <w:p w14:paraId="0E28AF8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val="0"/>
          <w:color w:val="auto"/>
          <w:sz w:val="32"/>
          <w:szCs w:val="32"/>
        </w:rPr>
      </w:pPr>
      <w:r>
        <w:rPr>
          <w:rFonts w:hint="eastAsia" w:ascii="宋体" w:hAnsi="宋体" w:cs="宋体"/>
          <w:b w:val="0"/>
          <w:bCs w:val="0"/>
          <w:color w:val="auto"/>
          <w:sz w:val="32"/>
          <w:szCs w:val="32"/>
          <w:lang w:eastAsia="zh-CN"/>
        </w:rPr>
        <w:t>“优化营商环境建设”辅助服务项目</w:t>
      </w:r>
      <w:r>
        <w:rPr>
          <w:rFonts w:hint="eastAsia" w:ascii="宋体" w:hAnsi="宋体" w:eastAsia="宋体" w:cs="宋体"/>
          <w:b w:val="0"/>
          <w:bCs w:val="0"/>
          <w:color w:val="auto"/>
          <w:sz w:val="32"/>
          <w:szCs w:val="32"/>
        </w:rPr>
        <w:t>合同</w:t>
      </w:r>
    </w:p>
    <w:p w14:paraId="61052E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p>
    <w:p w14:paraId="530CCC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采购方（以下简称甲方）：</w:t>
      </w:r>
      <w:r>
        <w:rPr>
          <w:rFonts w:hint="eastAsia" w:ascii="宋体" w:hAnsi="宋体" w:cs="宋体"/>
          <w:b w:val="0"/>
          <w:bCs w:val="0"/>
          <w:color w:val="auto"/>
          <w:sz w:val="24"/>
          <w:szCs w:val="24"/>
          <w:lang w:eastAsia="zh-CN"/>
        </w:rPr>
        <w:t>三亚市海棠区营商环境建设局</w:t>
      </w:r>
    </w:p>
    <w:p w14:paraId="41997B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服务方（以下简称乙方）：</w:t>
      </w:r>
    </w:p>
    <w:p w14:paraId="0567B7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乙双方依照《中华人民共和国政府采购法》，根据</w:t>
      </w:r>
      <w:r>
        <w:rPr>
          <w:rFonts w:hint="eastAsia" w:ascii="宋体" w:hAnsi="宋体" w:eastAsia="宋体" w:cs="宋体"/>
          <w:b w:val="0"/>
          <w:bCs w:val="0"/>
          <w:color w:val="auto"/>
          <w:sz w:val="24"/>
          <w:szCs w:val="24"/>
          <w:lang w:val="en-US" w:eastAsia="zh-CN"/>
        </w:rPr>
        <w:t>202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月</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日</w:t>
      </w:r>
      <w:r>
        <w:rPr>
          <w:rFonts w:hint="eastAsia" w:ascii="宋体" w:hAnsi="宋体" w:cs="宋体"/>
          <w:b w:val="0"/>
          <w:bCs w:val="0"/>
          <w:color w:val="auto"/>
          <w:sz w:val="24"/>
          <w:szCs w:val="24"/>
          <w:lang w:eastAsia="zh-CN"/>
        </w:rPr>
        <w:t>“优化营商环境建设”辅助服务项目</w:t>
      </w:r>
      <w:r>
        <w:rPr>
          <w:rFonts w:hint="eastAsia" w:ascii="宋体" w:hAnsi="宋体" w:eastAsia="宋体" w:cs="宋体"/>
          <w:b w:val="0"/>
          <w:bCs w:val="0"/>
          <w:color w:val="auto"/>
          <w:sz w:val="24"/>
          <w:szCs w:val="24"/>
        </w:rPr>
        <w:t>（项目编号：</w:t>
      </w:r>
      <w:r>
        <w:rPr>
          <w:rFonts w:hint="eastAsia" w:ascii="宋体" w:hAnsi="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）公开招标结果及招标文件的要求，按照《中华人民共和国</w:t>
      </w:r>
      <w:r>
        <w:rPr>
          <w:rFonts w:hint="eastAsia" w:ascii="宋体" w:hAnsi="宋体" w:eastAsia="宋体" w:cs="宋体"/>
          <w:b w:val="0"/>
          <w:bCs w:val="0"/>
          <w:color w:val="auto"/>
          <w:sz w:val="24"/>
          <w:szCs w:val="24"/>
          <w:lang w:val="en-US" w:eastAsia="zh-CN"/>
        </w:rPr>
        <w:t>民法典</w:t>
      </w:r>
      <w:r>
        <w:rPr>
          <w:rFonts w:hint="eastAsia" w:ascii="宋体" w:hAnsi="宋体" w:eastAsia="宋体" w:cs="宋体"/>
          <w:b w:val="0"/>
          <w:bCs w:val="0"/>
          <w:color w:val="auto"/>
          <w:sz w:val="24"/>
          <w:szCs w:val="24"/>
        </w:rPr>
        <w:t>》的规定，经协商一致，达成如下合同内容：</w:t>
      </w:r>
    </w:p>
    <w:p w14:paraId="7063A1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一、项目名称：</w:t>
      </w:r>
      <w:r>
        <w:rPr>
          <w:rFonts w:hint="eastAsia" w:ascii="宋体" w:hAnsi="宋体" w:cs="宋体"/>
          <w:b/>
          <w:bCs/>
          <w:color w:val="auto"/>
          <w:sz w:val="24"/>
          <w:szCs w:val="24"/>
          <w:lang w:eastAsia="zh-CN"/>
        </w:rPr>
        <w:t>“优化营商环境建设”辅助服务项目</w:t>
      </w:r>
    </w:p>
    <w:p w14:paraId="48489E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二</w:t>
      </w:r>
      <w:r>
        <w:rPr>
          <w:rFonts w:hint="eastAsia" w:ascii="宋体" w:hAnsi="宋体" w:eastAsia="宋体" w:cs="宋体"/>
          <w:b w:val="0"/>
          <w:bCs w:val="0"/>
          <w:color w:val="auto"/>
          <w:sz w:val="24"/>
          <w:szCs w:val="24"/>
          <w:lang w:val="en-US" w:eastAsia="zh-CN"/>
        </w:rPr>
        <w:t xml:space="preserve">、项目概况 </w:t>
      </w:r>
    </w:p>
    <w:p w14:paraId="14E27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 xml:space="preserve">.采购需求：本项目拟招一家单位完成采购人委托的“优化营商环境建设”辅助服务，本服务项目包含“优化营商环境建设辅助服务”及“一枚印章管审批辅助服务”两部分内容。其中“一枚印章管审批辅助服务”的招标内容包括但不限于辅助采购人推行审批事项清单管理，辅助加快推进“一件事一次办”改革，辅助推动 落实政务服务“零跑动”改革，辅助开展行政审批事项特殊环节（公示、听证、专家评审、现场踏勘）等工作，提供政务服务大厅综合受理窗口、行政审批受理坐席等窗口服务，辅助推进大社区基层建设工作等相关服务；“优化营商环境建设辅助服务”的招标内容包括但不限于辅助解决市场主体提出的投诉建议和咨询请求，辅助完善诉求受理、转办、核查、反馈闭环工作，辅助及时宣传省、市营商环境最新政策，辅助做好各部门年度优化营商环境建设工作绩效考核工作，辅助落实省、市营商环境建设年度重点改革任务，辅助制定或出台涉及信用相关政策文件、实施细则或方案等相关服务。 </w:t>
      </w:r>
    </w:p>
    <w:p w14:paraId="74F439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 xml:space="preserve">.服务期：一年。 </w:t>
      </w:r>
    </w:p>
    <w:p w14:paraId="07AB7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lang w:val="en-US" w:eastAsia="zh-CN"/>
        </w:rPr>
        <w:t xml:space="preserve">.服务地点：采购人指定地点。 </w:t>
      </w:r>
    </w:p>
    <w:p w14:paraId="4DAC55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lang w:val="en-US" w:eastAsia="zh-CN"/>
        </w:rPr>
        <w:t xml:space="preserve">.服务质量：满足招标文件及采购人要求。 </w:t>
      </w:r>
    </w:p>
    <w:p w14:paraId="3181B1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三</w:t>
      </w:r>
      <w:r>
        <w:rPr>
          <w:rFonts w:hint="eastAsia" w:ascii="宋体" w:hAnsi="宋体" w:eastAsia="宋体" w:cs="宋体"/>
          <w:b/>
          <w:bCs/>
          <w:color w:val="auto"/>
          <w:sz w:val="24"/>
          <w:szCs w:val="24"/>
          <w:lang w:val="en-US" w:eastAsia="zh-CN"/>
        </w:rPr>
        <w:t xml:space="preserve">、本项目具体采购内容及要求 </w:t>
      </w:r>
    </w:p>
    <w:p w14:paraId="27896C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（一）“优化营商环境建设辅助服务” </w:t>
      </w:r>
    </w:p>
    <w:p w14:paraId="73C84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1.辅助完善企业首席服务专员工作机制，对于市场主体提出的投诉建议和咨询请求，实行“接诉即办”，做到企业有需求，服务在身边； </w:t>
      </w:r>
    </w:p>
    <w:p w14:paraId="35AFFB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2.辅助完善诉求受理、转办、核查、反馈闭环工作机制，提高市场主体合法诉求解决效率； </w:t>
      </w:r>
    </w:p>
    <w:p w14:paraId="57B4C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3.辅助推进“信用+”应用场景建设，探索在医疗、惠企服务、行政审批等领域新增至少 1 个信用应用场景； </w:t>
      </w:r>
    </w:p>
    <w:p w14:paraId="4B817C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4.辅助及时宣传省、市营商环境最新政策、经验成效、营造“人人都是营商环境、事事关系营商环境”的良好氛围； </w:t>
      </w:r>
    </w:p>
    <w:p w14:paraId="77DBF4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5.辅助做好各部门年度优化营商环境建设工作绩效考核工作，以专项督查、考核“指挥棒”作用，综合考量指标水平、市场主体感受、政策落实和工作创新等要素；</w:t>
      </w:r>
    </w:p>
    <w:p w14:paraId="6B4B9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6.辅助落实省、市营商环境建设年度重点改革任务； </w:t>
      </w:r>
    </w:p>
    <w:p w14:paraId="4A66F6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7.辅助制定区信用体系建设年度工作计划或实施方案； </w:t>
      </w:r>
    </w:p>
    <w:p w14:paraId="0936F6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8.辅助制定或出台涉及信用相关政策文件、实施细则或方案； </w:t>
      </w:r>
    </w:p>
    <w:p w14:paraId="709D3D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9.辅助报送区域内个人、企业（含个体工商户）的信用承诺及履约践诺信息； </w:t>
      </w:r>
    </w:p>
    <w:p w14:paraId="09536B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10.辅助向三亚市公共信用信息平台报送的有效信用信息，包括双公示、红黑名单、职业资格信息等； </w:t>
      </w:r>
    </w:p>
    <w:p w14:paraId="2BA0D6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11.辅助对失信的市场主体开展信用修复宣传和指导； </w:t>
      </w:r>
    </w:p>
    <w:p w14:paraId="07D538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12.辅助落实《三亚市区域信用状况监测评价指标》的工作任务； </w:t>
      </w:r>
    </w:p>
    <w:p w14:paraId="149BEB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13.辅助开展信用条例普法宣传，并报送有效诚信宣传动态至市信用办； </w:t>
      </w:r>
    </w:p>
    <w:p w14:paraId="305F8E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14.辅助报送信用动态信息、信用报道、风险提示等有效诚信宣传动态 至市信用办； </w:t>
      </w:r>
    </w:p>
    <w:p w14:paraId="7A9B74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15.辅助落实省、市信用工作部署及市信用主管部门筹推进各项重点任务； </w:t>
      </w:r>
    </w:p>
    <w:p w14:paraId="6D7CC4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16.辅助落实党建引领信用社区建设相关工作； </w:t>
      </w:r>
    </w:p>
    <w:p w14:paraId="2ECD8A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17.其他未列明的相关优化营商环境建设工作。 </w:t>
      </w:r>
    </w:p>
    <w:p w14:paraId="79D05E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（二）“一枚印章管审批辅助服务” </w:t>
      </w:r>
    </w:p>
    <w:p w14:paraId="74127E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1.辅助加快推进“一件事一次办”改革， 按照省、市相关要求新增“一件事一次办”主题事项不少于 1 项； </w:t>
      </w:r>
    </w:p>
    <w:p w14:paraId="1A5987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2.辅助推行审批事项清单管理，结合实际情况研究确定信用等级审批服务事项，向社会公布并进行动态更新管理； </w:t>
      </w:r>
    </w:p>
    <w:p w14:paraId="25AB3C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3.辅助推动落实政务服务“零跑动”改革，提升“零跑动”事项可办理率达 80%以上，“一网通办”率达 80%以上； </w:t>
      </w:r>
    </w:p>
    <w:p w14:paraId="561F8C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4.辅助推进本级政务服务事项精细化梳理及成果应用,提升事项标准模板认领率、事项动态调整及办事指南准确度； </w:t>
      </w:r>
    </w:p>
    <w:p w14:paraId="3A4157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5.辅助推广政务服务“好差评”模式，提升好差评办件率达 80%以上；</w:t>
      </w:r>
    </w:p>
    <w:p w14:paraId="571A70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6.辅助推行“一枚印章管审批”改革，按照省、市要求年度完成行政审批事项划承接、划转 5 件以上，积极深化“一枚印章管审批”改革工作，制定并实施优化行政审批和政务服务改革举措 1 条； </w:t>
      </w:r>
    </w:p>
    <w:p w14:paraId="453558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7.辅助完善审管互动和信息双向反馈机制等相关工作； </w:t>
      </w:r>
    </w:p>
    <w:p w14:paraId="21703D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8.辅助开展行政审批事项特殊环节（公示、听证、专家评审、现场踏勘）等工作； </w:t>
      </w:r>
    </w:p>
    <w:p w14:paraId="2B5580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9.提供政务服务大厅综合受理窗口、行政审批受理坐席（按办事指南形式预审查以及信息录入等辅助性工作）及自助区、引导台、咨询台、出件窗口等至少 15 个服务窗口； </w:t>
      </w:r>
    </w:p>
    <w:p w14:paraId="03B79B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10.提供线上线下统一、区村（居）两级融合的政务服务事项网上申报、业务咨询、解答等服务； </w:t>
      </w:r>
    </w:p>
    <w:p w14:paraId="16BE1A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11.辅助推进大社区基层建设工作。制定并实施优化大社区审批服务制度机制至少 1 条； </w:t>
      </w:r>
    </w:p>
    <w:p w14:paraId="4444A6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12.其他未列明的相关行政审批制度改革与政务服务工作。 </w:t>
      </w:r>
    </w:p>
    <w:p w14:paraId="35A6F2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四</w:t>
      </w:r>
      <w:r>
        <w:rPr>
          <w:rFonts w:hint="eastAsia" w:ascii="宋体" w:hAnsi="宋体" w:eastAsia="宋体" w:cs="宋体"/>
          <w:b/>
          <w:bCs/>
          <w:color w:val="auto"/>
          <w:sz w:val="24"/>
          <w:szCs w:val="24"/>
          <w:lang w:val="en-US" w:eastAsia="zh-CN"/>
        </w:rPr>
        <w:t xml:space="preserve">、项目运行保障服务要求 </w:t>
      </w:r>
    </w:p>
    <w:p w14:paraId="77E861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（一）供应商管理要求 </w:t>
      </w:r>
    </w:p>
    <w:p w14:paraId="215B71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1.中标供应商应负责拟派服务人员的绩效考核管理、工资薪酬发放、社保公积金办理、个税代扣代缴等工作，务必确保按时足额发放人员的劳务报酬，避免因工资发放不及时、不到位影响工作开展。 </w:t>
      </w:r>
    </w:p>
    <w:p w14:paraId="389E8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2.供应商在劳动争议调解、劳动监察等部门记录良好。必须严格遵守《中华人民共和国劳动法》与员工签订劳务合同，被派驻人员与供应商存在劳动法律关系（包括劳动合同关系、工资保险关系和劳动用工手续等），中标供应商为用人单位，被派驻人员与采购人之前只存在工作管理关系，不存在劳动法律关系。 </w:t>
      </w:r>
    </w:p>
    <w:p w14:paraId="4054F6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（二）派驻人员要求 </w:t>
      </w:r>
    </w:p>
    <w:p w14:paraId="134C36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1、投标人须为本项目设立完整的现场管理服务组织机构，配备相应的各管理岗位人员，为本项目配置的服务人员不低于22人。</w:t>
      </w:r>
    </w:p>
    <w:p w14:paraId="6BA801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2、被派驻人员须具有中华人民共和国国籍；遵守中华人民共和国宪法 及各项法律法规，诚实守信，爱岗敬业，有责任心，服从组织分配，无不良品行和不良嗜好。 </w:t>
      </w:r>
    </w:p>
    <w:p w14:paraId="39F6A3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3、18 周岁以上、40 周岁以下，条件优秀者年龄可放宽；条件优秀者为具有相关政务服务工作经验或具有与工作岗位相适应的特长等。 </w:t>
      </w:r>
    </w:p>
    <w:p w14:paraId="2B408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4、身体健康，五官端正，口齿清楚，具有符合职位要求的工作能力、心理素质和沟通能力。 </w:t>
      </w:r>
    </w:p>
    <w:p w14:paraId="52DFB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5、被派驻人员按照标准工时提供现场服务，按时、按量、按要求完成服务，并严格遵守国家有关法律法规及采购人相关规定。在工作事项多、任务量大的情况下，为保证工作质量、完成工作任务，工作时间需服从采购人工作安排。 </w:t>
      </w:r>
    </w:p>
    <w:p w14:paraId="6D574D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建立健全各类员工的在岗培训和考评制度，加强对员工的管理、教育和培训，提高员工的职业道德水平、法律素质、保密意识、专业技能和安全责任意识；严格按照各岗位人员业务专业管理法规要求管理和培训员工。 </w:t>
      </w:r>
    </w:p>
    <w:p w14:paraId="3DB0E5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7、学历要求：被派驻人员须为全日制大专及以上学历，具有相关政务服务工作经验或具有与工作岗位相适应的特长等学历条件可放宽。 </w:t>
      </w:r>
    </w:p>
    <w:p w14:paraId="2A3A4E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8、派驻地点：三亚市海棠区营商环境建设局、三亚市海棠区政务服务大厅或采购人指定地点。 </w:t>
      </w:r>
    </w:p>
    <w:p w14:paraId="1F6490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（三）人员管理要求 </w:t>
      </w:r>
    </w:p>
    <w:p w14:paraId="7EC705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1、中标供应商应根据采购人要求，对派驻人员进行基础培训，基础培训完成后方可安排上岗。</w:t>
      </w:r>
    </w:p>
    <w:p w14:paraId="3176B9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2、中标供应商应保障派驻人员上岗时纪律性及着装统一。</w:t>
      </w:r>
    </w:p>
    <w:p w14:paraId="6F9CD7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3、中标供应商应保障派驻人员薪资、福利等待遇，避免造成劳务纠纷等事宜。 </w:t>
      </w:r>
    </w:p>
    <w:p w14:paraId="503130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（四）人员替换要求 </w:t>
      </w:r>
    </w:p>
    <w:p w14:paraId="6FC149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1、不符合服务工作要求的人员，采购人有权要求更换。派驻人员应遵守采购人及政务服务大厅各项管理制度，日常表现不佳、影响工作，经采购人提出整改要求后仍无法满足服务要求的，服务单位应在 5 个工作日内无条件更换合格人员上岗。</w:t>
      </w:r>
    </w:p>
    <w:p w14:paraId="288931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2、中标供应商申请调整被派驻人员工作岗位时需征得采购人许可。 </w:t>
      </w:r>
    </w:p>
    <w:p w14:paraId="6EB302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（五）验收标准 </w:t>
      </w:r>
    </w:p>
    <w:p w14:paraId="215E1F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以合同约定的验收标准为准，采购人将按照合同约定的验收标准对项目实施情况进行验收。 </w:t>
      </w:r>
    </w:p>
    <w:p w14:paraId="0F3368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（六）保密要求 </w:t>
      </w:r>
    </w:p>
    <w:p w14:paraId="4848BF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服务供应商应采取必要的措施对采购人所披露给服务供应商的所有信息进行保密（包括但不限于身份证号码、电话号码、证照信息、政务服务相关信息等各类信息），事先未取得采购人的书面同意时不得向任何第三方公开、披露。服务供应商应与派驻人员签订保密协议，增强派驻人员保密意识，强化保密责任，承担因泄密产生的法律责任。 </w:t>
      </w:r>
    </w:p>
    <w:p w14:paraId="40812B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（七）其他 </w:t>
      </w:r>
    </w:p>
    <w:p w14:paraId="7DA372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1、采购人有权根据业务情况对派驻人员岗位进行调配，中标供应商应积极配合。 </w:t>
      </w:r>
    </w:p>
    <w:p w14:paraId="6556AC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2、其他未尽事宜，以采购人和中标供应商签订的合同进行约定。本方案内容与合同不一致的，以合同约定为准。 </w:t>
      </w:r>
    </w:p>
    <w:p w14:paraId="5EA34F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付款方式</w:t>
      </w:r>
    </w:p>
    <w:p w14:paraId="5D4F1E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签订合同后，根据中标供应商提供的有效发票，采购单位在7个工作日内预付合同金额的40%；服务期到半年时，根据乙方提供的有效发票，采购单位在7个工作日内支付乙方合同金额的50%；剩余合同金额的10%在服务期结束且验收完成后根据根据乙方提供的有效发票，采购单位在7个工作日内支付合同金额的10%。</w:t>
      </w:r>
    </w:p>
    <w:p w14:paraId="6FD0E2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六</w:t>
      </w:r>
      <w:r>
        <w:rPr>
          <w:rFonts w:hint="eastAsia" w:ascii="宋体" w:hAnsi="宋体" w:eastAsia="宋体" w:cs="宋体"/>
          <w:b w:val="0"/>
          <w:bCs w:val="0"/>
          <w:color w:val="auto"/>
          <w:sz w:val="24"/>
          <w:szCs w:val="24"/>
        </w:rPr>
        <w:t>、本合同未尽事宜，经双方协商后可签订补充协议，所签订的补充协议与本合同具有同等的法律效力。</w:t>
      </w:r>
    </w:p>
    <w:p w14:paraId="23BA1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七</w:t>
      </w:r>
      <w:r>
        <w:rPr>
          <w:rFonts w:hint="eastAsia" w:ascii="宋体" w:hAnsi="宋体" w:eastAsia="宋体" w:cs="宋体"/>
          <w:b w:val="0"/>
          <w:bCs w:val="0"/>
          <w:color w:val="auto"/>
          <w:sz w:val="24"/>
          <w:szCs w:val="24"/>
        </w:rPr>
        <w:t>、本合同一式捌份，甲方执四份，乙方执二份，财政局和招标采购代理机构各执一份。</w:t>
      </w:r>
    </w:p>
    <w:p w14:paraId="79051D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p>
    <w:p w14:paraId="05A783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p>
    <w:p w14:paraId="71332B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p>
    <w:p w14:paraId="0E1920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p>
    <w:p w14:paraId="0957AA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p>
    <w:p w14:paraId="673370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甲方签章：</w:t>
      </w:r>
      <w:r>
        <w:rPr>
          <w:rFonts w:hint="eastAsia" w:ascii="宋体" w:hAnsi="宋体" w:cs="宋体"/>
          <w:b w:val="0"/>
          <w:bCs w:val="0"/>
          <w:color w:val="auto"/>
          <w:sz w:val="24"/>
          <w:szCs w:val="24"/>
          <w:lang w:eastAsia="zh-CN"/>
        </w:rPr>
        <w:t>三亚市海棠区营商环境建设局</w:t>
      </w:r>
      <w:r>
        <w:rPr>
          <w:rFonts w:hint="eastAsia" w:ascii="宋体" w:hAnsi="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乙方签章：</w:t>
      </w:r>
    </w:p>
    <w:p w14:paraId="2C5D97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甲方统一社会信用代码：</w:t>
      </w:r>
      <w:r>
        <w:rPr>
          <w:rFonts w:hint="eastAsia" w:ascii="宋体" w:hAnsi="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乙方统一社会信用代码：</w:t>
      </w:r>
    </w:p>
    <w:p w14:paraId="25F6BB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法定代表人：</w:t>
      </w:r>
      <w:r>
        <w:rPr>
          <w:rFonts w:hint="eastAsia" w:ascii="宋体" w:hAnsi="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法定代表人：</w:t>
      </w:r>
    </w:p>
    <w:p w14:paraId="1D6F2A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委托代理人：</w:t>
      </w:r>
      <w:r>
        <w:rPr>
          <w:rFonts w:hint="eastAsia" w:ascii="宋体" w:hAnsi="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委托代理人：</w:t>
      </w:r>
    </w:p>
    <w:p w14:paraId="4BD282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开户行：</w:t>
      </w:r>
      <w:r>
        <w:rPr>
          <w:rFonts w:hint="eastAsia" w:ascii="宋体" w:hAnsi="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开户行：</w:t>
      </w:r>
    </w:p>
    <w:p w14:paraId="7ADE5E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账号：</w:t>
      </w:r>
      <w:r>
        <w:rPr>
          <w:rFonts w:hint="eastAsia" w:ascii="宋体" w:hAnsi="宋体" w:cs="宋体"/>
          <w:b w:val="0"/>
          <w:bCs w:val="0"/>
          <w:color w:val="auto"/>
          <w:sz w:val="24"/>
          <w:szCs w:val="24"/>
          <w:lang w:val="en-US" w:eastAsia="zh-CN"/>
        </w:rPr>
        <w:t xml:space="preserve">                                     </w:t>
      </w:r>
      <w:bookmarkStart w:id="0" w:name="_GoBack"/>
      <w:bookmarkEnd w:id="0"/>
      <w:r>
        <w:rPr>
          <w:rFonts w:hint="eastAsia" w:ascii="宋体" w:hAnsi="宋体" w:eastAsia="宋体" w:cs="宋体"/>
          <w:b w:val="0"/>
          <w:bCs w:val="0"/>
          <w:color w:val="auto"/>
          <w:sz w:val="24"/>
          <w:szCs w:val="24"/>
        </w:rPr>
        <w:t>账号：</w:t>
      </w:r>
    </w:p>
    <w:p w14:paraId="1E0806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合同签订时间：</w:t>
      </w:r>
      <w:r>
        <w:rPr>
          <w:rFonts w:hint="eastAsia" w:ascii="宋体" w:hAnsi="宋体" w:cs="宋体"/>
          <w:b w:val="0"/>
          <w:bCs w:val="0"/>
          <w:color w:val="auto"/>
          <w:sz w:val="24"/>
          <w:szCs w:val="24"/>
          <w:lang w:val="en-US" w:eastAsia="zh-CN"/>
        </w:rPr>
        <w:t>2025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日</w:t>
      </w:r>
    </w:p>
    <w:p w14:paraId="600510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57274">
    <w:pPr>
      <w:pStyle w:val="2"/>
      <w:jc w:val="center"/>
    </w:pPr>
  </w:p>
  <w:p w14:paraId="43C40905">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CB717">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848F8C1">
                          <w:pPr>
                            <w:pStyle w:val="2"/>
                          </w:pPr>
                          <w:r>
                            <w:fldChar w:fldCharType="begin"/>
                          </w:r>
                          <w:r>
                            <w:instrText xml:space="preserve"> PAGE  \* MERGEFORMAT </w:instrText>
                          </w:r>
                          <w:r>
                            <w:fldChar w:fldCharType="separate"/>
                          </w:r>
                          <w:r>
                            <w:t>- 2 -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5848F8C1">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7F06E2FF">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D7EB8"/>
    <w:rsid w:val="0D2829A4"/>
    <w:rsid w:val="1DA33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4006</Words>
  <Characters>4371</Characters>
  <Lines>0</Lines>
  <Paragraphs>0</Paragraphs>
  <TotalTime>2</TotalTime>
  <ScaleCrop>false</ScaleCrop>
  <LinksUpToDate>false</LinksUpToDate>
  <CharactersWithSpaces>4635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2025-06-22T14:56:00Z</dcterms:created>
  <dc:creator>南朝装饰</dc:creator>
  <cp:lastModifiedBy>鸿鹄之心</cp:lastModifiedBy>
  <dcterms:modified xsi:type="dcterms:W3CDTF">2025-07-11T03:49:58Z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eyJoZGlkIjoiZWRmNmUxOTNkODFkNzMzZGQyMjU0OTcyODg0ODEzNmEiLCJ1c2VySWQiOiIyMjQ3Mzg2MzIifQ==</vt:lpwstr>
  </property>
  <property fmtid="{D5CDD505-2E9C-101B-9397-08002B2CF9AE}" pid="4" name="ICV">
    <vt:lpwstr>F1A6704C05694E2C81225FB77D430E9B_12</vt:lpwstr>
  </property>
</Properties>
</file>