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三亚市海棠区农村公路路长制业务服务外包项目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三亚市海棠区交通运输局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海南政欣工程管理服务有限公司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三亚市海棠区交通运输局</w:t>
      </w:r>
      <w:r>
        <w:rPr>
          <w:rFonts w:ascii="仿宋_GB2312" w:hAnsi="仿宋_GB2312" w:cs="仿宋_GB2312" w:eastAsia="仿宋_GB2312"/>
        </w:rPr>
        <w:t xml:space="preserve"> 委托， </w:t>
      </w:r>
      <w:r>
        <w:rPr>
          <w:rFonts w:ascii="仿宋_GB2312" w:hAnsi="仿宋_GB2312" w:cs="仿宋_GB2312" w:eastAsia="仿宋_GB2312"/>
        </w:rPr>
        <w:t>海南政欣工程管理服务有限公司</w:t>
      </w:r>
      <w:r>
        <w:rPr>
          <w:rFonts w:ascii="仿宋_GB2312" w:hAnsi="仿宋_GB2312" w:cs="仿宋_GB2312" w:eastAsia="仿宋_GB2312"/>
        </w:rPr>
        <w:t xml:space="preserve"> 对 </w:t>
      </w:r>
      <w:r>
        <w:rPr>
          <w:rFonts w:ascii="仿宋_GB2312" w:hAnsi="仿宋_GB2312" w:cs="仿宋_GB2312" w:eastAsia="仿宋_GB2312"/>
        </w:rPr>
        <w:t>三亚市海棠区农村公路路长制业务服务外包项目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[HNZX]20250200001[GK]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三亚市海棠区农村公路路长制业务服务外包项目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3,788,223.48元</w:t>
      </w:r>
      <w:r>
        <w:rPr>
          <w:rFonts w:ascii="仿宋_GB2312" w:hAnsi="仿宋_GB2312" w:cs="仿宋_GB2312" w:eastAsia="仿宋_GB2312"/>
        </w:rPr>
        <w:t>叁佰柒拾捌万捌仟贰佰贰拾叁元肆角捌分</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3,788,223.48元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1、单位负责人为同一人或者存在直接控股、管理关系的不同投标人，不得参加同一合同项下的政府采购活动：提供声明函并加盖公章。</w:t>
      </w:r>
    </w:p>
    <w:p>
      <w:pPr>
        <w:pStyle w:val="null3"/>
        <w:jc w:val="left"/>
      </w:pPr>
      <w:r>
        <w:rPr>
          <w:rFonts w:ascii="仿宋_GB2312" w:hAnsi="仿宋_GB2312" w:cs="仿宋_GB2312" w:eastAsia="仿宋_GB2312"/>
        </w:rPr>
        <w:t>2、在“信用中国”网站（www.creditchina.gov.cn）、中国政府采购网（www.ccgp.gov.cn）没有列入失信被执行人、重大税收违法失信主体、政府采购严重违法失信行为记录名单的投标人：提供信用承诺书并加盖公章。</w:t>
      </w:r>
    </w:p>
    <w:p>
      <w:pPr>
        <w:pStyle w:val="null3"/>
        <w:jc w:val="left"/>
      </w:pPr>
      <w:r>
        <w:rPr>
          <w:rFonts w:ascii="仿宋_GB2312" w:hAnsi="仿宋_GB2312" w:cs="仿宋_GB2312" w:eastAsia="仿宋_GB2312"/>
        </w:rPr>
        <w:t>3、参加政府采购活动前三年内，无环保类行政处罚记录（成立不足三年的从成立之日起计算）：提供声明函并加盖公章。</w:t>
      </w:r>
    </w:p>
    <w:p>
      <w:pPr>
        <w:pStyle w:val="null3"/>
        <w:jc w:val="left"/>
      </w:pPr>
      <w:r>
        <w:rPr>
          <w:rFonts w:ascii="仿宋_GB2312" w:hAnsi="仿宋_GB2312" w:cs="仿宋_GB2312" w:eastAsia="仿宋_GB2312"/>
        </w:rPr>
        <w:t>4、提供《政府采购供应商信用承诺书》：提供承诺书并加盖公章。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开启时，供应商应当使用数字证书在解密时限内完成全部已响应采购包的响应文件在线解密，若出现系统异常情况，工作人员可适当延长解密时长。如在开启过程中出现意外情 况导致无法继续进行时，由采购代理机构会同采购人决定是否允许供应商导入备用响应文件继续开启。</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三亚市海棠区交通运输局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三亚市海棠区人社大楼303室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许振杨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18389340737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海南政欣工程管理服务有限公司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吉阳区汇丰国际11栋503室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林南英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15692502456</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采购包1：3,788,223.48元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考《国家发展改革委关于进一步放开建设项目专业服务价格的通知》（发改价格〔2015〕299号）及参照《海南省物价局关于降低部分招标代理服务收费标准的通知》琼价费管【2011】534号文收取。代理费为：￥37305.80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1.各投标人的相关证明材料必须在投标文件内提供加盖公章扫描件； 2.投标文件中所附的有关证明、证书、证件等材料均为真实有效的，采购人在开标结束后有权对投标提交的证明、证书、证件等原件材料进行核实。经核实若虚假材料的，若为中标人的还将取消其中标资格，若已签订合同则取消合同并同时上报主管部门进行处罚。 3.本项目最高限价为：3788223.48元（1262741.16元/年，服务期三年，合同一年一签）。报价最高不允许超出此最高限价否则按废标处理，所有报价保留两位小数。 4. 参加政府采购活动的中 小企业提供《中小企业声明函》原件，未提供的，视为放弃享受小微企业价格扣除优惠政策。 5.参加政府采购活动的监狱企业提供监狱企业证明文件，未提供的，视为放弃享受小微企业价格扣除优惠政策。 参加政府采购活动的残疾人福利性单位应当提供《残疾人福利性单位声明函》原件，未提供的，视为放弃享受小微企业价格扣除优惠政策。6.本项目采用远程不见面方式（供应商无需到现场）。 供应商使用“投标客户端”编制、签章、生成加密响应文件，同时生成（同一版的备用响应文件），供应商自行留存，涉及“加盖公章”的内容应使用单位电子公章完成。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开启时，供应商应当使用数字证书在解密时限内完成全部已响应采购包的响应文件在线解密，若出现系统异常情况，工作人员可适当延长解密时长。如在开启过程中出现意外情 况导致无法继续进行时，由采购代理机构会同采购人决定是否允许供应商导入备用响应文件继续开启。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联系人：许振扬</w:t>
      </w:r>
    </w:p>
    <w:p>
      <w:pPr>
        <w:pStyle w:val="null3"/>
        <w:jc w:val="left"/>
      </w:pPr>
      <w:r>
        <w:rPr>
          <w:rFonts w:ascii="仿宋_GB2312" w:hAnsi="仿宋_GB2312" w:cs="仿宋_GB2312" w:eastAsia="仿宋_GB2312"/>
        </w:rPr>
        <w:t>联系电话：18389340737</w:t>
      </w:r>
    </w:p>
    <w:p>
      <w:pPr>
        <w:pStyle w:val="null3"/>
        <w:jc w:val="left"/>
      </w:pPr>
      <w:r>
        <w:rPr>
          <w:rFonts w:ascii="仿宋_GB2312" w:hAnsi="仿宋_GB2312" w:cs="仿宋_GB2312" w:eastAsia="仿宋_GB2312"/>
        </w:rPr>
        <w:t>地址：三亚市海棠区人社大楼303室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服务内容</w:t>
      </w:r>
      <w:r>
        <w:rPr>
          <w:rFonts w:ascii="仿宋_GB2312" w:hAnsi="仿宋_GB2312" w:cs="仿宋_GB2312" w:eastAsia="仿宋_GB2312"/>
          <w:sz w:val="32"/>
        </w:rPr>
        <w:t>为协助开展海棠区辖区内乡道、村道的路政管理和监督检查工作，加强乡道和村道路面巡查和路产路权保护，并协助局办处理投诉单及检查汽修店等相关工作</w:t>
      </w:r>
      <w:r>
        <w:rPr>
          <w:rFonts w:ascii="仿宋_GB2312" w:hAnsi="仿宋_GB2312" w:cs="仿宋_GB2312" w:eastAsia="仿宋_GB2312"/>
          <w:sz w:val="3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3,788,223.48</w:t>
      </w:r>
    </w:p>
    <w:p>
      <w:pPr>
        <w:pStyle w:val="null3"/>
        <w:jc w:val="left"/>
      </w:pPr>
      <w:r>
        <w:rPr>
          <w:rFonts w:ascii="仿宋_GB2312" w:hAnsi="仿宋_GB2312" w:cs="仿宋_GB2312" w:eastAsia="仿宋_GB2312"/>
        </w:rPr>
        <w:t>采购包最高限价（元）: 3,788,223.48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C13990000-其他公共设施管理服务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3,788,223.48</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C13990000-其他公共设施管理服务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3,788,223.48</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标的名称：C13990000-其他公共设施管理服务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一、项目概况</w:t>
            </w:r>
          </w:p>
          <w:p>
            <w:pPr>
              <w:pStyle w:val="null3"/>
              <w:ind w:firstLine="640"/>
              <w:jc w:val="both"/>
            </w:pPr>
            <w:r>
              <w:rPr>
                <w:rFonts w:ascii="仿宋_GB2312" w:hAnsi="仿宋_GB2312" w:cs="仿宋_GB2312" w:eastAsia="仿宋_GB2312"/>
                <w:sz w:val="32"/>
              </w:rPr>
              <w:t>服务内容为协助开展海棠区辖区内乡道、村道的路政管理和监督检查工作，加强乡道和村道路面巡查和路产路权保护，并协助局办处理投诉单及检查汽修店等相关工作。</w:t>
            </w:r>
          </w:p>
          <w:p>
            <w:pPr>
              <w:pStyle w:val="null3"/>
              <w:ind w:firstLine="640"/>
              <w:jc w:val="both"/>
            </w:pPr>
            <w:r>
              <w:rPr>
                <w:rFonts w:ascii="仿宋_GB2312" w:hAnsi="仿宋_GB2312" w:cs="仿宋_GB2312" w:eastAsia="仿宋_GB2312"/>
                <w:sz w:val="32"/>
              </w:rPr>
              <w:t>二、委托服务内容</w:t>
            </w:r>
          </w:p>
          <w:p>
            <w:pPr>
              <w:pStyle w:val="null3"/>
              <w:ind w:firstLine="640"/>
              <w:jc w:val="both"/>
            </w:pPr>
            <w:r>
              <w:rPr>
                <w:rFonts w:ascii="仿宋_GB2312" w:hAnsi="仿宋_GB2312" w:cs="仿宋_GB2312" w:eastAsia="仿宋_GB2312"/>
                <w:sz w:val="32"/>
              </w:rPr>
              <w:t>2.1负责协助开展海棠区辖区内乡道和村道的路政管理盒监督检查，加强乡道和村道路面巡查和路产路权保护，防止、制止损坏破坏农村公路设施行为，对路建筑控制区内乱挖乱设、乱搭乱建、乱堆乱放的要及时制止，发现问题及时上报路政执法部门并协助进行查处。</w:t>
            </w:r>
          </w:p>
          <w:p>
            <w:pPr>
              <w:pStyle w:val="null3"/>
              <w:ind w:firstLine="640"/>
              <w:jc w:val="both"/>
            </w:pPr>
            <w:r>
              <w:rPr>
                <w:rFonts w:ascii="仿宋_GB2312" w:hAnsi="仿宋_GB2312" w:cs="仿宋_GB2312" w:eastAsia="仿宋_GB2312"/>
                <w:sz w:val="32"/>
              </w:rPr>
              <w:t>2.2协助处理市民举报或区相关部门转交的乡道和村道相关投诉问题事项。</w:t>
            </w:r>
          </w:p>
          <w:p>
            <w:pPr>
              <w:pStyle w:val="null3"/>
              <w:ind w:firstLine="640"/>
              <w:jc w:val="both"/>
            </w:pPr>
            <w:r>
              <w:rPr>
                <w:rFonts w:ascii="仿宋_GB2312" w:hAnsi="仿宋_GB2312" w:cs="仿宋_GB2312" w:eastAsia="仿宋_GB2312"/>
                <w:sz w:val="32"/>
              </w:rPr>
              <w:t>2.3协助开展与其他相关部门联合组织的专项执法检查。</w:t>
            </w:r>
          </w:p>
          <w:p>
            <w:pPr>
              <w:pStyle w:val="null3"/>
              <w:ind w:firstLine="640"/>
              <w:jc w:val="both"/>
            </w:pPr>
            <w:r>
              <w:rPr>
                <w:rFonts w:ascii="仿宋_GB2312" w:hAnsi="仿宋_GB2312" w:cs="仿宋_GB2312" w:eastAsia="仿宋_GB2312"/>
                <w:sz w:val="32"/>
              </w:rPr>
              <w:t>2.4协助开展领导交办的其他工作，例如协助处理临时、突发事件，协助参与相关协调会、警示会、调研等。</w:t>
            </w:r>
          </w:p>
          <w:p>
            <w:pPr>
              <w:pStyle w:val="null3"/>
              <w:ind w:firstLine="640"/>
              <w:jc w:val="both"/>
            </w:pPr>
            <w:r>
              <w:rPr>
                <w:rFonts w:ascii="仿宋_GB2312" w:hAnsi="仿宋_GB2312" w:cs="仿宋_GB2312" w:eastAsia="仿宋_GB2312"/>
                <w:sz w:val="32"/>
              </w:rPr>
              <w:t>2.5配合我局负责的农村公路相关项目建设。</w:t>
            </w:r>
          </w:p>
          <w:p>
            <w:pPr>
              <w:pStyle w:val="null3"/>
              <w:ind w:firstLine="640"/>
              <w:jc w:val="both"/>
            </w:pPr>
            <w:r>
              <w:rPr>
                <w:rFonts w:ascii="仿宋_GB2312" w:hAnsi="仿宋_GB2312" w:cs="仿宋_GB2312" w:eastAsia="仿宋_GB2312"/>
                <w:sz w:val="32"/>
              </w:rPr>
              <w:t>2.6中标方负责提供专用车辆用于日常巡查，为确保工作车辆安全，严禁使用故障车辆，并定期检查车辆状况，及时排除安全隐患，保持车况良好；车辆要保持清洁卫生；司机行车必须严格遵守交通规则，确保行车安全、（公司自行承担车辆日常费用，费用包括：月租金、燃油费、停车费、年审、日常保养及维修费用、环保监测、保险费用等，为保证车辆和安全使用所产生的所有费用），如人员或车辆出现任何状况或者人员能力问题无法胜任该项工作的应立即更换，确保完成采购人日常工作。中标方劳务服务人员、车辆保险均由中标方负责购买，且后续安全责任由中标方自行负责。</w:t>
            </w:r>
          </w:p>
          <w:p>
            <w:pPr>
              <w:pStyle w:val="null3"/>
              <w:ind w:firstLine="640"/>
              <w:jc w:val="both"/>
            </w:pPr>
            <w:r>
              <w:rPr>
                <w:rFonts w:ascii="仿宋_GB2312" w:hAnsi="仿宋_GB2312" w:cs="仿宋_GB2312" w:eastAsia="仿宋_GB2312"/>
                <w:sz w:val="32"/>
              </w:rPr>
              <w:t>2.7采购人交办的合同未明示的其他工作。</w:t>
            </w:r>
          </w:p>
          <w:p>
            <w:pPr>
              <w:pStyle w:val="null3"/>
              <w:ind w:firstLine="640"/>
              <w:jc w:val="both"/>
            </w:pPr>
            <w:r>
              <w:rPr>
                <w:rFonts w:ascii="仿宋_GB2312" w:hAnsi="仿宋_GB2312" w:cs="仿宋_GB2312" w:eastAsia="仿宋_GB2312"/>
                <w:sz w:val="32"/>
              </w:rPr>
              <w:t>2.8如遇特殊情况需加班时，应立即响应采购人安排，不得以任何不正当理由拒绝参与。</w:t>
            </w:r>
          </w:p>
          <w:p>
            <w:pPr>
              <w:pStyle w:val="null3"/>
              <w:ind w:firstLine="640"/>
              <w:jc w:val="both"/>
            </w:pPr>
            <w:r>
              <w:rPr>
                <w:rFonts w:ascii="仿宋_GB2312" w:hAnsi="仿宋_GB2312" w:cs="仿宋_GB2312" w:eastAsia="仿宋_GB2312"/>
                <w:sz w:val="32"/>
              </w:rPr>
              <w:t>三、服务方式</w:t>
            </w:r>
          </w:p>
          <w:p>
            <w:pPr>
              <w:pStyle w:val="null3"/>
              <w:ind w:firstLine="640"/>
              <w:jc w:val="both"/>
            </w:pPr>
            <w:r>
              <w:rPr>
                <w:rFonts w:ascii="仿宋_GB2312" w:hAnsi="仿宋_GB2312" w:cs="仿宋_GB2312" w:eastAsia="仿宋_GB2312"/>
                <w:sz w:val="32"/>
              </w:rPr>
              <w:t>在签订合同后，将服务项目整体外包给承接单位，由承接方全面负责提供该项目的服务。</w:t>
            </w:r>
          </w:p>
          <w:p>
            <w:pPr>
              <w:pStyle w:val="null3"/>
              <w:ind w:firstLine="640"/>
              <w:jc w:val="both"/>
            </w:pPr>
            <w:r>
              <w:rPr>
                <w:rFonts w:ascii="仿宋_GB2312" w:hAnsi="仿宋_GB2312" w:cs="仿宋_GB2312" w:eastAsia="仿宋_GB2312"/>
                <w:sz w:val="32"/>
              </w:rPr>
              <w:t>四、双方权利义务</w:t>
            </w:r>
          </w:p>
          <w:p>
            <w:pPr>
              <w:pStyle w:val="null3"/>
              <w:ind w:firstLine="640"/>
              <w:jc w:val="both"/>
            </w:pPr>
            <w:r>
              <w:rPr>
                <w:rFonts w:ascii="仿宋_GB2312" w:hAnsi="仿宋_GB2312" w:cs="仿宋_GB2312" w:eastAsia="仿宋_GB2312"/>
                <w:sz w:val="32"/>
              </w:rPr>
              <w:t xml:space="preserve"> </w:t>
            </w:r>
            <w:r>
              <w:rPr>
                <w:rFonts w:ascii="仿宋_GB2312" w:hAnsi="仿宋_GB2312" w:cs="仿宋_GB2312" w:eastAsia="仿宋_GB2312"/>
                <w:sz w:val="32"/>
              </w:rPr>
              <w:t>4.1采购人权利义务</w:t>
            </w:r>
          </w:p>
          <w:p>
            <w:pPr>
              <w:pStyle w:val="null3"/>
              <w:ind w:firstLine="640"/>
              <w:jc w:val="both"/>
            </w:pPr>
            <w:r>
              <w:rPr>
                <w:rFonts w:ascii="仿宋_GB2312" w:hAnsi="仿宋_GB2312" w:cs="仿宋_GB2312" w:eastAsia="仿宋_GB2312"/>
                <w:sz w:val="32"/>
              </w:rPr>
              <w:t>如因中标方原因导致采购人被行政处分或行政处罚，采购人保留向中标方追究法律责任、经济责任的权利。</w:t>
            </w:r>
          </w:p>
          <w:p>
            <w:pPr>
              <w:pStyle w:val="null3"/>
              <w:ind w:firstLine="640"/>
              <w:jc w:val="both"/>
            </w:pPr>
            <w:r>
              <w:rPr>
                <w:rFonts w:ascii="仿宋_GB2312" w:hAnsi="仿宋_GB2312" w:cs="仿宋_GB2312" w:eastAsia="仿宋_GB2312"/>
                <w:sz w:val="32"/>
              </w:rPr>
              <w:t>采购人有权要求中标方撤换任何不能胜任工作的人员，中标方不得以任何形式或理由拒绝且需在采购人要求的时间内完成替换。</w:t>
            </w:r>
          </w:p>
          <w:p>
            <w:pPr>
              <w:pStyle w:val="null3"/>
              <w:ind w:firstLine="640"/>
              <w:jc w:val="both"/>
            </w:pPr>
            <w:r>
              <w:rPr>
                <w:rFonts w:ascii="仿宋_GB2312" w:hAnsi="仿宋_GB2312" w:cs="仿宋_GB2312" w:eastAsia="仿宋_GB2312"/>
                <w:sz w:val="32"/>
              </w:rPr>
              <w:t>采购人应向中标方提供与本项目有关的协调工作，提供开展服务工作的外部条件。例如工作证等其他必要条件，以便中标方工作人员在巡查时顺利开展工作。</w:t>
            </w:r>
          </w:p>
          <w:p>
            <w:pPr>
              <w:pStyle w:val="null3"/>
              <w:ind w:firstLine="640"/>
              <w:jc w:val="both"/>
            </w:pPr>
            <w:r>
              <w:rPr>
                <w:rFonts w:ascii="仿宋_GB2312" w:hAnsi="仿宋_GB2312" w:cs="仿宋_GB2312" w:eastAsia="仿宋_GB2312"/>
                <w:sz w:val="32"/>
              </w:rPr>
              <w:t>法律、法规规定的其他权利义务。</w:t>
            </w:r>
          </w:p>
          <w:p>
            <w:pPr>
              <w:pStyle w:val="null3"/>
              <w:ind w:firstLine="640"/>
              <w:jc w:val="both"/>
            </w:pPr>
            <w:r>
              <w:rPr>
                <w:rFonts w:ascii="仿宋_GB2312" w:hAnsi="仿宋_GB2312" w:cs="仿宋_GB2312" w:eastAsia="仿宋_GB2312"/>
                <w:sz w:val="32"/>
              </w:rPr>
              <w:t>4.2中标方权利义务</w:t>
            </w:r>
          </w:p>
          <w:p>
            <w:pPr>
              <w:pStyle w:val="null3"/>
              <w:ind w:firstLine="640"/>
              <w:jc w:val="both"/>
            </w:pPr>
            <w:r>
              <w:rPr>
                <w:rFonts w:ascii="仿宋_GB2312" w:hAnsi="仿宋_GB2312" w:cs="仿宋_GB2312" w:eastAsia="仿宋_GB2312"/>
                <w:sz w:val="32"/>
              </w:rPr>
              <w:t>中标方对参与本项目的工作人员的福利待遇经双方协商确定。</w:t>
            </w:r>
          </w:p>
          <w:p>
            <w:pPr>
              <w:pStyle w:val="null3"/>
              <w:ind w:firstLine="640"/>
              <w:jc w:val="both"/>
            </w:pPr>
            <w:r>
              <w:rPr>
                <w:rFonts w:ascii="仿宋_GB2312" w:hAnsi="仿宋_GB2312" w:cs="仿宋_GB2312" w:eastAsia="仿宋_GB2312"/>
                <w:sz w:val="32"/>
              </w:rPr>
              <w:t>如果因不可归责于中标方的原因导致中标方不能履约的，则中标方有权和采购人就有关事宜进行沟通，如经采购人确认确属不可归责于中标方的原因，且中标方已为避免此种情形采取必要的措施，则采购人出具相应的书面文件，确认不得以此作为对中标方考核不达标的依据，并不得追究中标方的违约责任。</w:t>
            </w:r>
          </w:p>
          <w:p>
            <w:pPr>
              <w:pStyle w:val="null3"/>
              <w:ind w:firstLine="640"/>
              <w:jc w:val="both"/>
            </w:pPr>
            <w:r>
              <w:rPr>
                <w:rFonts w:ascii="仿宋_GB2312" w:hAnsi="仿宋_GB2312" w:cs="仿宋_GB2312" w:eastAsia="仿宋_GB2312"/>
                <w:sz w:val="32"/>
              </w:rPr>
              <w:t>中标方应尽勤勉义务，严格执行项目服务计划。</w:t>
            </w:r>
          </w:p>
          <w:p>
            <w:pPr>
              <w:pStyle w:val="null3"/>
              <w:ind w:firstLine="640"/>
              <w:jc w:val="both"/>
            </w:pPr>
            <w:r>
              <w:rPr>
                <w:rFonts w:ascii="仿宋_GB2312" w:hAnsi="仿宋_GB2312" w:cs="仿宋_GB2312" w:eastAsia="仿宋_GB2312"/>
                <w:sz w:val="32"/>
              </w:rPr>
              <w:t>若中标方履行本合同确需采购人配合或协调的，应事先向采购人提出书面说明并清晰、完整地列明采购人需配合的事项及时间要求等内容，经采购人书面同意后，采购人依约定完成配合或协调事项；否则，采购人无须向中标方提供任何配合或协助，中标方亦不能以此为由要求采购人承担任何责任或主张减轻或免除自己任何责任。</w:t>
            </w:r>
          </w:p>
          <w:p>
            <w:pPr>
              <w:pStyle w:val="null3"/>
              <w:ind w:firstLine="640"/>
              <w:jc w:val="both"/>
            </w:pPr>
            <w:r>
              <w:rPr>
                <w:rFonts w:ascii="仿宋_GB2312" w:hAnsi="仿宋_GB2312" w:cs="仿宋_GB2312" w:eastAsia="仿宋_GB2312"/>
                <w:sz w:val="32"/>
              </w:rPr>
              <w:t>中标方参与本项目的服务人员应遵守采购人各项工作管理要求，接受统一安排。</w:t>
            </w:r>
          </w:p>
          <w:p>
            <w:pPr>
              <w:pStyle w:val="null3"/>
              <w:ind w:firstLine="640"/>
              <w:jc w:val="both"/>
            </w:pPr>
            <w:r>
              <w:rPr>
                <w:rFonts w:ascii="仿宋_GB2312" w:hAnsi="仿宋_GB2312" w:cs="仿宋_GB2312" w:eastAsia="仿宋_GB2312"/>
                <w:sz w:val="32"/>
              </w:rPr>
              <w:t>采购人告知不符合服务要求的内容和原因后，中标方应在采购人指定期限内完成整改。</w:t>
            </w:r>
          </w:p>
          <w:p>
            <w:pPr>
              <w:pStyle w:val="null3"/>
              <w:ind w:firstLine="640"/>
              <w:jc w:val="both"/>
            </w:pPr>
            <w:r>
              <w:rPr>
                <w:rFonts w:ascii="仿宋_GB2312" w:hAnsi="仿宋_GB2312" w:cs="仿宋_GB2312" w:eastAsia="仿宋_GB2312"/>
                <w:sz w:val="32"/>
              </w:rPr>
              <w:t>中标方应及时参加采购人组织的例会、专题会议等。</w:t>
            </w:r>
          </w:p>
          <w:p>
            <w:pPr>
              <w:pStyle w:val="null3"/>
              <w:ind w:firstLine="640"/>
              <w:jc w:val="both"/>
            </w:pPr>
            <w:r>
              <w:rPr>
                <w:rFonts w:ascii="仿宋_GB2312" w:hAnsi="仿宋_GB2312" w:cs="仿宋_GB2312" w:eastAsia="仿宋_GB2312"/>
                <w:sz w:val="32"/>
              </w:rPr>
              <w:t>如政府审计部门或政府审计部门委托的第三方审计单位需对涉及本合同的事项进行审计时，中标方应按照政府审计有关法律法规和政策要求，支持、协助审计部门或其委托的跟踪审计单位开展工作。</w:t>
            </w:r>
          </w:p>
          <w:p>
            <w:pPr>
              <w:pStyle w:val="null3"/>
              <w:ind w:firstLine="640"/>
              <w:jc w:val="both"/>
            </w:pPr>
            <w:r>
              <w:rPr>
                <w:rFonts w:ascii="仿宋_GB2312" w:hAnsi="仿宋_GB2312" w:cs="仿宋_GB2312" w:eastAsia="仿宋_GB2312"/>
                <w:sz w:val="32"/>
              </w:rPr>
              <w:t>中标方不得将本合同项下的权利或义务转让，或将本合同项下的服务转包或分包。</w:t>
            </w:r>
          </w:p>
          <w:p>
            <w:pPr>
              <w:pStyle w:val="null3"/>
              <w:ind w:firstLine="640"/>
              <w:jc w:val="both"/>
            </w:pPr>
            <w:r>
              <w:rPr>
                <w:rFonts w:ascii="仿宋_GB2312" w:hAnsi="仿宋_GB2312" w:cs="仿宋_GB2312" w:eastAsia="仿宋_GB2312"/>
                <w:sz w:val="32"/>
              </w:rPr>
              <w:t>法律、法规规定的其他权利义务。</w:t>
            </w:r>
          </w:p>
          <w:p>
            <w:pPr>
              <w:pStyle w:val="null3"/>
              <w:ind w:firstLine="640"/>
              <w:jc w:val="both"/>
            </w:pPr>
            <w:r>
              <w:rPr>
                <w:rFonts w:ascii="仿宋_GB2312" w:hAnsi="仿宋_GB2312" w:cs="仿宋_GB2312" w:eastAsia="仿宋_GB2312"/>
                <w:sz w:val="32"/>
              </w:rPr>
              <w:t>五、服务要求</w:t>
            </w:r>
          </w:p>
          <w:p>
            <w:pPr>
              <w:pStyle w:val="null3"/>
              <w:ind w:firstLine="640"/>
              <w:jc w:val="both"/>
            </w:pPr>
            <w:r>
              <w:rPr>
                <w:rFonts w:ascii="仿宋_GB2312" w:hAnsi="仿宋_GB2312" w:cs="仿宋_GB2312" w:eastAsia="仿宋_GB2312"/>
                <w:sz w:val="32"/>
              </w:rPr>
              <w:t xml:space="preserve"> </w:t>
            </w:r>
            <w:r>
              <w:rPr>
                <w:rFonts w:ascii="仿宋_GB2312" w:hAnsi="仿宋_GB2312" w:cs="仿宋_GB2312" w:eastAsia="仿宋_GB2312"/>
                <w:sz w:val="32"/>
              </w:rPr>
              <w:t>5.1中标方严格采购人规定的作业形式、作业质量标准及行业规范，按时、保质、保量完成所委托作业项目范围、承包事项的相关要求执行服务管理和考核。</w:t>
            </w:r>
          </w:p>
          <w:p>
            <w:pPr>
              <w:pStyle w:val="null3"/>
              <w:ind w:firstLine="640"/>
              <w:jc w:val="both"/>
            </w:pPr>
            <w:r>
              <w:rPr>
                <w:rFonts w:ascii="仿宋_GB2312" w:hAnsi="仿宋_GB2312" w:cs="仿宋_GB2312" w:eastAsia="仿宋_GB2312"/>
                <w:sz w:val="32"/>
              </w:rPr>
              <w:t xml:space="preserve"> </w:t>
            </w:r>
            <w:r>
              <w:rPr>
                <w:rFonts w:ascii="仿宋_GB2312" w:hAnsi="仿宋_GB2312" w:cs="仿宋_GB2312" w:eastAsia="仿宋_GB2312"/>
                <w:sz w:val="32"/>
              </w:rPr>
              <w:t>5.2中标方在合同约定的服务范围内对选派的工作人员进行管理和绩效考核。</w:t>
            </w:r>
          </w:p>
          <w:p>
            <w:pPr>
              <w:pStyle w:val="null3"/>
              <w:ind w:firstLine="640"/>
              <w:jc w:val="both"/>
            </w:pPr>
            <w:r>
              <w:rPr>
                <w:rFonts w:ascii="仿宋_GB2312" w:hAnsi="仿宋_GB2312" w:cs="仿宋_GB2312" w:eastAsia="仿宋_GB2312"/>
                <w:sz w:val="32"/>
              </w:rPr>
              <w:t xml:space="preserve"> </w:t>
            </w:r>
            <w:r>
              <w:rPr>
                <w:rFonts w:ascii="仿宋_GB2312" w:hAnsi="仿宋_GB2312" w:cs="仿宋_GB2312" w:eastAsia="仿宋_GB2312"/>
                <w:sz w:val="32"/>
              </w:rPr>
              <w:t>5.3中标方可根据任务分工和业务工作变化随时调整工作人员的业务分工。工作人员因身体原因、工作强度、环境适应、业务能力等主观因素导致无法胜任本职工作的，采购人可要求中标方及时调整做好人员退出递补，但必须做好工作交接后。</w:t>
            </w:r>
          </w:p>
          <w:p>
            <w:pPr>
              <w:pStyle w:val="null3"/>
              <w:ind w:firstLine="640"/>
              <w:jc w:val="both"/>
            </w:pPr>
            <w:r>
              <w:rPr>
                <w:rFonts w:ascii="仿宋_GB2312" w:hAnsi="仿宋_GB2312" w:cs="仿宋_GB2312" w:eastAsia="仿宋_GB2312"/>
                <w:sz w:val="32"/>
              </w:rPr>
              <w:t>5.4人员设备标准和要求</w:t>
            </w:r>
          </w:p>
          <w:tbl>
            <w:tblPr>
              <w:tblBorders>
                <w:top w:val="none" w:color="000000" w:sz="4"/>
                <w:left w:val="none" w:color="000000" w:sz="4"/>
                <w:bottom w:val="none" w:color="000000" w:sz="4"/>
                <w:right w:val="none" w:color="000000" w:sz="4"/>
                <w:insideH w:val="none"/>
                <w:insideV w:val="none"/>
              </w:tblBorders>
            </w:tblPr>
            <w:tblGrid>
              <w:gridCol w:w="540"/>
              <w:gridCol w:w="661"/>
              <w:gridCol w:w="713"/>
              <w:gridCol w:w="639"/>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rPr>
                    <w:t>名称</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rPr>
                    <w:t>巡查人员</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rPr>
                    <w:t>工具</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rPr>
                    <w:t>备注</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rPr>
                    <w:t>数量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rFonts w:ascii="仿宋_GB2312" w:hAnsi="仿宋_GB2312" w:cs="仿宋_GB2312" w:eastAsia="仿宋_GB2312"/>
                      <w:sz w:val="32"/>
                    </w:rPr>
                    <w:t>≧13人</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配备必需的交通工具及其他相关工具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p>
              </w:tc>
            </w:tr>
          </w:tbl>
          <w:p>
            <w:pPr>
              <w:pStyle w:val="null3"/>
              <w:jc w:val="both"/>
            </w:pPr>
            <w:r>
              <w:rPr>
                <w:rFonts w:ascii="仿宋_GB2312" w:hAnsi="仿宋_GB2312" w:cs="仿宋_GB2312" w:eastAsia="仿宋_GB2312"/>
                <w:sz w:val="32"/>
              </w:rPr>
              <w:t>六、考核</w:t>
            </w:r>
          </w:p>
          <w:p>
            <w:pPr>
              <w:pStyle w:val="null3"/>
              <w:ind w:firstLine="640"/>
              <w:jc w:val="both"/>
            </w:pPr>
            <w:r>
              <w:rPr>
                <w:rFonts w:ascii="仿宋_GB2312" w:hAnsi="仿宋_GB2312" w:cs="仿宋_GB2312" w:eastAsia="仿宋_GB2312"/>
                <w:sz w:val="32"/>
              </w:rPr>
              <w:t>考核方式为季度考核，实行百分制量化考核。</w:t>
            </w:r>
          </w:p>
          <w:p>
            <w:pPr>
              <w:pStyle w:val="null3"/>
              <w:ind w:firstLine="640"/>
              <w:jc w:val="both"/>
            </w:pPr>
            <w:r>
              <w:rPr>
                <w:rFonts w:ascii="仿宋_GB2312" w:hAnsi="仿宋_GB2312" w:cs="仿宋_GB2312" w:eastAsia="仿宋_GB2312"/>
                <w:sz w:val="32"/>
              </w:rPr>
              <w:t>6.1考核为资料审核、现场抽查等。采购人按《海棠区农村公路管理养护实施路长制考核方案》每季度对中标方的服务情况进行考核。</w:t>
            </w:r>
          </w:p>
          <w:p>
            <w:pPr>
              <w:pStyle w:val="null3"/>
              <w:ind w:firstLine="640"/>
              <w:jc w:val="both"/>
            </w:pPr>
            <w:r>
              <w:rPr>
                <w:rFonts w:ascii="仿宋_GB2312" w:hAnsi="仿宋_GB2312" w:cs="仿宋_GB2312" w:eastAsia="仿宋_GB2312"/>
                <w:sz w:val="32"/>
              </w:rPr>
              <w:t>6.2考核依据为国家和行业有关规范、规程和标准。</w:t>
            </w:r>
          </w:p>
          <w:p>
            <w:pPr>
              <w:pStyle w:val="null3"/>
              <w:ind w:firstLine="640"/>
              <w:jc w:val="both"/>
            </w:pPr>
            <w:r>
              <w:rPr>
                <w:rFonts w:ascii="仿宋_GB2312" w:hAnsi="仿宋_GB2312" w:cs="仿宋_GB2312" w:eastAsia="仿宋_GB2312"/>
                <w:sz w:val="32"/>
              </w:rPr>
              <w:t>6.3 季度考核结果应用：考核结果分为“优、良、差”三个等次，其中90分（含90分）的为“优”，80分以上（含80分）的为“良”，80分以下的为“差”。考核为“优、良”的服务商，全额支付当季度经费；考核为“差”的服务商，扣罚合同金额的10%，并有权解除协议。</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服务期限：</w:t>
            </w:r>
            <w:r>
              <w:rPr>
                <w:rFonts w:ascii="仿宋_GB2312" w:hAnsi="仿宋_GB2312" w:cs="仿宋_GB2312" w:eastAsia="仿宋_GB2312"/>
                <w:sz w:val="20"/>
                <w:color w:val="000000"/>
              </w:rPr>
              <w:t>三</w:t>
            </w:r>
            <w:r>
              <w:rPr>
                <w:rFonts w:ascii="仿宋_GB2312" w:hAnsi="仿宋_GB2312" w:cs="仿宋_GB2312" w:eastAsia="仿宋_GB2312"/>
                <w:sz w:val="20"/>
                <w:color w:val="000000"/>
              </w:rPr>
              <w:t>年</w:t>
            </w:r>
            <w:r>
              <w:rPr>
                <w:rFonts w:ascii="仿宋_GB2312" w:hAnsi="仿宋_GB2312" w:cs="仿宋_GB2312" w:eastAsia="仿宋_GB2312"/>
                <w:sz w:val="20"/>
                <w:color w:val="000000"/>
              </w:rPr>
              <w:t>，</w:t>
            </w:r>
            <w:r>
              <w:rPr>
                <w:rFonts w:ascii="仿宋_GB2312" w:hAnsi="仿宋_GB2312" w:cs="仿宋_GB2312" w:eastAsia="仿宋_GB2312"/>
                <w:sz w:val="20"/>
                <w:color w:val="000000"/>
              </w:rPr>
              <w:t>合同</w:t>
            </w:r>
            <w:r>
              <w:rPr>
                <w:rFonts w:ascii="仿宋_GB2312" w:hAnsi="仿宋_GB2312" w:cs="仿宋_GB2312" w:eastAsia="仿宋_GB2312"/>
                <w:sz w:val="20"/>
                <w:color w:val="000000"/>
              </w:rPr>
              <w:t>一年一签。</w:t>
            </w:r>
          </w:p>
          <w:p>
            <w:pPr>
              <w:pStyle w:val="null3"/>
              <w:ind w:firstLine="400"/>
              <w:jc w:val="both"/>
            </w:pPr>
            <w:r>
              <w:rPr>
                <w:rFonts w:ascii="仿宋_GB2312" w:hAnsi="仿宋_GB2312" w:cs="仿宋_GB2312" w:eastAsia="仿宋_GB2312"/>
                <w:sz w:val="20"/>
                <w:color w:val="000000"/>
              </w:rPr>
              <w:t>二、</w:t>
            </w:r>
            <w:r>
              <w:rPr>
                <w:rFonts w:ascii="仿宋_GB2312" w:hAnsi="仿宋_GB2312" w:cs="仿宋_GB2312" w:eastAsia="仿宋_GB2312"/>
                <w:sz w:val="20"/>
                <w:color w:val="000000"/>
              </w:rPr>
              <w:t>服务地点：</w:t>
            </w:r>
            <w:r>
              <w:rPr>
                <w:rFonts w:ascii="仿宋_GB2312" w:hAnsi="仿宋_GB2312" w:cs="仿宋_GB2312" w:eastAsia="仿宋_GB2312"/>
                <w:sz w:val="20"/>
                <w:color w:val="000000"/>
              </w:rPr>
              <w:t>采购人指定地点。</w:t>
            </w:r>
          </w:p>
          <w:p>
            <w:pPr>
              <w:pStyle w:val="null3"/>
              <w:ind w:firstLine="400"/>
              <w:jc w:val="both"/>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付款方式：</w:t>
            </w:r>
            <w:r>
              <w:rPr>
                <w:rFonts w:ascii="仿宋_GB2312" w:hAnsi="仿宋_GB2312" w:cs="仿宋_GB2312" w:eastAsia="仿宋_GB2312"/>
                <w:sz w:val="20"/>
                <w:color w:val="000000"/>
              </w:rPr>
              <w:t>以双方签订的政府采购合同为准。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在“信用中国”网站（www.creditchina.gov.cn）、中国政府采购网（www.ccgp.gov.cn）没有列入失信被执行人、重大税收违法失信主体、政府采购严重违法失信行为记录名单的投标人</w:t>
            </w:r>
          </w:p>
        </w:tc>
        <w:tc>
          <w:tcPr>
            <w:tcW w:type="dxa" w:w="3322"/>
          </w:tcPr>
          <w:p>
            <w:pPr>
              <w:pStyle w:val="null3"/>
              <w:jc w:val="left"/>
            </w:pPr>
            <w:r>
              <w:rPr>
                <w:rFonts w:ascii="仿宋_GB2312" w:hAnsi="仿宋_GB2312" w:cs="仿宋_GB2312" w:eastAsia="仿宋_GB2312"/>
              </w:rPr>
              <w:t>提供信用承诺书并加盖公章。</w:t>
            </w:r>
          </w:p>
        </w:tc>
        <w:tc>
          <w:tcPr>
            <w:tcW w:type="dxa" w:w="1661"/>
          </w:tcPr>
          <w:p>
            <w:pPr>
              <w:pStyle w:val="null3"/>
              <w:jc w:val="left"/>
            </w:pPr>
            <w:r>
              <w:rPr>
                <w:rFonts w:ascii="仿宋_GB2312" w:hAnsi="仿宋_GB2312" w:cs="仿宋_GB2312" w:eastAsia="仿宋_GB2312"/>
              </w:rPr>
              <w:t>投标人无不良信用记录承诺书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参加政府采购活动前三年内，无环保类行政处罚记录（成立不足三年的从成立之日起计算）</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投标人提供的服务方案，应包括但不限于以下内容：① 管理模式；②服务效果；③工作内容；④与采购人对接方案。 1、投标人提供上述内容的，每项得1分，满分4分，未提供不得分。 2、根据投标人提供的服务方案 进行评审赋分： A.服务方案科学合理，适用性强，思路清晰，内容全面，结合实际情况，考虑问题周全，实施过程务实，各项指标均能完成的，得7.1-11.0分； B. 服务方案基本能够满足采购需求，安排合理的，得3.1- 7.0分； C.服务方案不够合理的，得0.1-3.0分； D.未提供不得分。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技术响应文件</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提供针对本项目的质量保证方案，应包括但不限于以下内容：① 质量保证范围、②质量保证承诺、③质量保证措施等要素：1、投标人提供上述内容的，每项得1分，满分3分，未提供不得分。 2、根据投标人提供的质量保证方案进行评审赋分：A.内容详细周全、科学合理的视为优得7.1-12.0分；B.方案较合理、较可行的视为良得3.1-7.0分；C.方案基本合理、基本可行的视为一般得0.1-3.0分；D.未提供不得分。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技术响应文件</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投标人提供应急预案，应包括但不限于以下内容：①可能发生的紧急事件；②相应的处理办法。 1、投标人提供上述内容的，每项得1分，满分2分，未提供不得分。 2、根据投标人提供的应急预案进行评审赋分： A.应急预案科学合理，适用性强，思路清晰，内容全面，结合实际情况，考虑问题周全，实施过程务实，各项指标均能完成的，得5.1-8.0分； B.应急预案基本能够满足采购需求，安排合理的，得3.1-5.0分； C.应急预案不够合理的，得0.1-3.0分； D.未提供不得分。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技术响应文件</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提供针对本项目的验收方案，应包括但不限于以下内容：①具体的验收计划安排、②验收流程、③人员安排等要素： 1、投标人提供上述内容的，每项得1分，满分3分，未提供不得分。 2、根据投标人提供的验收方案进行评审赋分：A.内容详细周全、科学合理的视为优得7.1-12.0分；B.方案较合理、较可行的视为良得3.1-7分； C.方案基本合理、基本可行的视为一般得0.1-3.0分 ；D.未提供不得分。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技术响应文件</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投标人提供的管理制度，应包括但不限于以下内容：① 日常考勤制度；②内部管理制度。 1、投标人提供上述 内容的，每项得1分，满分2分，未提供不得分。 2、根据投标人提供的管理制度进行评审赋分： A.管理制 度科学合理，适用性强，思路清晰，内容全面，结合实 际情况，考虑问题周全，实施过程务实，各项指标均能 完成的，得5.1-8.0分； B.管理制度基本能够满足采购 需求，安排合理的，得3.1-5.0分； C.管理制度不够合 理的，得0.1-3.0分； D.未提供不得分。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技术响应文件</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2022年1月1日至今，投标人具有类似项目业绩，每提供一宗得5分，最高得10分。（提供合同协议书复印件加盖公章，时间以合同协议书签订时间为准）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投标人需对招标文件《采购需求书》的技术指标进行点对点比较：完全满足招标文件各项指标要求的，得10分，不满足招标文件要求的，每项扣0.5分，扣完为止；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详见附件：（路长）合同文本.docx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三亚市海棠区农村公路路长制业务服务外包项目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服务包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C13990000-其他公共设施管理服务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3788223.48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详见附件：技术响应文件</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详见附件：投标人无不良信用记录承诺书</w:t>
      </w:r>
    </w:p>
    <w:p>
      <w:pPr>
        <w:pStyle w:val="null3"/>
        <w:ind w:firstLine="960"/>
        <w:jc w:val="left"/>
      </w:pPr>
      <w:r>
        <w:rPr>
          <w:rFonts w:ascii="仿宋_GB2312" w:hAnsi="仿宋_GB2312" w:cs="仿宋_GB2312" w:eastAsia="仿宋_GB2312"/>
        </w:rPr>
        <w:t>详见附件：单位负责人为同一人或者存在直接控股、管理关系的不同投标人不得参加同一合同项下的政府采购活动声明函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