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2026年生活垃圾分类监督管理外包项目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HNJD2026001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三亚市住房和城乡建设局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海南嘉达工程管理咨询有限公司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三亚市住房和城乡建设局</w:t>
      </w:r>
      <w:r>
        <w:rPr>
          <w:rFonts w:ascii="仿宋_GB2312" w:hAnsi="仿宋_GB2312" w:cs="仿宋_GB2312" w:eastAsia="仿宋_GB2312"/>
        </w:rPr>
        <w:t xml:space="preserve"> 的委托， </w:t>
      </w:r>
      <w:r>
        <w:rPr>
          <w:rFonts w:ascii="仿宋_GB2312" w:hAnsi="仿宋_GB2312" w:cs="仿宋_GB2312" w:eastAsia="仿宋_GB2312"/>
        </w:rPr>
        <w:t>海南嘉达工程管理咨询有限公司</w:t>
      </w:r>
      <w:r>
        <w:rPr>
          <w:rFonts w:ascii="仿宋_GB2312" w:hAnsi="仿宋_GB2312" w:cs="仿宋_GB2312" w:eastAsia="仿宋_GB2312"/>
        </w:rPr>
        <w:t xml:space="preserve"> 对 </w:t>
      </w:r>
      <w:r>
        <w:rPr>
          <w:rFonts w:ascii="仿宋_GB2312" w:hAnsi="仿宋_GB2312" w:cs="仿宋_GB2312" w:eastAsia="仿宋_GB2312"/>
        </w:rPr>
        <w:t>2026年生活垃圾分类监督管理外包项目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HNJD2026001</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2026年生活垃圾分类监督管理外包项目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1,250,000.00元</w:t>
      </w:r>
      <w:r>
        <w:rPr>
          <w:rFonts w:ascii="仿宋_GB2312" w:hAnsi="仿宋_GB2312" w:cs="仿宋_GB2312" w:eastAsia="仿宋_GB2312"/>
        </w:rPr>
        <w:t>壹佰贰拾伍万元整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2、政府采购供应商信用承诺书：按采购文件格式要求提交“政府采购供应商信用承诺书”;</w:t>
      </w:r>
    </w:p>
    <w:p>
      <w:pPr>
        <w:pStyle w:val="null3"/>
        <w:jc w:val="left"/>
      </w:pPr>
      <w:r>
        <w:rPr>
          <w:rFonts w:ascii="仿宋_GB2312" w:hAnsi="仿宋_GB2312" w:cs="仿宋_GB2312" w:eastAsia="仿宋_GB2312"/>
        </w:rPr>
        <w:t>3、不接受联合体投标：提供不接受联合体投标的承诺书，加盖公章。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请投标人（供应商）详阅本文件中《政府采购电子招标投标活动须知》，并自行在海南省政府采购智慧云平台-下载专区查看相应的系统操作指南，严格按照操作指南要求进行系统操作。如需智慧云平台相关咨询，请拨打以下热线电话： 4001691288 。 2、本项目为远程不见面开标，供应商无须到达开标现场。 供应商使用“投标客户端”编制、签章、生成加密响应文件，同时生成（同一版的备用响应文件），供应商自行留存，涉及“加盖公章”的内容应使用单位电子公章完成。 开启时，供应商应当使用数字证书在解密时限内完成全部已响应采购包的响应文件在线解密，若出现系统异常情况，工作人员可适当延长解密时长。如在开启过程中出现意外情 况导致无法继续进行时，由采购代理机构会同采购人决定是否允许供应商导入备用响应文件继续开启。 3、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3家银行（中信银行三亚分行、兴业银行三亚分行和浦发银行三亚分行）的公司业务部申请信用贷款。</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三亚市住房和城乡建设局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海南省三亚市吉阳区河东路 152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栾先生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0898-88672235</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海南嘉达工程管理咨询有限公司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海南省三亚市吉阳区凤凰路瑞海花园（紫荆园）3座一单元301室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0898-88677619</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自递交响应文件的截止之日起90天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代理服务费收费标准：参照琼价费管【2011】225号文件有关规定，向中标（成交）供应商收取招标代理服务费：16600.00元。中标（成交）供应商应在中标（成交）公告发布之日起 3 个工作日内，一次性缴纳招标代理服务费。 乙方指定的收款账号： 户名：海南嘉达工程管理咨询有限公司, 开户行： 海南银行股份有限公司三亚分行, 账号：6001891000012。</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1、本项目中小企业划分标准所属行业：租赁和商务服务业。 2、签字和（或）盖章要求： 2.1 电子标盖章要求：使用 CA 锁在投标文件制作工具中逐页加盖单位公章。 2.2 电子标签字以下四种形式之一均有效： （1）投标文件制作工具中加盖签名章或签字章； （2）投标文件制作工具中使用“手写签名”签字； （3）投标文件打印为文本签字后扫描上传； （4）投标文件打印为文本盖签名章或签字章后扫描上传。 2.3 电子系统中所涉及签章均可以是加盖单位公章。 3.由委托代理人签字的，投标文件应附有法定代表人授权书。</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联系人：符先生</w:t>
      </w:r>
    </w:p>
    <w:p>
      <w:pPr>
        <w:pStyle w:val="null3"/>
        <w:jc w:val="left"/>
      </w:pPr>
      <w:r>
        <w:rPr>
          <w:rFonts w:ascii="仿宋_GB2312" w:hAnsi="仿宋_GB2312" w:cs="仿宋_GB2312" w:eastAsia="仿宋_GB2312"/>
        </w:rPr>
        <w:t>联系电话：0898-88677619</w:t>
      </w:r>
    </w:p>
    <w:p>
      <w:pPr>
        <w:pStyle w:val="null3"/>
        <w:jc w:val="left"/>
      </w:pPr>
      <w:r>
        <w:rPr>
          <w:rFonts w:ascii="仿宋_GB2312" w:hAnsi="仿宋_GB2312" w:cs="仿宋_GB2312" w:eastAsia="仿宋_GB2312"/>
        </w:rPr>
        <w:t>地址：海南省三亚市吉阳区凤凰路瑞海花园（紫荆园）3座一单元301室</w:t>
      </w:r>
    </w:p>
    <w:p>
      <w:pPr>
        <w:pStyle w:val="null3"/>
        <w:jc w:val="left"/>
      </w:pPr>
      <w:r>
        <w:rPr>
          <w:rFonts w:ascii="仿宋_GB2312" w:hAnsi="仿宋_GB2312" w:cs="仿宋_GB2312" w:eastAsia="仿宋_GB2312"/>
        </w:rPr>
        <w:t>邮编：572000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8"/>
        </w:rPr>
        <w:t>三亚市住房和城乡建设局作为全市生活垃圾分类工作的牵头主管部门，承担着统筹协调、监督指导、考核推进等核心职责。为有效落实生活垃圾分类专项规划，压实各区（育才生态区）、各相关单位主体责任，亟需专业力量协助开展现场考核检查、工作进度统计汇总、专项会议组织、主题活动策划、设施设备采购建设督导、收运体系完善、应急状态下分类管理指导等工作，确保各项工作任务高效落地。通过本次采购，旨在充实工作力量、提升专业效能，推动全市生活垃圾分类工作标准化、规范化、常态化开展，为三亚市创建国家生态文明建设示范市、宜居宜业民生幸福城市筑牢坚实基础</w:t>
      </w:r>
      <w:r>
        <w:rPr>
          <w:rFonts w:ascii="仿宋_GB2312" w:hAnsi="仿宋_GB2312" w:cs="仿宋_GB2312" w:eastAsia="仿宋_GB2312"/>
          <w:sz w:val="28"/>
        </w:rPr>
        <w:t>。</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1,250,000.00</w:t>
      </w:r>
    </w:p>
    <w:p>
      <w:pPr>
        <w:pStyle w:val="null3"/>
        <w:jc w:val="left"/>
      </w:pPr>
      <w:r>
        <w:rPr>
          <w:rFonts w:ascii="仿宋_GB2312" w:hAnsi="仿宋_GB2312" w:cs="仿宋_GB2312" w:eastAsia="仿宋_GB2312"/>
        </w:rPr>
        <w:t>采购包最高限价（元）: 1,250,000.00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C99000000-其他服务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spacing w:before="330"/>
              <w:jc w:val="left"/>
            </w:pPr>
            <w:r>
              <w:rPr>
                <w:rFonts w:ascii="仿宋_GB2312" w:hAnsi="仿宋_GB2312" w:cs="仿宋_GB2312" w:eastAsia="仿宋_GB2312"/>
                <w:sz w:val="28"/>
                <w:b/>
              </w:rPr>
              <w:t>一</w:t>
            </w:r>
            <w:r>
              <w:rPr>
                <w:rFonts w:ascii="仿宋_GB2312" w:hAnsi="仿宋_GB2312" w:cs="仿宋_GB2312" w:eastAsia="仿宋_GB2312"/>
                <w:sz w:val="32"/>
                <w:b/>
              </w:rPr>
              <w:t>、服务内容</w:t>
            </w:r>
          </w:p>
          <w:p>
            <w:pPr>
              <w:pStyle w:val="null3"/>
              <w:ind w:firstLine="560"/>
              <w:jc w:val="both"/>
            </w:pPr>
            <w:r>
              <w:rPr>
                <w:rFonts w:ascii="仿宋_GB2312" w:hAnsi="仿宋_GB2312" w:cs="仿宋_GB2312" w:eastAsia="仿宋_GB2312"/>
                <w:sz w:val="28"/>
              </w:rPr>
              <w:t>1、协助甲方开展全市生活垃圾分类工作的现场考核、检查等工作；</w:t>
            </w:r>
          </w:p>
          <w:p>
            <w:pPr>
              <w:pStyle w:val="null3"/>
              <w:ind w:firstLine="560"/>
              <w:jc w:val="both"/>
            </w:pPr>
            <w:r>
              <w:rPr>
                <w:rFonts w:ascii="仿宋_GB2312" w:hAnsi="仿宋_GB2312" w:cs="仿宋_GB2312" w:eastAsia="仿宋_GB2312"/>
                <w:sz w:val="28"/>
              </w:rPr>
              <w:t>2、协助甲方收集全市生活垃圾分类工作开展情况，统计、汇总、报告全市生活垃圾分类工作进度，根据掌握情况提出生活垃圾分类及其相关工作建议；</w:t>
            </w:r>
          </w:p>
          <w:p>
            <w:pPr>
              <w:pStyle w:val="null3"/>
              <w:ind w:firstLine="560"/>
              <w:jc w:val="both"/>
            </w:pPr>
            <w:r>
              <w:rPr>
                <w:rFonts w:ascii="仿宋_GB2312" w:hAnsi="仿宋_GB2312" w:cs="仿宋_GB2312" w:eastAsia="仿宋_GB2312"/>
                <w:sz w:val="28"/>
              </w:rPr>
              <w:t>3、协助甲方组织召开全市生活垃圾分类工作领导小组例会，完成相关总结材料及文件汇编；</w:t>
            </w:r>
          </w:p>
          <w:p>
            <w:pPr>
              <w:pStyle w:val="null3"/>
              <w:ind w:firstLine="560"/>
              <w:jc w:val="both"/>
            </w:pPr>
            <w:r>
              <w:rPr>
                <w:rFonts w:ascii="仿宋_GB2312" w:hAnsi="仿宋_GB2312" w:cs="仿宋_GB2312" w:eastAsia="仿宋_GB2312"/>
                <w:sz w:val="28"/>
              </w:rPr>
              <w:t>4、协助甲方推动各区(育才生态区)组织大型生活垃圾分类主题活动；</w:t>
            </w:r>
          </w:p>
          <w:p>
            <w:pPr>
              <w:pStyle w:val="null3"/>
              <w:ind w:firstLine="560"/>
              <w:jc w:val="both"/>
            </w:pPr>
            <w:r>
              <w:rPr>
                <w:rFonts w:ascii="仿宋_GB2312" w:hAnsi="仿宋_GB2312" w:cs="仿宋_GB2312" w:eastAsia="仿宋_GB2312"/>
                <w:sz w:val="28"/>
              </w:rPr>
              <w:t>5、协助甲方协调市、区财政部门做好经费保障，督导、协调各单位做好生活垃圾分类设施设备的采购和建设;</w:t>
            </w:r>
          </w:p>
          <w:p>
            <w:pPr>
              <w:pStyle w:val="null3"/>
              <w:ind w:firstLine="560"/>
              <w:jc w:val="both"/>
            </w:pPr>
            <w:r>
              <w:rPr>
                <w:rFonts w:ascii="仿宋_GB2312" w:hAnsi="仿宋_GB2312" w:cs="仿宋_GB2312" w:eastAsia="仿宋_GB2312"/>
                <w:sz w:val="28"/>
              </w:rPr>
              <w:t>6、协助甲方完成市推进工作领导小组领导交办的其它事项;</w:t>
            </w:r>
          </w:p>
          <w:p>
            <w:pPr>
              <w:pStyle w:val="null3"/>
              <w:ind w:firstLine="560"/>
              <w:jc w:val="both"/>
            </w:pPr>
            <w:r>
              <w:rPr>
                <w:rFonts w:ascii="仿宋_GB2312" w:hAnsi="仿宋_GB2312" w:cs="仿宋_GB2312" w:eastAsia="仿宋_GB2312"/>
                <w:sz w:val="28"/>
              </w:rPr>
              <w:t>7、协助甲方检查各区政府(育才生态区管委会)、各部门结合实际设置功能齐全、易操作的生活垃圾分类投放装置，合理布局社区 (村、居)、商业和办公场所的生活垃圾分类收集转运等设施设备，指导开展定时、定点分类投放生活垃圾工作，协助市、区各部门制定生活垃圾分类设备采购计划；</w:t>
            </w:r>
          </w:p>
          <w:p>
            <w:pPr>
              <w:pStyle w:val="null3"/>
              <w:ind w:firstLine="560"/>
              <w:jc w:val="both"/>
            </w:pPr>
            <w:r>
              <w:rPr>
                <w:rFonts w:ascii="仿宋_GB2312" w:hAnsi="仿宋_GB2312" w:cs="仿宋_GB2312" w:eastAsia="仿宋_GB2312"/>
                <w:sz w:val="28"/>
              </w:rPr>
              <w:t>8、协助甲方定期检查各区政府(育才生态区管委会)建立健全生活垃圾分类收集运输体系，合理布局分类运输站点、频次、时间和路线，配足配齐生活垃圾分类运输车辆(船舶）；</w:t>
            </w:r>
          </w:p>
          <w:p>
            <w:pPr>
              <w:pStyle w:val="null3"/>
              <w:ind w:firstLine="560"/>
              <w:jc w:val="both"/>
            </w:pPr>
            <w:r>
              <w:rPr>
                <w:rFonts w:ascii="仿宋_GB2312" w:hAnsi="仿宋_GB2312" w:cs="仿宋_GB2312" w:eastAsia="仿宋_GB2312"/>
                <w:sz w:val="28"/>
              </w:rPr>
              <w:t>9、协助甲方检查各区(育才生态区)生活垃圾清运工作，加强社区（村、居)、物业服务企业与垃圾清运单位的有序对接，防止“先分后混、混装混运”；</w:t>
            </w:r>
          </w:p>
          <w:p>
            <w:pPr>
              <w:pStyle w:val="null3"/>
              <w:ind w:firstLine="560"/>
              <w:jc w:val="both"/>
            </w:pPr>
            <w:r>
              <w:rPr>
                <w:rFonts w:ascii="仿宋_GB2312" w:hAnsi="仿宋_GB2312" w:cs="仿宋_GB2312" w:eastAsia="仿宋_GB2312"/>
                <w:sz w:val="28"/>
              </w:rPr>
              <w:t>10、协助甲方指导属地环卫部门和企业做好重大疫情等应急状态下生活垃圾分类相关工作；</w:t>
            </w:r>
          </w:p>
          <w:p>
            <w:pPr>
              <w:pStyle w:val="null3"/>
              <w:ind w:firstLine="560"/>
              <w:jc w:val="both"/>
            </w:pPr>
            <w:r>
              <w:rPr>
                <w:rFonts w:ascii="仿宋_GB2312" w:hAnsi="仿宋_GB2312" w:cs="仿宋_GB2312" w:eastAsia="仿宋_GB2312"/>
                <w:sz w:val="28"/>
              </w:rPr>
              <w:t>11、提供项目所需设备服务工作。</w:t>
            </w:r>
          </w:p>
          <w:p>
            <w:pPr>
              <w:pStyle w:val="null3"/>
              <w:spacing w:before="330"/>
              <w:jc w:val="left"/>
            </w:pPr>
            <w:r>
              <w:rPr>
                <w:rFonts w:ascii="仿宋_GB2312" w:hAnsi="仿宋_GB2312" w:cs="仿宋_GB2312" w:eastAsia="仿宋_GB2312"/>
                <w:sz w:val="32"/>
                <w:b/>
              </w:rPr>
              <w:t>二</w:t>
            </w:r>
            <w:r>
              <w:rPr>
                <w:rFonts w:ascii="仿宋_GB2312" w:hAnsi="仿宋_GB2312" w:cs="仿宋_GB2312" w:eastAsia="仿宋_GB2312"/>
                <w:sz w:val="32"/>
                <w:b/>
              </w:rPr>
              <w:t>、服务</w:t>
            </w:r>
            <w:r>
              <w:rPr>
                <w:rFonts w:ascii="仿宋_GB2312" w:hAnsi="仿宋_GB2312" w:cs="仿宋_GB2312" w:eastAsia="仿宋_GB2312"/>
                <w:sz w:val="32"/>
                <w:b/>
              </w:rPr>
              <w:t>具体要求</w:t>
            </w:r>
          </w:p>
          <w:p>
            <w:pPr>
              <w:pStyle w:val="null3"/>
              <w:ind w:firstLine="562"/>
              <w:jc w:val="both"/>
            </w:pPr>
            <w:r>
              <w:rPr>
                <w:rFonts w:ascii="仿宋_GB2312" w:hAnsi="仿宋_GB2312" w:cs="仿宋_GB2312" w:eastAsia="仿宋_GB2312"/>
                <w:sz w:val="28"/>
                <w:b/>
              </w:rPr>
              <w:t>(一）服务工作人员配置</w:t>
            </w:r>
          </w:p>
          <w:p>
            <w:pPr>
              <w:pStyle w:val="null3"/>
              <w:ind w:firstLine="560"/>
              <w:jc w:val="both"/>
            </w:pPr>
            <w:r>
              <w:rPr>
                <w:rFonts w:ascii="仿宋_GB2312" w:hAnsi="仿宋_GB2312" w:cs="仿宋_GB2312" w:eastAsia="仿宋_GB2312"/>
                <w:sz w:val="28"/>
              </w:rPr>
              <w:t>设置</w:t>
            </w:r>
            <w:r>
              <w:rPr>
                <w:rFonts w:ascii="仿宋_GB2312" w:hAnsi="仿宋_GB2312" w:cs="仿宋_GB2312" w:eastAsia="仿宋_GB2312"/>
                <w:sz w:val="28"/>
              </w:rPr>
              <w:t>12</w:t>
            </w:r>
            <w:r>
              <w:rPr>
                <w:rFonts w:ascii="仿宋_GB2312" w:hAnsi="仿宋_GB2312" w:cs="仿宋_GB2312" w:eastAsia="仿宋_GB2312"/>
                <w:sz w:val="28"/>
              </w:rPr>
              <w:t>个工作岗位。主要</w:t>
            </w:r>
            <w:r>
              <w:rPr>
                <w:rFonts w:ascii="仿宋_GB2312" w:hAnsi="仿宋_GB2312" w:cs="仿宋_GB2312" w:eastAsia="仿宋_GB2312"/>
                <w:sz w:val="28"/>
              </w:rPr>
              <w:t>服务于</w:t>
            </w:r>
            <w:r>
              <w:rPr>
                <w:rFonts w:ascii="仿宋_GB2312" w:hAnsi="仿宋_GB2312" w:cs="仿宋_GB2312" w:eastAsia="仿宋_GB2312"/>
                <w:sz w:val="28"/>
              </w:rPr>
              <w:t>生活垃圾分类综合性工作。</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服务工作人员要求</w:t>
            </w:r>
          </w:p>
          <w:p>
            <w:pPr>
              <w:pStyle w:val="null3"/>
              <w:ind w:firstLine="560"/>
              <w:jc w:val="both"/>
            </w:pPr>
            <w:r>
              <w:rPr>
                <w:rFonts w:ascii="仿宋_GB2312" w:hAnsi="仿宋_GB2312" w:cs="仿宋_GB2312" w:eastAsia="仿宋_GB2312"/>
                <w:sz w:val="28"/>
              </w:rPr>
              <w:t>1.具有中华人民共和国国籍。</w:t>
            </w:r>
          </w:p>
          <w:p>
            <w:pPr>
              <w:pStyle w:val="null3"/>
              <w:ind w:firstLine="560"/>
              <w:jc w:val="both"/>
            </w:pPr>
            <w:r>
              <w:rPr>
                <w:rFonts w:ascii="仿宋_GB2312" w:hAnsi="仿宋_GB2312" w:cs="仿宋_GB2312" w:eastAsia="仿宋_GB2312"/>
                <w:sz w:val="28"/>
              </w:rPr>
              <w:t>2.遵守中华人民共和国宪法及各项法律法规，诚实守信，爱岗敬业，有责任心，服从组织分配，无不良品行和不良嗜好。</w:t>
            </w:r>
          </w:p>
          <w:p>
            <w:pPr>
              <w:pStyle w:val="null3"/>
              <w:ind w:firstLine="560"/>
              <w:jc w:val="both"/>
            </w:pPr>
            <w:r>
              <w:rPr>
                <w:rFonts w:ascii="仿宋_GB2312" w:hAnsi="仿宋_GB2312" w:cs="仿宋_GB2312" w:eastAsia="仿宋_GB2312"/>
                <w:sz w:val="28"/>
              </w:rPr>
              <w:t>3.18周岁以上。</w:t>
            </w:r>
          </w:p>
          <w:p>
            <w:pPr>
              <w:pStyle w:val="null3"/>
              <w:ind w:firstLine="560"/>
              <w:jc w:val="both"/>
            </w:pPr>
            <w:r>
              <w:rPr>
                <w:rFonts w:ascii="仿宋_GB2312" w:hAnsi="仿宋_GB2312" w:cs="仿宋_GB2312" w:eastAsia="仿宋_GB2312"/>
                <w:sz w:val="28"/>
              </w:rPr>
              <w:t>4.身体健康，五官端正，口齿清楚，具有符合职位要求的工作能力、心理素质和沟通能力。</w:t>
            </w:r>
          </w:p>
          <w:p>
            <w:pPr>
              <w:pStyle w:val="null3"/>
              <w:ind w:firstLine="560"/>
              <w:jc w:val="both"/>
            </w:pPr>
            <w:r>
              <w:rPr>
                <w:rFonts w:ascii="仿宋_GB2312" w:hAnsi="仿宋_GB2312" w:cs="仿宋_GB2312" w:eastAsia="仿宋_GB2312"/>
                <w:sz w:val="28"/>
              </w:rPr>
              <w:t>5.具有专科以上学历(含专科学历)。</w:t>
            </w:r>
          </w:p>
          <w:p>
            <w:pPr>
              <w:pStyle w:val="null3"/>
              <w:ind w:firstLine="560"/>
              <w:jc w:val="both"/>
            </w:pPr>
            <w:r>
              <w:rPr>
                <w:rFonts w:ascii="仿宋_GB2312" w:hAnsi="仿宋_GB2312" w:cs="仿宋_GB2312" w:eastAsia="仿宋_GB2312"/>
                <w:sz w:val="28"/>
              </w:rPr>
              <w:t>6.工作人员按照标准工时提供现场劳务服务，按时、按量、按要求完成劳务服务，并严格遵守国家有关法律法规及三亚市住房和城乡建设局相关规定。</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）人员管理要求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.服务供应商需对工作人员实施绩效管理，形成绩效考核结果。</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.服务供应商负责工作人员的劳务用工管理、工伤事故、劳务纠纷处理与社保办理，处理涉及劳动关系的所有事宜。</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.服务供应商负责建立工作人员的人事档案等台账资料，办理劳动手册、养老保险手册，以及公安、计生、劳动保障部门要求必备的其他资料。</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.服务供应商应定期与</w:t>
            </w:r>
            <w:r>
              <w:rPr>
                <w:rFonts w:ascii="仿宋_GB2312" w:hAnsi="仿宋_GB2312" w:cs="仿宋_GB2312" w:eastAsia="仿宋_GB2312"/>
                <w:sz w:val="28"/>
              </w:rPr>
              <w:t>三亚市住房和城乡建设局</w:t>
            </w:r>
            <w:r>
              <w:rPr>
                <w:rFonts w:ascii="仿宋_GB2312" w:hAnsi="仿宋_GB2312" w:cs="仿宋_GB2312" w:eastAsia="仿宋_GB2312"/>
                <w:sz w:val="28"/>
              </w:rPr>
              <w:t>就工作人员的品德、技能、考勤、业绩等方面的相关信息进行沟通交流并交换意见。及时调查掌握工作人员的异常反应，对遇有特殊困难的员工给予必要的关怀，及时处理采购单位与工作人员之间的管理矛盾。</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.服务供应商应经常对工作人员进行职业道德教育，监督检查工作人员执行</w:t>
            </w:r>
            <w:r>
              <w:rPr>
                <w:rFonts w:ascii="仿宋_GB2312" w:hAnsi="仿宋_GB2312" w:cs="仿宋_GB2312" w:eastAsia="仿宋_GB2312"/>
                <w:sz w:val="28"/>
              </w:rPr>
              <w:t>三亚市住房和城乡建设局</w:t>
            </w:r>
            <w:r>
              <w:rPr>
                <w:rFonts w:ascii="仿宋_GB2312" w:hAnsi="仿宋_GB2312" w:cs="仿宋_GB2312" w:eastAsia="仿宋_GB2312"/>
                <w:sz w:val="28"/>
              </w:rPr>
              <w:t>规章制度的情况，对违规违法员工进行处理，维护</w:t>
            </w:r>
            <w:r>
              <w:rPr>
                <w:rFonts w:ascii="仿宋_GB2312" w:hAnsi="仿宋_GB2312" w:cs="仿宋_GB2312" w:eastAsia="仿宋_GB2312"/>
                <w:sz w:val="28"/>
              </w:rPr>
              <w:t>三亚市住房和城乡建设局</w:t>
            </w:r>
            <w:r>
              <w:rPr>
                <w:rFonts w:ascii="仿宋_GB2312" w:hAnsi="仿宋_GB2312" w:cs="仿宋_GB2312" w:eastAsia="仿宋_GB2312"/>
                <w:sz w:val="28"/>
              </w:rPr>
              <w:t>正常的业务运行秩序。</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）保密要求</w:t>
            </w:r>
          </w:p>
          <w:p>
            <w:pPr>
              <w:pStyle w:val="null3"/>
              <w:ind w:firstLine="560"/>
              <w:jc w:val="both"/>
            </w:pPr>
            <w:r>
              <w:rPr>
                <w:rFonts w:ascii="仿宋_GB2312" w:hAnsi="仿宋_GB2312" w:cs="仿宋_GB2312" w:eastAsia="仿宋_GB2312"/>
                <w:sz w:val="28"/>
              </w:rPr>
              <w:t>服务供应商应采取必要的措施对</w:t>
            </w:r>
            <w:r>
              <w:rPr>
                <w:rFonts w:ascii="仿宋_GB2312" w:hAnsi="仿宋_GB2312" w:cs="仿宋_GB2312" w:eastAsia="仿宋_GB2312"/>
                <w:sz w:val="28"/>
              </w:rPr>
              <w:t>三亚市住房和城乡建设局</w:t>
            </w:r>
            <w:r>
              <w:rPr>
                <w:rFonts w:ascii="仿宋_GB2312" w:hAnsi="仿宋_GB2312" w:cs="仿宋_GB2312" w:eastAsia="仿宋_GB2312"/>
                <w:sz w:val="28"/>
              </w:rPr>
              <w:t>所披露给服务供应商的所有信息进行保密</w:t>
            </w:r>
            <w:r>
              <w:rPr>
                <w:rFonts w:ascii="仿宋_GB2312" w:hAnsi="仿宋_GB2312" w:cs="仿宋_GB2312" w:eastAsia="仿宋_GB2312"/>
                <w:sz w:val="28"/>
              </w:rPr>
              <w:t>(包括但不限于身份证号码、电话号码、证照信息、政务服务相关信息等各类信息)，事先未取得</w:t>
            </w:r>
            <w:r>
              <w:rPr>
                <w:rFonts w:ascii="仿宋_GB2312" w:hAnsi="仿宋_GB2312" w:cs="仿宋_GB2312" w:eastAsia="仿宋_GB2312"/>
                <w:sz w:val="28"/>
              </w:rPr>
              <w:t>三亚市住房和城乡建设局</w:t>
            </w:r>
            <w:r>
              <w:rPr>
                <w:rFonts w:ascii="仿宋_GB2312" w:hAnsi="仿宋_GB2312" w:cs="仿宋_GB2312" w:eastAsia="仿宋_GB2312"/>
                <w:sz w:val="28"/>
              </w:rPr>
              <w:t>的书面同意时不得向任何第三方公开、披露。服务供应商应与工作人员签订保密协议，增强工作人员保密意识，强化保密责任，承担因泄密产生的法律责任。</w:t>
            </w:r>
          </w:p>
          <w:p>
            <w:pPr>
              <w:pStyle w:val="null3"/>
              <w:ind w:firstLine="560"/>
              <w:jc w:val="both"/>
            </w:pPr>
            <w:r>
              <w:rPr>
                <w:rFonts w:ascii="仿宋_GB2312" w:hAnsi="仿宋_GB2312" w:cs="仿宋_GB2312" w:eastAsia="仿宋_GB2312"/>
                <w:sz w:val="28"/>
              </w:rPr>
              <w:t>保密期限为永久保密。</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）其他</w:t>
            </w:r>
            <w:r>
              <w:rPr>
                <w:rFonts w:ascii="仿宋_GB2312" w:hAnsi="仿宋_GB2312" w:cs="仿宋_GB2312" w:eastAsia="仿宋_GB2312"/>
                <w:sz w:val="28"/>
                <w:b/>
              </w:rPr>
              <w:t>要求</w:t>
            </w:r>
          </w:p>
          <w:p>
            <w:pPr>
              <w:pStyle w:val="null3"/>
              <w:ind w:firstLine="560"/>
              <w:jc w:val="both"/>
            </w:pPr>
            <w:r>
              <w:rPr>
                <w:rFonts w:ascii="仿宋_GB2312" w:hAnsi="仿宋_GB2312" w:cs="仿宋_GB2312" w:eastAsia="仿宋_GB2312"/>
                <w:sz w:val="28"/>
              </w:rPr>
              <w:t>1.服务供应商须按照</w:t>
            </w:r>
            <w:r>
              <w:rPr>
                <w:rFonts w:ascii="仿宋_GB2312" w:hAnsi="仿宋_GB2312" w:cs="仿宋_GB2312" w:eastAsia="仿宋_GB2312"/>
                <w:sz w:val="28"/>
              </w:rPr>
              <w:t>三亚市住房和城乡建设局</w:t>
            </w:r>
            <w:r>
              <w:rPr>
                <w:rFonts w:ascii="仿宋_GB2312" w:hAnsi="仿宋_GB2312" w:cs="仿宋_GB2312" w:eastAsia="仿宋_GB2312"/>
                <w:sz w:val="28"/>
              </w:rPr>
              <w:t>的要求提供相应的工作台账。</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.鉴于改革工作具有政策性和时效性，如遇政策调整或</w:t>
            </w:r>
            <w:r>
              <w:rPr>
                <w:rFonts w:ascii="仿宋_GB2312" w:hAnsi="仿宋_GB2312" w:cs="仿宋_GB2312" w:eastAsia="仿宋_GB2312"/>
                <w:sz w:val="28"/>
              </w:rPr>
              <w:t>三亚市住房和城乡建设局</w:t>
            </w:r>
            <w:r>
              <w:rPr>
                <w:rFonts w:ascii="仿宋_GB2312" w:hAnsi="仿宋_GB2312" w:cs="仿宋_GB2312" w:eastAsia="仿宋_GB2312"/>
                <w:sz w:val="28"/>
              </w:rPr>
              <w:t>基于改革的需要调整了服务内容和岗位的，服务供应商应无条件配合实施，项目按照调整后的实际情况进行验收。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.其他未尽事宜，以</w:t>
            </w:r>
            <w:r>
              <w:rPr>
                <w:rFonts w:ascii="仿宋_GB2312" w:hAnsi="仿宋_GB2312" w:cs="仿宋_GB2312" w:eastAsia="仿宋_GB2312"/>
                <w:sz w:val="28"/>
              </w:rPr>
              <w:t>三亚市住房和城乡建设局</w:t>
            </w:r>
            <w:r>
              <w:rPr>
                <w:rFonts w:ascii="仿宋_GB2312" w:hAnsi="仿宋_GB2312" w:cs="仿宋_GB2312" w:eastAsia="仿宋_GB2312"/>
                <w:sz w:val="28"/>
              </w:rPr>
              <w:t>和服务供应商签订的合同进行约定。本需求内容与合同不一致的，以合同约定为准。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both"/>
            </w:pPr>
            <w:r>
              <w:rPr>
                <w:rFonts w:ascii="仿宋_GB2312" w:hAnsi="仿宋_GB2312" w:cs="仿宋_GB2312" w:eastAsia="仿宋_GB2312"/>
                <w:sz w:val="28"/>
              </w:rPr>
              <w:t>1、采购单位：三亚市住房和城乡建设局</w:t>
            </w:r>
          </w:p>
          <w:p>
            <w:pPr>
              <w:pStyle w:val="null3"/>
              <w:ind w:firstLine="560"/>
              <w:jc w:val="both"/>
            </w:pPr>
            <w:r>
              <w:rPr>
                <w:rFonts w:ascii="仿宋_GB2312" w:hAnsi="仿宋_GB2312" w:cs="仿宋_GB2312" w:eastAsia="仿宋_GB2312"/>
                <w:sz w:val="28"/>
              </w:rPr>
              <w:t>2、项目名称：2026年生活垃圾分类监督管理外包项目</w:t>
            </w:r>
          </w:p>
          <w:p>
            <w:pPr>
              <w:pStyle w:val="null3"/>
              <w:ind w:firstLine="560"/>
              <w:jc w:val="both"/>
            </w:pPr>
            <w:r>
              <w:rPr>
                <w:rFonts w:ascii="仿宋_GB2312" w:hAnsi="仿宋_GB2312" w:cs="仿宋_GB2312" w:eastAsia="仿宋_GB2312"/>
                <w:sz w:val="28"/>
              </w:rPr>
              <w:t>3、资金来源：财政资金</w:t>
            </w:r>
          </w:p>
          <w:p>
            <w:pPr>
              <w:pStyle w:val="null3"/>
              <w:ind w:firstLine="560"/>
              <w:jc w:val="both"/>
            </w:pPr>
            <w:r>
              <w:rPr>
                <w:rFonts w:ascii="仿宋_GB2312" w:hAnsi="仿宋_GB2312" w:cs="仿宋_GB2312" w:eastAsia="仿宋_GB2312"/>
                <w:sz w:val="28"/>
              </w:rPr>
              <w:t>4、采购预算：</w:t>
            </w:r>
            <w:r>
              <w:rPr>
                <w:rFonts w:ascii="仿宋_GB2312" w:hAnsi="仿宋_GB2312" w:cs="仿宋_GB2312" w:eastAsia="仿宋_GB2312"/>
                <w:sz w:val="28"/>
              </w:rPr>
              <w:t>1250000.00</w:t>
            </w:r>
            <w:r>
              <w:rPr>
                <w:rFonts w:ascii="仿宋_GB2312" w:hAnsi="仿宋_GB2312" w:cs="仿宋_GB2312" w:eastAsia="仿宋_GB2312"/>
                <w:sz w:val="28"/>
              </w:rPr>
              <w:t>元（人民币壹佰贰拾伍万元整）</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5、最高限价：</w:t>
            </w:r>
            <w:r>
              <w:rPr>
                <w:rFonts w:ascii="仿宋_GB2312" w:hAnsi="仿宋_GB2312" w:cs="仿宋_GB2312" w:eastAsia="仿宋_GB2312"/>
                <w:sz w:val="28"/>
              </w:rPr>
              <w:t>1250000.00</w:t>
            </w:r>
            <w:r>
              <w:rPr>
                <w:rFonts w:ascii="仿宋_GB2312" w:hAnsi="仿宋_GB2312" w:cs="仿宋_GB2312" w:eastAsia="仿宋_GB2312"/>
                <w:sz w:val="28"/>
              </w:rPr>
              <w:t>元（人民币壹佰贰拾伍万元整）。</w:t>
            </w:r>
          </w:p>
          <w:p>
            <w:pPr>
              <w:pStyle w:val="null3"/>
              <w:ind w:firstLine="560"/>
              <w:jc w:val="both"/>
            </w:pPr>
            <w:r>
              <w:rPr>
                <w:rFonts w:ascii="仿宋_GB2312" w:hAnsi="仿宋_GB2312" w:cs="仿宋_GB2312" w:eastAsia="仿宋_GB2312"/>
                <w:sz w:val="28"/>
              </w:rPr>
              <w:t>注：超出采购预算金额（最高限价）的报价，按无效投标处理。</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.服务期：一年。</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.服务地点：三亚市。</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.本项目分包情况：不分包。</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b/>
              </w:rPr>
              <w:t>付款方式</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首付款：合同生效后，甲方向乙方支付合同服务费用含税金额的【</w:t>
            </w:r>
            <w:r>
              <w:rPr>
                <w:rFonts w:ascii="仿宋_GB2312" w:hAnsi="仿宋_GB2312" w:cs="仿宋_GB2312" w:eastAsia="仿宋_GB2312"/>
                <w:sz w:val="28"/>
              </w:rPr>
              <w:t>40】%；</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2）第二笔款：合同生效且乙方依约提供服务届满【3】个月后，甲方向乙方支付合同服务费用含税金额的【30】%；</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3）第三笔款：合同生效且乙方依约提供服务届满【6】个月后，甲方向乙方支付合同服务费用含税金额的【20%】；</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尾款：剩余服务费用在本协议服务时间届满，乙方完成本协议项下的所有工作，且甲方对本协议项下服务验收合格后支付。</w:t>
            </w:r>
          </w:p>
          <w:p>
            <w:pPr>
              <w:pStyle w:val="null3"/>
              <w:jc w:val="both"/>
            </w:pPr>
            <w:r>
              <w:rPr>
                <w:rFonts w:ascii="仿宋_GB2312" w:hAnsi="仿宋_GB2312" w:cs="仿宋_GB2312" w:eastAsia="仿宋_GB2312"/>
                <w:sz w:val="28"/>
              </w:rPr>
              <w:t>具体付款细节以最终签订的采购服务合同约定执行。</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b/>
              </w:rPr>
              <w:t>验收标准：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1）供应商应当提供相关验收材料，包括验收报告、台账、档案、资料及完成服务的数量、质量、标准、成果等</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采购人根据供应商提供的相关验收材料、招标文件要求、投标文件及其承诺等，按《海南省政府采购履约验收管理暂行办法》（琼财采规〔2023〕16号）和详见附件1：《服务考核标准及验收得分表》相关约定，对服务项目组织验收</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3）项目验收评分：综合评分80分以上为验收合格，项目尾款全额支付。综合评分61-79分为验收不合格，限期整改合格后，项目尾款扣除5%。综合评分60分以下，为验收不合格，限期整改合格后，项目尾款扣除100%。</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供应商承诺函 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供应商承诺函 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供应商承诺函 无不良记录承诺书-格式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政府采购供应商信用承诺书</w:t>
            </w:r>
          </w:p>
        </w:tc>
        <w:tc>
          <w:tcPr>
            <w:tcW w:type="dxa" w:w="3322"/>
          </w:tcPr>
          <w:p>
            <w:pPr>
              <w:pStyle w:val="null3"/>
              <w:jc w:val="left"/>
            </w:pPr>
            <w:r>
              <w:rPr>
                <w:rFonts w:ascii="仿宋_GB2312" w:hAnsi="仿宋_GB2312" w:cs="仿宋_GB2312" w:eastAsia="仿宋_GB2312"/>
              </w:rPr>
              <w:t>按采购文件格式要求提交“政府采购供应商信用承诺书”;</w:t>
            </w:r>
          </w:p>
        </w:tc>
        <w:tc>
          <w:tcPr>
            <w:tcW w:type="dxa" w:w="1661"/>
          </w:tcPr>
          <w:p>
            <w:pPr>
              <w:pStyle w:val="null3"/>
              <w:jc w:val="left"/>
            </w:pPr>
            <w:r>
              <w:rPr>
                <w:rFonts w:ascii="仿宋_GB2312" w:hAnsi="仿宋_GB2312" w:cs="仿宋_GB2312" w:eastAsia="仿宋_GB2312"/>
              </w:rPr>
              <w:t>政府采购供应商信用承诺书-格式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不接受联合体投标</w:t>
            </w:r>
          </w:p>
        </w:tc>
        <w:tc>
          <w:tcPr>
            <w:tcW w:type="dxa" w:w="3322"/>
          </w:tcPr>
          <w:p>
            <w:pPr>
              <w:pStyle w:val="null3"/>
              <w:jc w:val="left"/>
            </w:pPr>
            <w:r>
              <w:rPr>
                <w:rFonts w:ascii="仿宋_GB2312" w:hAnsi="仿宋_GB2312" w:cs="仿宋_GB2312" w:eastAsia="仿宋_GB2312"/>
              </w:rPr>
              <w:t>提供不接受联合体投标的承诺书，加盖公章。</w:t>
            </w:r>
          </w:p>
        </w:tc>
        <w:tc>
          <w:tcPr>
            <w:tcW w:type="dxa" w:w="1661"/>
          </w:tcPr>
          <w:p>
            <w:pPr>
              <w:pStyle w:val="null3"/>
              <w:jc w:val="left"/>
            </w:pPr>
            <w:r>
              <w:rPr>
                <w:rFonts w:ascii="仿宋_GB2312" w:hAnsi="仿宋_GB2312" w:cs="仿宋_GB2312" w:eastAsia="仿宋_GB2312"/>
              </w:rPr>
              <w:t>不接受联合体投标的承诺书</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管理制度 类似项目业绩一览表 商务应答表 自觉抵制政府采购领域商业贿赂行为承诺书 政府采购供应商信用承诺书-格式 封面 商业信誉、财务会计制度、缴纳税收和社保的承诺函 项目整体服务方案 其他材料 供应商应提交的相关证明材料 法定代表人资格证明书或法定代表人授权委托书 项目重点、难点分析 监狱企业的证明文件 具备履行合同所必需设备和专业技术能力的声明函 无环保类行政处罚记录声明函 开标（报价）一览表 中小企业声明函 不接受联合体投标的承诺书 无不良记录承诺书-格式 具有独立承担民事责任的能力证明文件 供应商承诺函 磋商保证金缴纳证明材料 残疾人福利性单位声明函 质量保证方案 无重大违法记录声明函 人员实力配置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其他材料 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管理制度 类似项目业绩一览表 商务应答表 自觉抵制政府采购领域商业贿赂行为承诺书 政府采购供应商信用承诺书-格式 封面 商业信誉、财务会计制度、缴纳税收和社保的承诺函 项目整体服务方案 其他材料 供应商应提交的相关证明材料 法定代表人资格证明书或法定代表人授权委托书 项目重点、难点分析 监狱企业的证明文件 具备履行合同所必需设备和专业技术能力的声明函 无环保类行政处罚记录声明函 开标（报价）一览表 中小企业声明函 不接受联合体投标的承诺书 无不良记录承诺书-格式 具有独立承担民事责任的能力证明文件 供应商承诺函 磋商保证金缴纳证明材料 残疾人福利性单位声明函 质量保证方案 无重大违法记录声明函 人员实力配置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管理制度 类似项目业绩一览表 商务应答表 自觉抵制政府采购领域商业贿赂行为承诺书 政府采购供应商信用承诺书-格式 封面 商业信誉、财务会计制度、缴纳税收和社保的承诺函 项目整体服务方案 其他材料 供应商应提交的相关证明材料 法定代表人资格证明书或法定代表人授权委托书 项目重点、难点分析 监狱企业的证明文件 具备履行合同所必需设备和专业技术能力的声明函 无环保类行政处罚记录声明函 开标（报价）一览表 中小企业声明函 不接受联合体投标的承诺书 无不良记录承诺书-格式 具有独立承担民事责任的能力证明文件 供应商承诺函 磋商保证金缴纳证明材料 残疾人福利性单位声明函 质量保证方案 无重大违法记录声明函 人员实力配置 技术参数响应表</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项目整体服务方案</w:t>
            </w:r>
          </w:p>
        </w:tc>
        <w:tc>
          <w:tcPr>
            <w:tcW w:type="dxa" w:w="2492"/>
          </w:tcPr>
          <w:p>
            <w:pPr>
              <w:pStyle w:val="null3"/>
              <w:jc w:val="left"/>
            </w:pPr>
            <w:r>
              <w:rPr>
                <w:rFonts w:ascii="仿宋_GB2312" w:hAnsi="仿宋_GB2312" w:cs="仿宋_GB2312" w:eastAsia="仿宋_GB2312"/>
              </w:rPr>
              <w:t>投标人根据本项目采购需求及特点制定详细的项目整体服务方案，应包括但不限于以下内容：①整体服务方案；② 管理模式；③服务效果；④工作内容；⑤与采购人对接方案等。 1、投标人提供上述内容的，每提供一项得 2 分，满分 10 分。每缺一项扣2分，扣完为止。 2、在此基础上对方案的合理性进行评分： A、方案详细完善，合理可行，叙述清晰、针对性强，可行性强的，完全满足项目实际需求的，得10分； B、方案合理性、可行性及针对性基本满足项目实际需求的，得7分； C、方案合理性、可行性及针对性部分满足项目实际需求的，得4分； D、方案合理性、可行性及针对性不满足项目实际需求的，得0分。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项目整体服务方案</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492"/>
          </w:tcPr>
          <w:p>
            <w:pPr>
              <w:pStyle w:val="null3"/>
              <w:jc w:val="left"/>
            </w:pPr>
            <w:r>
              <w:rPr>
                <w:rFonts w:ascii="仿宋_GB2312" w:hAnsi="仿宋_GB2312" w:cs="仿宋_GB2312" w:eastAsia="仿宋_GB2312"/>
              </w:rPr>
              <w:t>投标人应针对本项目采购需求及特点制定全面、详细、可操作性强的质量保证方案，应包括但不限于以下内容：① 质量保证范围、②质量保证承诺、③质量保证措施等要素： 1、投标人提供上述内容的，每提供一项得 2 分，满分 6分。每缺一项扣2分，扣完为止。 2、在此基础上对方案的合理性进行评分： A、质量保证方案内容全面，适用性强，完全满足磋商文件要求的，得 9 分； B、质量保证方案内容完整性、适用性仅基本满足磋商文件要求的，得 6 分； C、质量保证方案内容不全面，仅满足磋商文件部分要求的，得 3分； D、不提供者得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质量保证方案</w:t>
            </w:r>
          </w:p>
        </w:tc>
      </w:tr>
      <w:tr>
        <w:tc>
          <w:tcPr>
            <w:tcW w:type="dxa" w:w="831"/>
            <w:vMerge/>
          </w:tcPr>
          <w:p/>
        </w:tc>
        <w:tc>
          <w:tcPr>
            <w:tcW w:type="dxa" w:w="1661"/>
          </w:tcPr>
          <w:p>
            <w:pPr>
              <w:pStyle w:val="null3"/>
              <w:jc w:val="left"/>
            </w:pPr>
            <w:r>
              <w:rPr>
                <w:rFonts w:ascii="仿宋_GB2312" w:hAnsi="仿宋_GB2312" w:cs="仿宋_GB2312" w:eastAsia="仿宋_GB2312"/>
              </w:rPr>
              <w:t>项目重点、难点分析</w:t>
            </w:r>
          </w:p>
        </w:tc>
        <w:tc>
          <w:tcPr>
            <w:tcW w:type="dxa" w:w="2492"/>
          </w:tcPr>
          <w:p>
            <w:pPr>
              <w:pStyle w:val="null3"/>
              <w:jc w:val="left"/>
            </w:pPr>
            <w:r>
              <w:rPr>
                <w:rFonts w:ascii="仿宋_GB2312" w:hAnsi="仿宋_GB2312" w:cs="仿宋_GB2312" w:eastAsia="仿宋_GB2312"/>
              </w:rPr>
              <w:t>根据投标人针对本项目采购需求及特点，制定的项目重点、难点分析，进行综合评分，内容包括但不限于：① 本项目的实施重点难点分析、②项目重点难点的应对措施等。 1、每提供一项内容得2.5分。只有大纲，无实质性内容的不得分。满分5分。 2、评委在以上基础上进行综合评审： A、分析科学合理，适用性强，思路清晰，内容全面，能够根据实际情况制订，专业性强，考虑问题周全，完全满足项目实际需求的，得 10分； B、分析基本能够满足采购需要，思路比较清晰、方案基本合理、可行性一般的，得7分； C、分析基本完整，但条理不清、方案思路及可行性较差的，得 4分； D、不满足采购需求或不提供的不得分。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项目重点、难点分析</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492"/>
          </w:tcPr>
          <w:p>
            <w:pPr>
              <w:pStyle w:val="null3"/>
              <w:jc w:val="left"/>
            </w:pPr>
            <w:r>
              <w:rPr>
                <w:rFonts w:ascii="仿宋_GB2312" w:hAnsi="仿宋_GB2312" w:cs="仿宋_GB2312" w:eastAsia="仿宋_GB2312"/>
              </w:rPr>
              <w:t>投标人应针对本项目采购需求及特点制定全面、详细、可操作性强的管理制度，应包括但不限于以下内容：① 考勤考核制度；②内部管理制度；③薪酬体系等内容。 1、投标人提供上述内容的，每提供一项得 1 分，满分 3分。每缺一项扣1分，扣完为止。 2、评委在以上基础上进行综合评审： A.分析管理制度，科学合理，适用性强，思路清晰，内容全面，结合实际情况，考虑问题周全，实施过程务实，各项指标能完全满足的，得7分； B.分析管理制度，基本完整，但条理不清、方案思路及可行性较差的，得4分； C.分析管理制度，不完整，不够合理及可行性很差的，得1分； D.未提供不得分。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管理制度</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2023年1月1日至今，投标人具有类似项目业绩，每提供一个得5分，最高得10分。 （提供合同协议书复印件加盖公章，时间以合同协议书签订时间为准）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1、项目经理1人：（1）具有本科及以上学历，且持有国家人力资源和社会保障部门颁发的中级或以上人力资源管理师（该证书须为经济师职称人力资源管理专业），得1分；（2）项目经理具有3年以上人力资源管理工作经验的得2分，具有5年以上人力资源管理工作经验的得4分（工作经验以缴纳社保/个税时间为准）。 本项满分得5分。 证明材料：提供工作简历、学历证明（毕业证或中国高等教育学生信息网（学信网）学历在线验证报告查询截图或教育部学历证书电子注册备案表）、职称证书、在供应商本单位或其分支机构的2025年至今连续2个月的社保缴纳凭证复印件加盖公章、从事人力资源相关工作经验期 内的社保/个税缴纳凭证复印件加盖公章，未提供不得分。 说明：以上人员中如退休人员请提供相关退休证明文件以及劳务合同。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人员实力配置</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2、管理团队：1、管理团队其他成员（除项目负责人外），具有人社部或人社部授权的第三方评价机构颁发的企业人力资源管理师证书（须提供在技能人才评价证书全国联网查询系统（http://zscx.osta.org.cn/）输入证书信息后的查询截图）： 每有1名人员具有三级/高级职业技能等级证书得5分，每有1名人员具有四级/中级职业技能等级证书得2分，每有1名人员具有五级/初级职业技能等级证书得1分，满分15分。同一人员具有不同级别证书不能重复计分。 证明材料：提供身份证、职业技能等级证书、以及人员在供应商本单位或其分支机构的2025年至今连续2个月的社保缴纳凭证复印件加盖公章，未提供不得分。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人员实力配置</w:t>
            </w:r>
          </w:p>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详见附件：政府采购合同文本.docx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HNJD2026001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2026年生活垃圾分类监督管理外包项目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2026年生活垃圾分类监督管理外包项目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1250000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详见附件：政府采购供应商信用承诺书-格式</w:t>
      </w:r>
    </w:p>
    <w:p>
      <w:pPr>
        <w:pStyle w:val="null3"/>
        <w:ind w:firstLine="960"/>
        <w:jc w:val="left"/>
      </w:pPr>
      <w:r>
        <w:rPr>
          <w:rFonts w:ascii="仿宋_GB2312" w:hAnsi="仿宋_GB2312" w:cs="仿宋_GB2312" w:eastAsia="仿宋_GB2312"/>
        </w:rPr>
        <w:t>详见附件：无不良记录承诺书-格式</w:t>
      </w:r>
    </w:p>
    <w:p>
      <w:pPr>
        <w:pStyle w:val="null3"/>
        <w:ind w:firstLine="960"/>
        <w:jc w:val="left"/>
      </w:pPr>
      <w:r>
        <w:rPr>
          <w:rFonts w:ascii="仿宋_GB2312" w:hAnsi="仿宋_GB2312" w:cs="仿宋_GB2312" w:eastAsia="仿宋_GB2312"/>
        </w:rPr>
        <w:t>详见附件：项目整体服务方案</w:t>
      </w:r>
    </w:p>
    <w:p>
      <w:pPr>
        <w:pStyle w:val="null3"/>
        <w:ind w:firstLine="960"/>
        <w:jc w:val="left"/>
      </w:pPr>
      <w:r>
        <w:rPr>
          <w:rFonts w:ascii="仿宋_GB2312" w:hAnsi="仿宋_GB2312" w:cs="仿宋_GB2312" w:eastAsia="仿宋_GB2312"/>
        </w:rPr>
        <w:t>详见附件：质量保证方案</w:t>
      </w:r>
    </w:p>
    <w:p>
      <w:pPr>
        <w:pStyle w:val="null3"/>
        <w:ind w:firstLine="960"/>
        <w:jc w:val="left"/>
      </w:pPr>
      <w:r>
        <w:rPr>
          <w:rFonts w:ascii="仿宋_GB2312" w:hAnsi="仿宋_GB2312" w:cs="仿宋_GB2312" w:eastAsia="仿宋_GB2312"/>
        </w:rPr>
        <w:t>详见附件：项目重点、难点分析</w:t>
      </w:r>
    </w:p>
    <w:p>
      <w:pPr>
        <w:pStyle w:val="null3"/>
        <w:ind w:firstLine="960"/>
        <w:jc w:val="left"/>
      </w:pPr>
      <w:r>
        <w:rPr>
          <w:rFonts w:ascii="仿宋_GB2312" w:hAnsi="仿宋_GB2312" w:cs="仿宋_GB2312" w:eastAsia="仿宋_GB2312"/>
        </w:rPr>
        <w:t>详见附件：管理制度</w:t>
      </w:r>
    </w:p>
    <w:p>
      <w:pPr>
        <w:pStyle w:val="null3"/>
        <w:ind w:firstLine="960"/>
        <w:jc w:val="left"/>
      </w:pPr>
      <w:r>
        <w:rPr>
          <w:rFonts w:ascii="仿宋_GB2312" w:hAnsi="仿宋_GB2312" w:cs="仿宋_GB2312" w:eastAsia="仿宋_GB2312"/>
        </w:rPr>
        <w:t>详见附件：类似项目业绩一览表</w:t>
      </w:r>
    </w:p>
    <w:p>
      <w:pPr>
        <w:pStyle w:val="null3"/>
        <w:ind w:firstLine="960"/>
        <w:jc w:val="left"/>
      </w:pPr>
      <w:r>
        <w:rPr>
          <w:rFonts w:ascii="仿宋_GB2312" w:hAnsi="仿宋_GB2312" w:cs="仿宋_GB2312" w:eastAsia="仿宋_GB2312"/>
        </w:rPr>
        <w:t>详见附件：人员实力配置</w:t>
      </w:r>
    </w:p>
    <w:p>
      <w:pPr>
        <w:pStyle w:val="null3"/>
        <w:ind w:firstLine="960"/>
        <w:jc w:val="left"/>
      </w:pPr>
      <w:r>
        <w:rPr>
          <w:rFonts w:ascii="仿宋_GB2312" w:hAnsi="仿宋_GB2312" w:cs="仿宋_GB2312" w:eastAsia="仿宋_GB2312"/>
        </w:rPr>
        <w:t>详见附件：不接受联合体投标的承诺书</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