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center"/>
        <w:rPr>
          <w:b/>
          <w:bCs/>
          <w:spacing w:val="-4"/>
          <w:sz w:val="30"/>
          <w:szCs w:val="30"/>
        </w:rPr>
      </w:pPr>
      <w:r>
        <w:rPr>
          <w:b/>
          <w:bCs/>
          <w:spacing w:val="-4"/>
          <w:sz w:val="30"/>
          <w:szCs w:val="30"/>
        </w:rPr>
        <w:t>投标（响应）报价明细表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default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项目编号： SYZFCG-2025-19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项目名称： 中共三亚市委党校新校区分体式空调等设备采购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采购包：中共三亚市委党校新校区分体式空调等设备采购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投标人名称：</w:t>
      </w:r>
    </w:p>
    <w:p>
      <w:pPr>
        <w:pStyle w:val="2"/>
        <w:spacing w:before="104" w:line="218" w:lineRule="auto"/>
        <w:ind w:left="2915"/>
        <w:outlineLvl w:val="0"/>
        <w:rPr>
          <w:sz w:val="30"/>
          <w:szCs w:val="30"/>
        </w:rPr>
      </w:pPr>
    </w:p>
    <w:p>
      <w:pPr>
        <w:spacing w:line="196" w:lineRule="exact"/>
      </w:pPr>
    </w:p>
    <w:tbl>
      <w:tblPr>
        <w:tblStyle w:val="6"/>
        <w:tblW w:w="10528" w:type="dxa"/>
        <w:tblInd w:w="-50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2"/>
        <w:gridCol w:w="1076"/>
        <w:gridCol w:w="1005"/>
        <w:gridCol w:w="1240"/>
        <w:gridCol w:w="1121"/>
        <w:gridCol w:w="666"/>
        <w:gridCol w:w="591"/>
        <w:gridCol w:w="709"/>
        <w:gridCol w:w="1077"/>
        <w:gridCol w:w="1555"/>
        <w:gridCol w:w="69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6" w:hRule="atLeast"/>
        </w:trPr>
        <w:tc>
          <w:tcPr>
            <w:tcW w:w="792" w:type="dxa"/>
            <w:textDirection w:val="tbRlV"/>
            <w:vAlign w:val="top"/>
          </w:tcPr>
          <w:p>
            <w:pPr>
              <w:spacing w:before="215" w:line="210" w:lineRule="auto"/>
              <w:ind w:left="28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4"/>
                <w:szCs w:val="24"/>
              </w:rPr>
              <w:t>序</w:t>
            </w:r>
            <w:r>
              <w:rPr>
                <w:rFonts w:ascii="宋体" w:hAnsi="宋体" w:eastAsia="宋体" w:cs="宋体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3"/>
                <w:sz w:val="24"/>
                <w:szCs w:val="24"/>
              </w:rPr>
              <w:t>号</w:t>
            </w:r>
          </w:p>
        </w:tc>
        <w:tc>
          <w:tcPr>
            <w:tcW w:w="1076" w:type="dxa"/>
            <w:vAlign w:val="top"/>
          </w:tcPr>
          <w:p>
            <w:pPr>
              <w:pStyle w:val="7"/>
              <w:spacing w:line="427" w:lineRule="auto"/>
              <w:rPr>
                <w:sz w:val="24"/>
                <w:szCs w:val="24"/>
              </w:rPr>
            </w:pPr>
          </w:p>
          <w:p>
            <w:pPr>
              <w:spacing w:before="78" w:line="221" w:lineRule="auto"/>
              <w:ind w:firstLine="223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9"/>
                <w:sz w:val="24"/>
                <w:szCs w:val="24"/>
                <w:lang w:val="en-US" w:eastAsia="zh-CN"/>
              </w:rPr>
              <w:t>货物</w:t>
            </w:r>
            <w:r>
              <w:rPr>
                <w:rFonts w:ascii="宋体" w:hAnsi="宋体" w:eastAsia="宋体" w:cs="宋体"/>
                <w:b/>
                <w:bCs/>
                <w:spacing w:val="-9"/>
                <w:sz w:val="24"/>
                <w:szCs w:val="24"/>
              </w:rPr>
              <w:t>名称</w:t>
            </w:r>
          </w:p>
        </w:tc>
        <w:tc>
          <w:tcPr>
            <w:tcW w:w="1005" w:type="dxa"/>
            <w:vAlign w:val="top"/>
          </w:tcPr>
          <w:p>
            <w:pPr>
              <w:pStyle w:val="7"/>
              <w:spacing w:line="427" w:lineRule="auto"/>
              <w:rPr>
                <w:sz w:val="24"/>
                <w:szCs w:val="24"/>
              </w:rPr>
            </w:pPr>
          </w:p>
          <w:p>
            <w:pPr>
              <w:spacing w:before="78" w:line="219" w:lineRule="auto"/>
              <w:ind w:firstLine="205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18"/>
                <w:sz w:val="24"/>
                <w:szCs w:val="24"/>
              </w:rPr>
              <w:t>品牌</w:t>
            </w:r>
          </w:p>
        </w:tc>
        <w:tc>
          <w:tcPr>
            <w:tcW w:w="1240" w:type="dxa"/>
            <w:vAlign w:val="top"/>
          </w:tcPr>
          <w:p>
            <w:pPr>
              <w:pStyle w:val="7"/>
              <w:spacing w:line="427" w:lineRule="auto"/>
              <w:rPr>
                <w:sz w:val="24"/>
                <w:szCs w:val="24"/>
              </w:rPr>
            </w:pPr>
          </w:p>
          <w:p>
            <w:pPr>
              <w:spacing w:before="78" w:line="220" w:lineRule="auto"/>
              <w:ind w:firstLine="223" w:firstLineChars="100"/>
              <w:rPr>
                <w:rFonts w:hint="eastAsia" w:ascii="宋体" w:hAnsi="宋体" w:eastAsia="宋体" w:cs="宋体"/>
                <w:b/>
                <w:bCs/>
                <w:spacing w:val="-9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9"/>
                <w:sz w:val="24"/>
                <w:szCs w:val="24"/>
              </w:rPr>
              <w:t>生产厂家</w:t>
            </w:r>
          </w:p>
          <w:p>
            <w:pPr>
              <w:spacing w:before="78" w:line="220" w:lineRule="auto"/>
              <w:ind w:firstLine="223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9"/>
                <w:sz w:val="24"/>
                <w:szCs w:val="24"/>
              </w:rPr>
              <w:t>（制造商）</w:t>
            </w:r>
          </w:p>
        </w:tc>
        <w:tc>
          <w:tcPr>
            <w:tcW w:w="1121" w:type="dxa"/>
            <w:vAlign w:val="top"/>
          </w:tcPr>
          <w:p>
            <w:pPr>
              <w:pStyle w:val="7"/>
              <w:spacing w:line="426" w:lineRule="auto"/>
              <w:rPr>
                <w:sz w:val="24"/>
                <w:szCs w:val="24"/>
              </w:rPr>
            </w:pPr>
          </w:p>
          <w:p>
            <w:pPr>
              <w:spacing w:before="78" w:line="221" w:lineRule="auto"/>
              <w:ind w:left="21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1"/>
                <w:sz w:val="24"/>
                <w:szCs w:val="24"/>
              </w:rPr>
              <w:t>规格型号</w:t>
            </w:r>
          </w:p>
        </w:tc>
        <w:tc>
          <w:tcPr>
            <w:tcW w:w="666" w:type="dxa"/>
            <w:vAlign w:val="top"/>
          </w:tcPr>
          <w:p>
            <w:pPr>
              <w:pStyle w:val="7"/>
              <w:spacing w:line="427" w:lineRule="auto"/>
              <w:rPr>
                <w:sz w:val="24"/>
                <w:szCs w:val="24"/>
              </w:rPr>
            </w:pPr>
          </w:p>
          <w:p>
            <w:pPr>
              <w:spacing w:before="78" w:line="219" w:lineRule="auto"/>
              <w:ind w:left="20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sz w:val="24"/>
                <w:szCs w:val="24"/>
              </w:rPr>
              <w:t>数量</w:t>
            </w:r>
          </w:p>
        </w:tc>
        <w:tc>
          <w:tcPr>
            <w:tcW w:w="591" w:type="dxa"/>
            <w:vAlign w:val="top"/>
          </w:tcPr>
          <w:p>
            <w:pPr>
              <w:pStyle w:val="7"/>
              <w:spacing w:line="427" w:lineRule="auto"/>
              <w:rPr>
                <w:sz w:val="24"/>
                <w:szCs w:val="24"/>
              </w:rPr>
            </w:pPr>
          </w:p>
          <w:p>
            <w:pPr>
              <w:spacing w:before="78" w:line="220" w:lineRule="auto"/>
              <w:ind w:left="12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sz w:val="24"/>
                <w:szCs w:val="24"/>
              </w:rPr>
              <w:t>单位</w:t>
            </w:r>
          </w:p>
        </w:tc>
        <w:tc>
          <w:tcPr>
            <w:tcW w:w="709" w:type="dxa"/>
            <w:vAlign w:val="top"/>
          </w:tcPr>
          <w:p>
            <w:pPr>
              <w:spacing w:before="249" w:line="220" w:lineRule="auto"/>
              <w:ind w:left="239" w:leftChars="114" w:firstLine="669" w:firstLineChars="30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9"/>
                <w:sz w:val="24"/>
                <w:szCs w:val="24"/>
                <w:lang w:val="en-US" w:eastAsia="zh-CN"/>
              </w:rPr>
              <w:t xml:space="preserve"> 产地</w:t>
            </w:r>
          </w:p>
        </w:tc>
        <w:tc>
          <w:tcPr>
            <w:tcW w:w="1077" w:type="dxa"/>
            <w:vAlign w:val="top"/>
          </w:tcPr>
          <w:p>
            <w:pPr>
              <w:spacing w:before="157" w:line="209" w:lineRule="auto"/>
              <w:rPr>
                <w:rFonts w:ascii="宋体" w:hAnsi="宋体" w:eastAsia="宋体" w:cs="宋体"/>
                <w:b/>
                <w:bCs/>
                <w:spacing w:val="-11"/>
                <w:sz w:val="24"/>
                <w:szCs w:val="24"/>
              </w:rPr>
            </w:pPr>
          </w:p>
          <w:p>
            <w:pPr>
              <w:spacing w:before="157" w:line="209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11"/>
                <w:sz w:val="24"/>
                <w:szCs w:val="24"/>
              </w:rPr>
              <w:t>单价（元）</w:t>
            </w:r>
          </w:p>
        </w:tc>
        <w:tc>
          <w:tcPr>
            <w:tcW w:w="1555" w:type="dxa"/>
            <w:vAlign w:val="top"/>
          </w:tcPr>
          <w:p>
            <w:pPr>
              <w:spacing w:before="157" w:line="209" w:lineRule="auto"/>
              <w:rPr>
                <w:rFonts w:ascii="宋体" w:hAnsi="宋体" w:eastAsia="宋体" w:cs="宋体"/>
                <w:b/>
                <w:bCs/>
                <w:spacing w:val="-11"/>
                <w:sz w:val="24"/>
                <w:szCs w:val="24"/>
              </w:rPr>
            </w:pPr>
          </w:p>
          <w:p>
            <w:pPr>
              <w:spacing w:before="157" w:line="209" w:lineRule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b/>
                <w:bCs/>
                <w:spacing w:val="-11"/>
                <w:sz w:val="24"/>
                <w:szCs w:val="24"/>
              </w:rPr>
              <w:t>单价总价</w:t>
            </w:r>
            <w:r>
              <w:rPr>
                <w:rFonts w:ascii="宋体" w:hAnsi="宋体" w:eastAsia="宋体" w:cs="宋体"/>
                <w:b/>
                <w:bCs/>
                <w:spacing w:val="-10"/>
                <w:sz w:val="24"/>
                <w:szCs w:val="24"/>
              </w:rPr>
              <w:t>（元）</w:t>
            </w:r>
          </w:p>
        </w:tc>
        <w:tc>
          <w:tcPr>
            <w:tcW w:w="696" w:type="dxa"/>
            <w:textDirection w:val="tbRlV"/>
            <w:vAlign w:val="top"/>
          </w:tcPr>
          <w:p>
            <w:pPr>
              <w:spacing w:before="157" w:line="209" w:lineRule="auto"/>
              <w:ind w:left="286"/>
              <w:rPr>
                <w:rFonts w:ascii="宋体" w:hAnsi="宋体" w:eastAsia="宋体" w:cs="宋体"/>
                <w:b/>
                <w:bCs/>
                <w:spacing w:val="-3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4"/>
                <w:szCs w:val="24"/>
              </w:rPr>
              <w:t>备</w:t>
            </w:r>
            <w:r>
              <w:rPr>
                <w:rFonts w:ascii="宋体" w:hAnsi="宋体" w:eastAsia="宋体" w:cs="宋体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3"/>
                <w:sz w:val="24"/>
                <w:szCs w:val="24"/>
              </w:rPr>
              <w:t>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792" w:type="dxa"/>
            <w:vAlign w:val="top"/>
          </w:tcPr>
          <w:p>
            <w:pPr>
              <w:spacing w:before="241" w:line="241" w:lineRule="auto"/>
              <w:ind w:left="303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6" w:type="dxa"/>
            <w:vAlign w:val="top"/>
          </w:tcPr>
          <w:p>
            <w:pPr>
              <w:pStyle w:val="7"/>
            </w:pPr>
          </w:p>
        </w:tc>
        <w:tc>
          <w:tcPr>
            <w:tcW w:w="1005" w:type="dxa"/>
            <w:vAlign w:val="top"/>
          </w:tcPr>
          <w:p>
            <w:pPr>
              <w:pStyle w:val="7"/>
            </w:pPr>
          </w:p>
        </w:tc>
        <w:tc>
          <w:tcPr>
            <w:tcW w:w="1240" w:type="dxa"/>
            <w:vAlign w:val="top"/>
          </w:tcPr>
          <w:p>
            <w:pPr>
              <w:pStyle w:val="7"/>
            </w:pPr>
          </w:p>
        </w:tc>
        <w:tc>
          <w:tcPr>
            <w:tcW w:w="1121" w:type="dxa"/>
            <w:vAlign w:val="top"/>
          </w:tcPr>
          <w:p>
            <w:pPr>
              <w:pStyle w:val="7"/>
            </w:pPr>
          </w:p>
        </w:tc>
        <w:tc>
          <w:tcPr>
            <w:tcW w:w="666" w:type="dxa"/>
            <w:vAlign w:val="top"/>
          </w:tcPr>
          <w:p>
            <w:pPr>
              <w:pStyle w:val="7"/>
            </w:pPr>
          </w:p>
        </w:tc>
        <w:tc>
          <w:tcPr>
            <w:tcW w:w="591" w:type="dxa"/>
            <w:vAlign w:val="top"/>
          </w:tcPr>
          <w:p>
            <w:pPr>
              <w:pStyle w:val="7"/>
            </w:pPr>
          </w:p>
        </w:tc>
        <w:tc>
          <w:tcPr>
            <w:tcW w:w="709" w:type="dxa"/>
            <w:vAlign w:val="top"/>
          </w:tcPr>
          <w:p>
            <w:pPr>
              <w:pStyle w:val="7"/>
            </w:pPr>
          </w:p>
        </w:tc>
        <w:tc>
          <w:tcPr>
            <w:tcW w:w="1077" w:type="dxa"/>
            <w:vAlign w:val="top"/>
          </w:tcPr>
          <w:p>
            <w:pPr>
              <w:pStyle w:val="7"/>
            </w:pPr>
          </w:p>
        </w:tc>
        <w:tc>
          <w:tcPr>
            <w:tcW w:w="1555" w:type="dxa"/>
            <w:vAlign w:val="top"/>
          </w:tcPr>
          <w:p>
            <w:pPr>
              <w:pStyle w:val="7"/>
            </w:pPr>
          </w:p>
        </w:tc>
        <w:tc>
          <w:tcPr>
            <w:tcW w:w="696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792" w:type="dxa"/>
            <w:vAlign w:val="top"/>
          </w:tcPr>
          <w:p>
            <w:pPr>
              <w:spacing w:before="241" w:line="241" w:lineRule="auto"/>
              <w:ind w:left="288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6" w:type="dxa"/>
            <w:vAlign w:val="top"/>
          </w:tcPr>
          <w:p>
            <w:pPr>
              <w:pStyle w:val="7"/>
            </w:pPr>
          </w:p>
        </w:tc>
        <w:tc>
          <w:tcPr>
            <w:tcW w:w="1005" w:type="dxa"/>
            <w:vAlign w:val="top"/>
          </w:tcPr>
          <w:p>
            <w:pPr>
              <w:pStyle w:val="7"/>
            </w:pPr>
          </w:p>
        </w:tc>
        <w:tc>
          <w:tcPr>
            <w:tcW w:w="1240" w:type="dxa"/>
            <w:vAlign w:val="top"/>
          </w:tcPr>
          <w:p>
            <w:pPr>
              <w:pStyle w:val="7"/>
            </w:pPr>
          </w:p>
        </w:tc>
        <w:tc>
          <w:tcPr>
            <w:tcW w:w="1121" w:type="dxa"/>
            <w:vAlign w:val="top"/>
          </w:tcPr>
          <w:p>
            <w:pPr>
              <w:pStyle w:val="7"/>
            </w:pPr>
          </w:p>
        </w:tc>
        <w:tc>
          <w:tcPr>
            <w:tcW w:w="666" w:type="dxa"/>
            <w:vAlign w:val="top"/>
          </w:tcPr>
          <w:p>
            <w:pPr>
              <w:pStyle w:val="7"/>
            </w:pPr>
          </w:p>
        </w:tc>
        <w:tc>
          <w:tcPr>
            <w:tcW w:w="591" w:type="dxa"/>
            <w:vAlign w:val="top"/>
          </w:tcPr>
          <w:p>
            <w:pPr>
              <w:pStyle w:val="7"/>
            </w:pPr>
          </w:p>
        </w:tc>
        <w:tc>
          <w:tcPr>
            <w:tcW w:w="709" w:type="dxa"/>
            <w:vAlign w:val="top"/>
          </w:tcPr>
          <w:p>
            <w:pPr>
              <w:pStyle w:val="7"/>
            </w:pPr>
          </w:p>
        </w:tc>
        <w:tc>
          <w:tcPr>
            <w:tcW w:w="1077" w:type="dxa"/>
            <w:vAlign w:val="top"/>
          </w:tcPr>
          <w:p>
            <w:pPr>
              <w:pStyle w:val="7"/>
            </w:pPr>
          </w:p>
        </w:tc>
        <w:tc>
          <w:tcPr>
            <w:tcW w:w="1555" w:type="dxa"/>
            <w:vAlign w:val="top"/>
          </w:tcPr>
          <w:p>
            <w:pPr>
              <w:pStyle w:val="7"/>
            </w:pPr>
          </w:p>
        </w:tc>
        <w:tc>
          <w:tcPr>
            <w:tcW w:w="696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792" w:type="dxa"/>
            <w:vAlign w:val="top"/>
          </w:tcPr>
          <w:p>
            <w:pPr>
              <w:spacing w:before="241"/>
              <w:ind w:left="29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6" w:type="dxa"/>
            <w:vAlign w:val="top"/>
          </w:tcPr>
          <w:p>
            <w:pPr>
              <w:pStyle w:val="7"/>
            </w:pPr>
          </w:p>
        </w:tc>
        <w:tc>
          <w:tcPr>
            <w:tcW w:w="1005" w:type="dxa"/>
            <w:vAlign w:val="top"/>
          </w:tcPr>
          <w:p>
            <w:pPr>
              <w:pStyle w:val="7"/>
            </w:pPr>
          </w:p>
        </w:tc>
        <w:tc>
          <w:tcPr>
            <w:tcW w:w="1240" w:type="dxa"/>
            <w:vAlign w:val="top"/>
          </w:tcPr>
          <w:p>
            <w:pPr>
              <w:pStyle w:val="7"/>
            </w:pPr>
          </w:p>
        </w:tc>
        <w:tc>
          <w:tcPr>
            <w:tcW w:w="1121" w:type="dxa"/>
            <w:vAlign w:val="top"/>
          </w:tcPr>
          <w:p>
            <w:pPr>
              <w:pStyle w:val="7"/>
            </w:pPr>
          </w:p>
        </w:tc>
        <w:tc>
          <w:tcPr>
            <w:tcW w:w="666" w:type="dxa"/>
            <w:vAlign w:val="top"/>
          </w:tcPr>
          <w:p>
            <w:pPr>
              <w:pStyle w:val="7"/>
            </w:pPr>
          </w:p>
        </w:tc>
        <w:tc>
          <w:tcPr>
            <w:tcW w:w="591" w:type="dxa"/>
            <w:vAlign w:val="top"/>
          </w:tcPr>
          <w:p>
            <w:pPr>
              <w:pStyle w:val="7"/>
            </w:pPr>
          </w:p>
        </w:tc>
        <w:tc>
          <w:tcPr>
            <w:tcW w:w="709" w:type="dxa"/>
            <w:vAlign w:val="top"/>
          </w:tcPr>
          <w:p>
            <w:pPr>
              <w:pStyle w:val="7"/>
            </w:pPr>
          </w:p>
        </w:tc>
        <w:tc>
          <w:tcPr>
            <w:tcW w:w="1077" w:type="dxa"/>
            <w:vAlign w:val="top"/>
          </w:tcPr>
          <w:p>
            <w:pPr>
              <w:pStyle w:val="7"/>
            </w:pPr>
          </w:p>
        </w:tc>
        <w:tc>
          <w:tcPr>
            <w:tcW w:w="1555" w:type="dxa"/>
            <w:vAlign w:val="top"/>
          </w:tcPr>
          <w:p>
            <w:pPr>
              <w:pStyle w:val="7"/>
            </w:pPr>
          </w:p>
        </w:tc>
        <w:tc>
          <w:tcPr>
            <w:tcW w:w="696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792" w:type="dxa"/>
            <w:vAlign w:val="top"/>
          </w:tcPr>
          <w:p>
            <w:pPr>
              <w:pStyle w:val="7"/>
              <w:spacing w:line="340" w:lineRule="auto"/>
            </w:pPr>
          </w:p>
          <w:p>
            <w:pPr>
              <w:spacing w:before="78" w:line="99" w:lineRule="exact"/>
              <w:ind w:left="16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24"/>
                <w:szCs w:val="24"/>
              </w:rPr>
              <w:t>...</w:t>
            </w:r>
          </w:p>
        </w:tc>
        <w:tc>
          <w:tcPr>
            <w:tcW w:w="1076" w:type="dxa"/>
            <w:vAlign w:val="top"/>
          </w:tcPr>
          <w:p>
            <w:pPr>
              <w:pStyle w:val="7"/>
            </w:pPr>
          </w:p>
        </w:tc>
        <w:tc>
          <w:tcPr>
            <w:tcW w:w="1005" w:type="dxa"/>
            <w:vAlign w:val="top"/>
          </w:tcPr>
          <w:p>
            <w:pPr>
              <w:pStyle w:val="7"/>
            </w:pPr>
          </w:p>
        </w:tc>
        <w:tc>
          <w:tcPr>
            <w:tcW w:w="1240" w:type="dxa"/>
            <w:vAlign w:val="top"/>
          </w:tcPr>
          <w:p>
            <w:pPr>
              <w:pStyle w:val="7"/>
            </w:pPr>
          </w:p>
        </w:tc>
        <w:tc>
          <w:tcPr>
            <w:tcW w:w="1121" w:type="dxa"/>
            <w:vAlign w:val="top"/>
          </w:tcPr>
          <w:p>
            <w:pPr>
              <w:pStyle w:val="7"/>
            </w:pPr>
          </w:p>
        </w:tc>
        <w:tc>
          <w:tcPr>
            <w:tcW w:w="666" w:type="dxa"/>
            <w:vAlign w:val="top"/>
          </w:tcPr>
          <w:p>
            <w:pPr>
              <w:pStyle w:val="7"/>
            </w:pPr>
          </w:p>
        </w:tc>
        <w:tc>
          <w:tcPr>
            <w:tcW w:w="591" w:type="dxa"/>
            <w:vAlign w:val="top"/>
          </w:tcPr>
          <w:p>
            <w:pPr>
              <w:pStyle w:val="7"/>
            </w:pPr>
          </w:p>
        </w:tc>
        <w:tc>
          <w:tcPr>
            <w:tcW w:w="709" w:type="dxa"/>
            <w:vAlign w:val="top"/>
          </w:tcPr>
          <w:p>
            <w:pPr>
              <w:pStyle w:val="7"/>
            </w:pPr>
          </w:p>
        </w:tc>
        <w:tc>
          <w:tcPr>
            <w:tcW w:w="1077" w:type="dxa"/>
            <w:vAlign w:val="top"/>
          </w:tcPr>
          <w:p>
            <w:pPr>
              <w:pStyle w:val="7"/>
            </w:pPr>
          </w:p>
        </w:tc>
        <w:tc>
          <w:tcPr>
            <w:tcW w:w="1555" w:type="dxa"/>
            <w:vAlign w:val="top"/>
          </w:tcPr>
          <w:p>
            <w:pPr>
              <w:pStyle w:val="7"/>
            </w:pPr>
          </w:p>
        </w:tc>
        <w:tc>
          <w:tcPr>
            <w:tcW w:w="696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4" w:hRule="atLeast"/>
        </w:trPr>
        <w:tc>
          <w:tcPr>
            <w:tcW w:w="1868" w:type="dxa"/>
            <w:gridSpan w:val="2"/>
            <w:vAlign w:val="top"/>
          </w:tcPr>
          <w:p>
            <w:pPr>
              <w:pStyle w:val="7"/>
              <w:spacing w:line="251" w:lineRule="auto"/>
            </w:pPr>
          </w:p>
          <w:p>
            <w:pPr>
              <w:pStyle w:val="7"/>
              <w:spacing w:line="252" w:lineRule="auto"/>
            </w:pPr>
          </w:p>
          <w:p>
            <w:pPr>
              <w:pStyle w:val="7"/>
              <w:spacing w:line="252" w:lineRule="auto"/>
            </w:pPr>
          </w:p>
          <w:p>
            <w:pPr>
              <w:spacing w:before="78" w:line="218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4"/>
                <w:szCs w:val="24"/>
              </w:rPr>
              <w:t>投标报价（总价）</w:t>
            </w:r>
          </w:p>
        </w:tc>
        <w:tc>
          <w:tcPr>
            <w:tcW w:w="8660" w:type="dxa"/>
            <w:gridSpan w:val="9"/>
            <w:vAlign w:val="top"/>
          </w:tcPr>
          <w:p>
            <w:pPr>
              <w:pStyle w:val="7"/>
              <w:spacing w:line="380" w:lineRule="auto"/>
            </w:pPr>
          </w:p>
          <w:p>
            <w:pPr>
              <w:spacing w:before="78" w:line="220" w:lineRule="auto"/>
              <w:ind w:left="126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大写）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lang w:val="en-US" w:eastAsia="zh-CN"/>
              </w:rPr>
              <w:t>人民币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  <w:u w:val="single" w:color="auto"/>
              </w:rPr>
              <w:t xml:space="preserve">           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 w:color="auto"/>
                <w:lang w:eastAsia="zh-CN"/>
              </w:rPr>
              <w:t>；</w:t>
            </w:r>
          </w:p>
          <w:p>
            <w:pPr>
              <w:pStyle w:val="7"/>
              <w:spacing w:line="387" w:lineRule="auto"/>
            </w:pPr>
          </w:p>
          <w:p>
            <w:pPr>
              <w:spacing w:before="78" w:line="221" w:lineRule="auto"/>
              <w:ind w:left="126"/>
              <w:rPr>
                <w:rFonts w:hint="eastAsia" w:ascii="宋体" w:hAnsi="宋体" w:eastAsia="宋体" w:cs="宋体"/>
                <w:spacing w:val="-7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（小写</w:t>
            </w:r>
            <w:r>
              <w:rPr>
                <w:rFonts w:ascii="宋体" w:hAnsi="宋体" w:eastAsia="宋体" w:cs="宋体"/>
                <w:spacing w:val="-61"/>
                <w:sz w:val="24"/>
                <w:szCs w:val="24"/>
              </w:rPr>
              <w:t>）</w:t>
            </w:r>
            <w:r>
              <w:rPr>
                <w:rFonts w:hint="eastAsia" w:ascii="宋体" w:hAnsi="宋体" w:cs="宋体"/>
                <w:sz w:val="24"/>
              </w:rPr>
              <w:t>¥</w:t>
            </w:r>
            <w:r>
              <w:rPr>
                <w:rFonts w:ascii="宋体" w:hAnsi="宋体" w:eastAsia="宋体" w:cs="宋体"/>
                <w:sz w:val="24"/>
                <w:szCs w:val="24"/>
                <w:u w:val="single" w:color="auto"/>
              </w:rPr>
              <w:t xml:space="preserve">             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 w:color="auto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 w:color="auto"/>
                <w:lang w:eastAsia="zh-CN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6" w:hRule="atLeast"/>
        </w:trPr>
        <w:tc>
          <w:tcPr>
            <w:tcW w:w="1868" w:type="dxa"/>
            <w:gridSpan w:val="2"/>
            <w:vAlign w:val="top"/>
          </w:tcPr>
          <w:p>
            <w:pPr>
              <w:spacing w:before="78" w:line="218" w:lineRule="auto"/>
              <w:ind w:left="269"/>
              <w:rPr>
                <w:rFonts w:hint="eastAsia" w:ascii="宋体" w:hAnsi="宋体" w:eastAsia="宋体" w:cs="宋体"/>
                <w:b/>
                <w:bCs/>
                <w:spacing w:val="-4"/>
                <w:sz w:val="24"/>
                <w:szCs w:val="24"/>
              </w:rPr>
            </w:pPr>
          </w:p>
          <w:p>
            <w:pPr>
              <w:spacing w:before="78" w:line="218" w:lineRule="auto"/>
              <w:rPr>
                <w:rFonts w:hint="eastAsia" w:ascii="宋体" w:hAnsi="宋体" w:eastAsia="宋体" w:cs="宋体"/>
                <w:b/>
                <w:bCs/>
                <w:spacing w:val="-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4"/>
                <w:szCs w:val="24"/>
              </w:rPr>
              <w:t>合同履行期限</w:t>
            </w:r>
          </w:p>
        </w:tc>
        <w:tc>
          <w:tcPr>
            <w:tcW w:w="8660" w:type="dxa"/>
            <w:gridSpan w:val="9"/>
            <w:vAlign w:val="top"/>
          </w:tcPr>
          <w:p>
            <w:pPr>
              <w:spacing w:before="78" w:line="221" w:lineRule="auto"/>
              <w:ind w:left="126"/>
              <w:rPr>
                <w:rFonts w:ascii="宋体" w:hAnsi="宋体" w:eastAsia="宋体" w:cs="宋体"/>
                <w:spacing w:val="-7"/>
                <w:sz w:val="24"/>
                <w:szCs w:val="24"/>
              </w:rPr>
            </w:pPr>
          </w:p>
        </w:tc>
      </w:tr>
    </w:tbl>
    <w:p>
      <w:pPr>
        <w:spacing w:line="266" w:lineRule="auto"/>
        <w:rPr>
          <w:rFonts w:ascii="Arial"/>
          <w:sz w:val="21"/>
        </w:rPr>
      </w:pPr>
    </w:p>
    <w:p>
      <w:pPr>
        <w:pStyle w:val="2"/>
        <w:spacing w:before="78" w:line="224" w:lineRule="auto"/>
        <w:rPr>
          <w:rFonts w:hint="eastAsia" w:ascii="Yu Mincho Demibold" w:hAnsi="宋体" w:eastAsia="宋体" w:cs="宋体"/>
          <w:b/>
          <w:bCs/>
          <w:snapToGrid w:val="0"/>
          <w:color w:val="000000"/>
          <w:kern w:val="2"/>
          <w:sz w:val="21"/>
          <w:szCs w:val="24"/>
          <w:lang w:val="en-US" w:eastAsia="zh-CN" w:bidi="ar-SA"/>
        </w:rPr>
      </w:pPr>
      <w:r>
        <w:rPr>
          <w:b/>
          <w:bCs/>
          <w:spacing w:val="-8"/>
        </w:rPr>
        <w:t>注：</w:t>
      </w:r>
      <w:r>
        <w:rPr>
          <w:rFonts w:hint="eastAsia" w:ascii="Yu Mincho Demibold" w:cs="宋体"/>
          <w:b/>
          <w:bCs/>
          <w:snapToGrid w:val="0"/>
          <w:color w:val="000000"/>
          <w:kern w:val="2"/>
          <w:sz w:val="21"/>
          <w:szCs w:val="24"/>
          <w:lang w:val="en-US" w:eastAsia="zh-CN" w:bidi="ar-SA"/>
        </w:rPr>
        <w:t>1</w:t>
      </w:r>
      <w:r>
        <w:rPr>
          <w:rFonts w:hint="eastAsia" w:ascii="Yu Mincho Demibold" w:hAnsi="宋体" w:eastAsia="宋体" w:cs="宋体"/>
          <w:b/>
          <w:bCs/>
          <w:snapToGrid w:val="0"/>
          <w:color w:val="000000"/>
          <w:kern w:val="2"/>
          <w:sz w:val="21"/>
          <w:szCs w:val="24"/>
          <w:lang w:val="en-US" w:eastAsia="en-US" w:bidi="ar-SA"/>
        </w:rPr>
        <w:t>、报价明细表当中的“投标报价（总价）”须与开标（报价）一览表中的“合计”保持一致</w:t>
      </w:r>
      <w:bookmarkStart w:id="0" w:name="_GoBack"/>
      <w:r>
        <w:rPr>
          <w:rFonts w:hint="eastAsia" w:ascii="Yu Mincho Demibold" w:cs="宋体"/>
          <w:b/>
          <w:bCs/>
          <w:snapToGrid w:val="0"/>
          <w:color w:val="000000"/>
          <w:kern w:val="2"/>
          <w:sz w:val="21"/>
          <w:szCs w:val="24"/>
          <w:lang w:val="en-US" w:eastAsia="zh-CN" w:bidi="ar-SA"/>
        </w:rPr>
        <w:t>；</w:t>
      </w:r>
      <w:bookmarkEnd w:id="0"/>
      <w:r>
        <w:rPr>
          <w:rFonts w:hint="eastAsia" w:ascii="Yu Mincho Demibold" w:hAnsi="宋体" w:eastAsia="宋体" w:cs="宋体"/>
          <w:b/>
          <w:bCs/>
          <w:snapToGrid w:val="0"/>
          <w:color w:val="000000"/>
          <w:kern w:val="2"/>
          <w:sz w:val="21"/>
          <w:szCs w:val="24"/>
          <w:lang w:val="en-US" w:eastAsia="en-US" w:bidi="ar-SA"/>
        </w:rPr>
        <w:t>★</w:t>
      </w:r>
      <w:r>
        <w:rPr>
          <w:rFonts w:hint="eastAsia" w:ascii="Yu Mincho Demibold" w:cs="宋体"/>
          <w:b/>
          <w:bCs/>
          <w:snapToGrid w:val="0"/>
          <w:color w:val="000000"/>
          <w:kern w:val="2"/>
          <w:sz w:val="21"/>
          <w:szCs w:val="24"/>
          <w:lang w:val="en-US" w:eastAsia="zh-CN" w:bidi="ar-SA"/>
        </w:rPr>
        <w:t>2、</w:t>
      </w:r>
      <w:r>
        <w:rPr>
          <w:rFonts w:hint="eastAsia" w:ascii="Yu Mincho Demibold" w:hAnsi="宋体" w:eastAsia="宋体" w:cs="宋体"/>
          <w:b/>
          <w:bCs/>
          <w:snapToGrid w:val="0"/>
          <w:color w:val="000000"/>
          <w:kern w:val="2"/>
          <w:sz w:val="21"/>
          <w:szCs w:val="24"/>
          <w:lang w:val="en-US" w:eastAsia="en-US" w:bidi="ar-SA"/>
        </w:rPr>
        <w:t>投标报价是包括新机所涉及费用：全部货物、运输、辅助材料、安装、调试、国家有关部门检测、强制性认证等费用，以及人工、机械、运输、仓储、保险、运费、各种税费、劳保、专利技术及质保期间所产生费用等；旧机迁移所涉及的费用包含:（1）旧机的拆装、运输保护、高空作业费、外机支架费用（须304不锈钢支架）、普通紫铜管更换费用（每台空调包含且不限于3米）、排水管更换费用、搬运费以及加冰种费用(均包含人工费用)等在内的所有费用的总报价，以及送至采购人指定地点的费用，供应商不再向采购人收取其他任何费用。（2）旧机若因迁移、拆装损坏的，采购人有权向供应商提出索赔，并要求供应商进行维修处理，并在采购人要求的时限内响应并处理完毕,费用由供应商自行承担</w:t>
      </w:r>
      <w:r>
        <w:rPr>
          <w:rFonts w:hint="eastAsia" w:ascii="Yu Mincho Demibold" w:cs="宋体"/>
          <w:b/>
          <w:bCs/>
          <w:snapToGrid w:val="0"/>
          <w:color w:val="000000"/>
          <w:kern w:val="2"/>
          <w:sz w:val="21"/>
          <w:szCs w:val="24"/>
          <w:lang w:val="en-US" w:eastAsia="zh-CN" w:bidi="ar-SA"/>
        </w:rPr>
        <w:t>；</w:t>
      </w:r>
    </w:p>
    <w:p>
      <w:pPr>
        <w:pStyle w:val="3"/>
        <w:numPr>
          <w:ilvl w:val="0"/>
          <w:numId w:val="0"/>
        </w:numPr>
        <w:ind w:leftChars="0" w:right="0" w:rightChars="0"/>
        <w:rPr>
          <w:rFonts w:hint="eastAsia" w:ascii="Arial" w:eastAsia="宋体"/>
          <w:b/>
          <w:bCs/>
          <w:sz w:val="21"/>
          <w:lang w:eastAsia="zh-CN"/>
        </w:rPr>
      </w:pPr>
      <w:r>
        <w:rPr>
          <w:rFonts w:hint="eastAsia" w:cs="宋体"/>
          <w:b/>
          <w:bCs/>
          <w:snapToGrid w:val="0"/>
          <w:color w:val="000000"/>
          <w:kern w:val="2"/>
          <w:sz w:val="21"/>
          <w:szCs w:val="24"/>
          <w:lang w:val="en-US" w:eastAsia="zh-CN" w:bidi="ar-SA"/>
        </w:rPr>
        <w:t>3</w:t>
      </w:r>
      <w:r>
        <w:rPr>
          <w:rFonts w:hint="eastAsia" w:ascii="Yu Mincho Demibold" w:hAnsi="宋体" w:eastAsia="宋体" w:cs="宋体"/>
          <w:b/>
          <w:bCs/>
          <w:snapToGrid w:val="0"/>
          <w:color w:val="000000"/>
          <w:kern w:val="2"/>
          <w:sz w:val="21"/>
          <w:szCs w:val="24"/>
          <w:lang w:val="en-US" w:eastAsia="en-US" w:bidi="ar-SA"/>
        </w:rPr>
        <w:t>、此表为表样，行数可自行添加，但表式不变</w:t>
      </w:r>
      <w:r>
        <w:rPr>
          <w:rFonts w:hint="eastAsia" w:cs="宋体"/>
          <w:b/>
          <w:bCs/>
          <w:snapToGrid w:val="0"/>
          <w:color w:val="000000"/>
          <w:kern w:val="2"/>
          <w:sz w:val="21"/>
          <w:szCs w:val="24"/>
          <w:lang w:val="en-US" w:eastAsia="zh-CN" w:bidi="ar-SA"/>
        </w:rPr>
        <w:t>；</w:t>
      </w:r>
    </w:p>
    <w:p>
      <w:pPr>
        <w:spacing w:line="292" w:lineRule="auto"/>
        <w:rPr>
          <w:rFonts w:hint="default" w:ascii="Arial" w:eastAsia="宋体"/>
          <w:b/>
          <w:bCs/>
          <w:sz w:val="21"/>
          <w:lang w:val="en-US" w:eastAsia="zh-CN"/>
        </w:rPr>
      </w:pPr>
      <w:r>
        <w:rPr>
          <w:rFonts w:hint="eastAsia" w:eastAsia="宋体"/>
          <w:b/>
          <w:bCs/>
          <w:sz w:val="21"/>
          <w:lang w:val="en-US" w:eastAsia="zh-CN"/>
        </w:rPr>
        <w:t>4、</w:t>
      </w:r>
      <w:r>
        <w:rPr>
          <w:rFonts w:hint="eastAsia" w:ascii="Arial"/>
          <w:b/>
          <w:bCs/>
          <w:sz w:val="21"/>
        </w:rPr>
        <w:t>“★”为必须满足或正偏离的实质性需求</w:t>
      </w:r>
      <w:r>
        <w:rPr>
          <w:rFonts w:hint="eastAsia" w:eastAsia="宋体"/>
          <w:b/>
          <w:bCs/>
          <w:sz w:val="21"/>
          <w:lang w:eastAsia="zh-CN"/>
        </w:rPr>
        <w:t>，</w:t>
      </w:r>
      <w:r>
        <w:rPr>
          <w:rFonts w:hint="eastAsia" w:eastAsia="宋体"/>
          <w:b/>
          <w:bCs/>
          <w:sz w:val="21"/>
          <w:lang w:val="en-US" w:eastAsia="zh-CN"/>
        </w:rPr>
        <w:t>否则投标无效。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3360" w:firstLineChars="1400"/>
        <w:jc w:val="left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投标人名称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none"/>
          <w:lang w:val="en-US" w:eastAsia="zh-CN" w:bidi="ar"/>
        </w:rPr>
        <w:t>（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u w:val="none"/>
          <w:lang w:val="en-US" w:eastAsia="zh-CN" w:bidi="ar"/>
        </w:rPr>
        <w:t>加盖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none"/>
          <w:lang w:val="en-US" w:eastAsia="zh-CN" w:bidi="ar"/>
        </w:rPr>
        <w:t>公章）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：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</w:p>
    <w:p>
      <w:pP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>
      <w:pPr>
        <w:ind w:firstLine="3600" w:firstLineChars="1500"/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日     期：</w:t>
      </w:r>
    </w:p>
    <w:p/>
    <w:sectPr>
      <w:pgSz w:w="11906" w:h="16839"/>
      <w:pgMar w:top="1431" w:right="1397" w:bottom="0" w:left="1396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Yu Mincho Demibold">
    <w:altName w:val="Yu Gothic"/>
    <w:panose1 w:val="00000000000000000000"/>
    <w:charset w:val="80"/>
    <w:family w:val="roman"/>
    <w:pitch w:val="default"/>
    <w:sig w:usb0="00000000" w:usb1="00000000" w:usb2="00000012" w:usb3="00000000" w:csb0="0002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6E719A"/>
    <w:rsid w:val="1BFE6FFA"/>
    <w:rsid w:val="24C51D01"/>
    <w:rsid w:val="286E60A3"/>
    <w:rsid w:val="2BFE2319"/>
    <w:rsid w:val="2CF7104C"/>
    <w:rsid w:val="41BB4CC2"/>
    <w:rsid w:val="56BA3267"/>
    <w:rsid w:val="5DB60700"/>
    <w:rsid w:val="65F8430D"/>
    <w:rsid w:val="6D2B2314"/>
    <w:rsid w:val="70B046D9"/>
    <w:rsid w:val="71576B7D"/>
    <w:rsid w:val="726E719A"/>
    <w:rsid w:val="77030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paragraph" w:styleId="3">
    <w:name w:val="Body Text First Indent"/>
    <w:basedOn w:val="2"/>
    <w:qFormat/>
    <w:uiPriority w:val="0"/>
    <w:pPr>
      <w:autoSpaceDE/>
      <w:autoSpaceDN/>
      <w:adjustRightInd/>
      <w:spacing w:after="120"/>
      <w:ind w:right="0" w:firstLine="420" w:firstLineChars="100"/>
      <w:jc w:val="both"/>
    </w:pPr>
    <w:rPr>
      <w:rFonts w:ascii="Yu Mincho Demibold"/>
      <w:kern w:val="2"/>
      <w:sz w:val="21"/>
      <w:szCs w:val="24"/>
    </w:rPr>
  </w:style>
  <w:style w:type="table" w:customStyle="1" w:styleId="6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2025-08-13T08:15:00Z</dcterms:created>
  <dc:creator>去吧皮卡丘</dc:creator>
  <cp:lastModifiedBy>去吧皮卡丘</cp:lastModifiedBy>
  <dcterms:modified xsi:type="dcterms:W3CDTF">2025-09-08T03:11:32Z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