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9CDF1">
      <w:pPr>
        <w:pStyle w:val="2"/>
        <w:overflowPunct w:val="0"/>
        <w:spacing w:before="156" w:beforeLines="50" w:after="156" w:afterLines="50" w:line="360" w:lineRule="auto"/>
        <w:ind w:firstLine="0"/>
        <w:jc w:val="center"/>
        <w:rPr>
          <w:rFonts w:hint="eastAsia" w:ascii="Times New Roman" w:hAnsi="Times New Roman" w:eastAsia="宋体" w:cs="Times New Roman"/>
          <w:b/>
          <w:color w:val="000000"/>
          <w:sz w:val="36"/>
          <w:szCs w:val="36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szCs w:val="36"/>
          <w:lang w:val="en-US" w:eastAsia="zh-CN"/>
        </w:rPr>
        <w:t>采购需求</w:t>
      </w:r>
      <w:r>
        <w:rPr>
          <w:rFonts w:hint="eastAsia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应答表</w:t>
      </w:r>
    </w:p>
    <w:p w14:paraId="60E7308B">
      <w:pPr>
        <w:spacing w:line="360" w:lineRule="auto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项目名称：2025年-2026年三亚市行政审批技术评估项目</w:t>
      </w:r>
    </w:p>
    <w:tbl>
      <w:tblPr>
        <w:tblStyle w:val="8"/>
        <w:tblW w:w="140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130"/>
        <w:gridCol w:w="4870"/>
        <w:gridCol w:w="1212"/>
        <w:gridCol w:w="1063"/>
      </w:tblGrid>
      <w:tr w14:paraId="74A0D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30FB2D8C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6130" w:type="dxa"/>
            <w:noWrap w:val="0"/>
            <w:vAlign w:val="center"/>
          </w:tcPr>
          <w:p w14:paraId="1F3D9D71">
            <w:pPr>
              <w:pStyle w:val="5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征集文件要求</w:t>
            </w:r>
          </w:p>
        </w:tc>
        <w:tc>
          <w:tcPr>
            <w:tcW w:w="4870" w:type="dxa"/>
            <w:noWrap w:val="0"/>
            <w:vAlign w:val="center"/>
          </w:tcPr>
          <w:p w14:paraId="0E02B76C">
            <w:pPr>
              <w:pStyle w:val="5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响应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情况</w:t>
            </w:r>
          </w:p>
        </w:tc>
        <w:tc>
          <w:tcPr>
            <w:tcW w:w="1212" w:type="dxa"/>
            <w:noWrap w:val="0"/>
            <w:vAlign w:val="center"/>
          </w:tcPr>
          <w:p w14:paraId="5DD2E5D1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偏离值</w:t>
            </w:r>
          </w:p>
        </w:tc>
        <w:tc>
          <w:tcPr>
            <w:tcW w:w="1063" w:type="dxa"/>
            <w:noWrap w:val="0"/>
            <w:vAlign w:val="center"/>
          </w:tcPr>
          <w:p w14:paraId="7F4862F4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说明</w:t>
            </w:r>
          </w:p>
        </w:tc>
      </w:tr>
      <w:tr w14:paraId="37728F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654297D6">
            <w:pPr>
              <w:pStyle w:val="5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6130" w:type="dxa"/>
            <w:noWrap w:val="0"/>
            <w:vAlign w:val="center"/>
          </w:tcPr>
          <w:p w14:paraId="7C71BDE0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服务范围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</w:p>
          <w:p w14:paraId="4DE15394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具体涉及到环境工程、林业工程、水利工程、公路交通、卫健医疗等领域行政审批，包含：建设项目环境影响报告书（表）技术评估评审、排污许可审核、非防洪建设项目洪水影响评价报告、生产建设项目水土保持方案报告书、采集国家二级保护野生植物以及甘草和麻黄草、港口建设设计审查、医疗机构变更、医疗职业登记等业务的专家评审，提高行政审批的专业性</w:t>
            </w:r>
          </w:p>
        </w:tc>
        <w:tc>
          <w:tcPr>
            <w:tcW w:w="4870" w:type="dxa"/>
            <w:noWrap w:val="0"/>
            <w:vAlign w:val="center"/>
          </w:tcPr>
          <w:p w14:paraId="0256E038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8CA09CF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D07456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4F5500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26" w:type="dxa"/>
            <w:noWrap w:val="0"/>
            <w:vAlign w:val="center"/>
          </w:tcPr>
          <w:p w14:paraId="6ABAF131">
            <w:pPr>
              <w:pStyle w:val="5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6130" w:type="dxa"/>
            <w:noWrap w:val="0"/>
            <w:vAlign w:val="center"/>
          </w:tcPr>
          <w:p w14:paraId="4DCB7543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服务内容及要求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</w:p>
          <w:p w14:paraId="2A3B2C7E">
            <w:pPr>
              <w:pStyle w:val="6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拟通过框架协议采购方式，确定具备相应资质、专业能力强、信誉良好的第三方技术评估机构，负责具体技术评估工作。</w:t>
            </w:r>
          </w:p>
          <w:p w14:paraId="12985027">
            <w:pPr>
              <w:pStyle w:val="6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.评估流程项目建设单位提交行政审批申请材料时，同步提交技术评估所需相关资料；审批部门对申请材料进行形式审查后，若符合评估条件，启动技术评估程序，将相关资料移交供应商；供应商在10个工作日内完成技术评估，出具包含评估结论、问题建议的评估报告；</w:t>
            </w:r>
          </w:p>
          <w:p w14:paraId="1616D39B">
            <w:pPr>
              <w:pStyle w:val="6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2.评估标准：依据国家、省、市相关法律法规、技术规范和产业政策等，组织专家开展评估评审。</w:t>
            </w:r>
          </w:p>
          <w:p w14:paraId="55E4FBF5">
            <w:pPr>
              <w:pStyle w:val="6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3.成果应用：技术评估报告作为行政审批</w:t>
            </w:r>
          </w:p>
          <w:p w14:paraId="3743EE90">
            <w:pPr>
              <w:pStyle w:val="6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的重要依据，审批部门结合评估报告，在法定时限内作出审批决定。</w:t>
            </w:r>
          </w:p>
        </w:tc>
        <w:tc>
          <w:tcPr>
            <w:tcW w:w="4870" w:type="dxa"/>
            <w:noWrap w:val="0"/>
            <w:vAlign w:val="center"/>
          </w:tcPr>
          <w:p w14:paraId="446D8FC7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4641B66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E0F623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1C114D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56B3A787">
            <w:pPr>
              <w:pStyle w:val="5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6130" w:type="dxa"/>
            <w:noWrap w:val="0"/>
            <w:vAlign w:val="center"/>
          </w:tcPr>
          <w:p w14:paraId="5B2F663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计费标准和说明：</w:t>
            </w:r>
          </w:p>
          <w:p w14:paraId="1411C8A8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根据采购人实际工作需要，参照崖州湾科技城管理局、市生态环境局、市水务局实施相关项目的费用标准，专家评审服务项目按个计费，政府采购标准如下：</w:t>
            </w:r>
          </w:p>
          <w:p w14:paraId="0DADE850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（一）建设项目环境影响评价报告书专家评审价格不高于23000.00元/项，含专家劳务费（5名专家、其中至少1名省外专</w:t>
            </w:r>
          </w:p>
          <w:p w14:paraId="4EA296E3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家）、交通费、住宿费、用餐费及税费等。（会议场所由三亚市营商环境建设局提供）</w:t>
            </w:r>
          </w:p>
          <w:p w14:paraId="1815C717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二）建设项目环境影响评价报告表评审、危险废物经营许可首次申请评审、非防洪建设项目洪水影响评价报告审批、生产建设项目水土保持方案报告书审批、取水许可（新申请、重新申请）、修筑直接为林业生产经营服务的工程设施占用林地新办审批、采集国家二级保护野生植物以及甘草和麻黄草审批、在森林和野生动物类型地方级自然保护区修筑设施新办审批、利用堤顶、戗台兼做公路审批、坝顶兼做公路审批、水库降等报废审批、港口建设设计审查、医疗机构登记变更，医疗机构增设登记等专家评审价格不高于13800.00元/项，含专家劳务费（5名专家）、交通费、住宿费、用餐费及税费等。（会议场所由三亚市营商环境建设局提供）</w:t>
            </w:r>
          </w:p>
          <w:p w14:paraId="1B9E44D9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（三）排污许可证审核价格为不高于8000.00元/项。（会议场所由三亚市营商环境建设局提供）</w:t>
            </w:r>
          </w:p>
          <w:p w14:paraId="411FDB31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注：评审专家由采购人从行业主管部门组建的专家库中邀请，人数不足的从国内其他省份专家库中选取。</w:t>
            </w:r>
          </w:p>
        </w:tc>
        <w:tc>
          <w:tcPr>
            <w:tcW w:w="4870" w:type="dxa"/>
            <w:noWrap w:val="0"/>
            <w:vAlign w:val="center"/>
          </w:tcPr>
          <w:p w14:paraId="4A4253ED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7978F0F1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3CF0C9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06E6B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06943FEB">
            <w:pPr>
              <w:pStyle w:val="5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6130" w:type="dxa"/>
            <w:noWrap w:val="0"/>
            <w:vAlign w:val="center"/>
          </w:tcPr>
          <w:p w14:paraId="1B99F631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供应商报价特别说明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</w:p>
          <w:p w14:paraId="6D6AF012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（一）供应商报价须在“计费标准和说明”的基础上进行的折扣率报价。</w:t>
            </w:r>
          </w:p>
          <w:p w14:paraId="46289750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（二）供应商报价限制范围：80%～</w:t>
            </w:r>
          </w:p>
          <w:p w14:paraId="49F0262F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100%。超出限制范围的报价按无效报价</w:t>
            </w:r>
          </w:p>
          <w:p w14:paraId="4007CFCB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处理。</w:t>
            </w:r>
          </w:p>
        </w:tc>
        <w:tc>
          <w:tcPr>
            <w:tcW w:w="4870" w:type="dxa"/>
            <w:noWrap w:val="0"/>
            <w:vAlign w:val="center"/>
          </w:tcPr>
          <w:p w14:paraId="7E7A6CA4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07A6951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4D7E00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37C043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4D53163E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</w:p>
        </w:tc>
        <w:tc>
          <w:tcPr>
            <w:tcW w:w="6130" w:type="dxa"/>
            <w:noWrap w:val="0"/>
            <w:vAlign w:val="center"/>
          </w:tcPr>
          <w:p w14:paraId="7F4E63FB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框架协议的期限</w:t>
            </w:r>
            <w:r>
              <w:rPr>
                <w:rFonts w:hint="eastAsia" w:ascii="Times New Roman" w:hAnsi="Times New Roman" w:cs="Times New Roman"/>
                <w:lang w:eastAsia="zh-CN"/>
              </w:rPr>
              <w:t>：自框架协议签订之日起1年。</w:t>
            </w:r>
          </w:p>
        </w:tc>
        <w:tc>
          <w:tcPr>
            <w:tcW w:w="4870" w:type="dxa"/>
            <w:noWrap w:val="0"/>
            <w:vAlign w:val="center"/>
          </w:tcPr>
          <w:p w14:paraId="14B11C31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FB3D94F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ABA2BA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4BB51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23E5BFAC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6130" w:type="dxa"/>
            <w:noWrap w:val="0"/>
            <w:vAlign w:val="center"/>
          </w:tcPr>
          <w:p w14:paraId="3AA91D04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支付方式</w:t>
            </w:r>
            <w:r>
              <w:rPr>
                <w:rFonts w:hint="eastAsia" w:ascii="Times New Roman" w:hAnsi="Times New Roman" w:cs="Times New Roman"/>
                <w:lang w:eastAsia="zh-CN"/>
              </w:rPr>
              <w:t>：分期付款</w:t>
            </w:r>
          </w:p>
        </w:tc>
        <w:tc>
          <w:tcPr>
            <w:tcW w:w="4870" w:type="dxa"/>
            <w:noWrap w:val="0"/>
            <w:vAlign w:val="center"/>
          </w:tcPr>
          <w:p w14:paraId="5674898C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585798E1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133E14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3B4737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3CAD8228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</w:p>
        </w:tc>
        <w:tc>
          <w:tcPr>
            <w:tcW w:w="6130" w:type="dxa"/>
            <w:noWrap w:val="0"/>
            <w:vAlign w:val="center"/>
          </w:tcPr>
          <w:p w14:paraId="736F1CDE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支付时间和条件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</w:p>
          <w:p w14:paraId="2846F8F1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1.支付金额以实际完成的工作量进行结算。</w:t>
            </w:r>
          </w:p>
          <w:p w14:paraId="4346A046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2.评估报告完成交付（经验收达到国家和省有关规定的要求以及满足采购人实际要求），采购人收到成交供应商提供的发票及请款材料后，原则上按季度安排资金，采购人报请财政审批并于审批通过后向成交供应商付清。若成交供应商未能履行上述义务，采购人有权暂不付款且不视为违约。</w:t>
            </w:r>
          </w:p>
        </w:tc>
        <w:tc>
          <w:tcPr>
            <w:tcW w:w="4870" w:type="dxa"/>
            <w:noWrap w:val="0"/>
            <w:vAlign w:val="center"/>
          </w:tcPr>
          <w:p w14:paraId="48A479B2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A23A992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490191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372F1D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3BFB6198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6130" w:type="dxa"/>
            <w:noWrap w:val="0"/>
            <w:vAlign w:val="center"/>
          </w:tcPr>
          <w:p w14:paraId="1FAC0BBF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验收标准</w:t>
            </w:r>
            <w:r>
              <w:rPr>
                <w:rFonts w:hint="eastAsia" w:ascii="Times New Roman" w:hAnsi="Times New Roman" w:cs="Times New Roman"/>
                <w:lang w:eastAsia="zh-CN"/>
              </w:rPr>
              <w:t>：符合采购需求所涉及领域行政审批的相关规定，具体根据双方签订的服务合同约定执行。</w:t>
            </w:r>
          </w:p>
        </w:tc>
        <w:tc>
          <w:tcPr>
            <w:tcW w:w="4870" w:type="dxa"/>
            <w:noWrap w:val="0"/>
            <w:vAlign w:val="center"/>
          </w:tcPr>
          <w:p w14:paraId="6113DC67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5ACEE20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D68860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E70E3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7ADD9930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9</w:t>
            </w:r>
          </w:p>
        </w:tc>
        <w:tc>
          <w:tcPr>
            <w:tcW w:w="6130" w:type="dxa"/>
            <w:noWrap w:val="0"/>
            <w:vAlign w:val="center"/>
          </w:tcPr>
          <w:p w14:paraId="395FCBEA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违约责任</w:t>
            </w:r>
            <w:r>
              <w:rPr>
                <w:rFonts w:hint="eastAsia" w:ascii="Times New Roman" w:hAnsi="Times New Roman" w:cs="Times New Roman"/>
                <w:lang w:eastAsia="zh-CN"/>
              </w:rPr>
              <w:t>：1.采购人逾期支付款项的，双方首先应友好协商解决，若协商不成，则采购人每日按应付款的万分之一向供应商支付违约金，但累计上限不超过应付款总额的5%。合同约定的付款时间应以采购人向政府财政部门申请支付的时间(不含政府财政部门审批的时间)为准，采购人向财政部门申请付款视为采购人已履行合同项下付款义务，供应商已充分清楚、理解财政审核所需时间，因财政部门审核延迟等原因造成未能如期支付合同各节点款项的，不视为采购人违约采购人无需承担逾期付款违约责任。</w:t>
            </w:r>
          </w:p>
          <w:p w14:paraId="77B36958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违约责任</w:t>
            </w:r>
          </w:p>
          <w:p w14:paraId="2CE7653C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2.服务期限届满后，如评估验收不合格，则采购人有权拒付剩余款项，且采购人只需支付供应商实际活动服务量所对应的费用即可。如采购人支付的款项超出供应商完成的实际活动服务量费用部分，则供应商应在结算后5个工作日内予以退还，逾期退还应每日按应付未付款的万分之三向采购人支付违约金。</w:t>
            </w:r>
          </w:p>
          <w:p w14:paraId="396D8568">
            <w:pPr>
              <w:pStyle w:val="5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3.供应商向采购人提供服务过程中，供应商对采购人提出的整改意见未及时整改超过一次(包含一次)，则采购人有权解除合同，拒绝支付任何款项，并要求供应商赔偿采购人由此造成的一切损失(包括但不限于诉讼费、律师费、差旅费、鉴定费、保全费、保全保险费等)。</w:t>
            </w:r>
          </w:p>
          <w:p w14:paraId="7E39137C">
            <w:pPr>
              <w:pStyle w:val="5"/>
              <w:jc w:val="left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4.供应商向采购人提供服务过程中，如违反合同约定义务，则采购人有权解除合同，拒绝支付任何款项，并要求供应商赔偿采购人由此造成的一切损失(包括但不限于诉讼费、律师费、差旅费、鉴定费、保全费、保全保险费等)。</w:t>
            </w:r>
          </w:p>
        </w:tc>
        <w:tc>
          <w:tcPr>
            <w:tcW w:w="4870" w:type="dxa"/>
            <w:noWrap w:val="0"/>
            <w:vAlign w:val="center"/>
          </w:tcPr>
          <w:p w14:paraId="139A590C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7ADCEEB4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40C2BC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9FBD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26" w:type="dxa"/>
            <w:noWrap w:val="0"/>
            <w:vAlign w:val="center"/>
          </w:tcPr>
          <w:p w14:paraId="1E019E7F">
            <w:pPr>
              <w:pStyle w:val="5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10</w:t>
            </w:r>
          </w:p>
        </w:tc>
        <w:tc>
          <w:tcPr>
            <w:tcW w:w="6130" w:type="dxa"/>
            <w:noWrap w:val="0"/>
            <w:vAlign w:val="center"/>
          </w:tcPr>
          <w:p w14:paraId="02A78375">
            <w:pPr>
              <w:pStyle w:val="5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其他要求：服务期内，供应商不得参与三亚辖区范围内相关项目的报告编制和设计工作。</w:t>
            </w:r>
          </w:p>
        </w:tc>
        <w:tc>
          <w:tcPr>
            <w:tcW w:w="4870" w:type="dxa"/>
            <w:noWrap w:val="0"/>
            <w:vAlign w:val="center"/>
          </w:tcPr>
          <w:p w14:paraId="54F61391">
            <w:pPr>
              <w:pStyle w:val="5"/>
              <w:jc w:val="left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A68F130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3D85ED">
            <w:pPr>
              <w:pStyle w:val="5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14B6E03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.“偏离情况”列应据实填写“无偏离”、“正偏离”或“负偏离”。</w:t>
      </w:r>
    </w:p>
    <w:p w14:paraId="38DA02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.表格长度和内容可根据需要自行调整。</w:t>
      </w:r>
    </w:p>
    <w:p w14:paraId="7C2A51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11" w:firstLineChars="3325"/>
        <w:textAlignment w:val="auto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供应商名称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（加盖公章）：</w:t>
      </w:r>
    </w:p>
    <w:p w14:paraId="6A3487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11" w:firstLineChars="3325"/>
        <w:textAlignment w:val="auto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default" w:eastAsia="宋体"/>
          <w:b/>
          <w:bCs/>
          <w:sz w:val="24"/>
          <w:szCs w:val="24"/>
          <w:lang w:val="en-US" w:eastAsia="zh-CN"/>
        </w:rPr>
        <w:t>日期：    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DejaVuSans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277AB"/>
    <w:rsid w:val="028A71FF"/>
    <w:rsid w:val="094B5000"/>
    <w:rsid w:val="121324D0"/>
    <w:rsid w:val="19D46C92"/>
    <w:rsid w:val="267D3825"/>
    <w:rsid w:val="36FD3E6E"/>
    <w:rsid w:val="39F277AB"/>
    <w:rsid w:val="3F4A1CE4"/>
    <w:rsid w:val="46434AA7"/>
    <w:rsid w:val="59595277"/>
    <w:rsid w:val="6B70000B"/>
    <w:rsid w:val="7AE1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5">
    <w:name w:val="Plain Text"/>
    <w:basedOn w:val="1"/>
    <w:next w:val="6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7">
    <w:name w:val="Body Text 2"/>
    <w:qFormat/>
    <w:uiPriority w:val="0"/>
    <w:pPr>
      <w:widowControl w:val="0"/>
      <w:spacing w:before="100" w:beforeAutospacing="1" w:after="120" w:line="48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my正文"/>
    <w:basedOn w:val="2"/>
    <w:qFormat/>
    <w:uiPriority w:val="0"/>
    <w:pPr>
      <w:ind w:firstLine="480" w:firstLineChars="200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1168</Words>
  <Characters>1206</Characters>
  <Lines>0</Lines>
  <Paragraphs>0</Paragraphs>
  <TotalTime>25</TotalTime>
  <ScaleCrop>false</ScaleCrop>
  <LinksUpToDate>false</LinksUpToDate>
  <CharactersWithSpaces>1218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2025-07-30T01:47:00Z</dcterms:created>
  <dc:creator>yxmm</dc:creator>
  <cp:lastModifiedBy>yxmm</cp:lastModifiedBy>
  <dcterms:modified xsi:type="dcterms:W3CDTF">2025-09-26T09:44:41Z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8F4D59C57C5A4BCB839D4359DAD3895E_11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