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2025-2026年度三亚游艇旅游中心及游艇旅游综合服务平台项目运营</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HNJY2025-86-11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三亚市旅游和文化广电体育局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海南省教学仪器设备招标中心有限公司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三亚市旅游和文化广电体育局</w:t>
      </w:r>
      <w:r>
        <w:rPr>
          <w:rFonts w:ascii="仿宋_GB2312" w:hAnsi="仿宋_GB2312" w:cs="仿宋_GB2312" w:eastAsia="仿宋_GB2312"/>
        </w:rPr>
        <w:t xml:space="preserve"> 委托， </w:t>
      </w:r>
      <w:r>
        <w:rPr>
          <w:rFonts w:ascii="仿宋_GB2312" w:hAnsi="仿宋_GB2312" w:cs="仿宋_GB2312" w:eastAsia="仿宋_GB2312"/>
        </w:rPr>
        <w:t>海南省教学仪器设备招标中心有限公司</w:t>
      </w:r>
      <w:r>
        <w:rPr>
          <w:rFonts w:ascii="仿宋_GB2312" w:hAnsi="仿宋_GB2312" w:cs="仿宋_GB2312" w:eastAsia="仿宋_GB2312"/>
        </w:rPr>
        <w:t xml:space="preserve"> 对 </w:t>
      </w:r>
      <w:r>
        <w:rPr>
          <w:rFonts w:ascii="仿宋_GB2312" w:hAnsi="仿宋_GB2312" w:cs="仿宋_GB2312" w:eastAsia="仿宋_GB2312"/>
        </w:rPr>
        <w:t>2025-2026年度三亚游艇旅游中心及游艇旅游综合服务平台项目运营</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HNJY2025-86-11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2025-2026年度三亚游艇旅游中心及游艇旅游综合服务平台项目运营</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8,500,000.00元</w:t>
      </w:r>
      <w:r>
        <w:rPr>
          <w:rFonts w:ascii="仿宋_GB2312" w:hAnsi="仿宋_GB2312" w:cs="仿宋_GB2312" w:eastAsia="仿宋_GB2312"/>
        </w:rPr>
        <w:t>捌佰伍拾万元整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签订合同之日起合同期为一年。</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签订合同之日起合同期为一年。</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属于专门面向中小企业采购，预留比例为100%。</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如需云平台相关咨询，请拨打以下热线电话：热线一：4001691288; 海南智慧云-供应商工作qq群：749156435; 本项目需使用蓝色CA锁，CA数字证书认证咨询电话：0898-66668096。 4、本项目支持节能产品、环境标志产品、中小微企业发展、监狱企业发展及残疾人福利性单位等相关扶持政策。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三亚市旅游和文化广电体育局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海南省三亚市吉阳区旅文总部港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韩旭</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0898-88272318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海南省教学仪器设备招标中心有限公司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海南省海口市兰区蓝天路西2-8号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秦圣梁</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0898-66779294</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采购包1：4,600,000.00元</w:t>
            </w:r>
          </w:p>
          <w:p>
            <w:pPr>
              <w:pStyle w:val="null3"/>
              <w:jc w:val="left"/>
            </w:pPr>
            <w:r>
              <w:rPr>
                <w:rFonts w:ascii="仿宋_GB2312" w:hAnsi="仿宋_GB2312" w:cs="仿宋_GB2312" w:eastAsia="仿宋_GB2312"/>
              </w:rPr>
              <w:t>采购包2：3,900,000.00元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收费标准参照原国家发展计划委员会颁发的计价格〔2002〕1980号文《招标代理服务收费管理暂行办法》及国家发展改革委〔2003〕857号文及发改价格〔2011〕534号文、《海南省物价局关于降低部分招标代理机构服务收费标准的通知》（琼价费管[2011]225号）规定的“服务类”标准计算后下浮22%向中标人收取。交代理服务费银行帐户： 单位名称：海南省教学仪器设备招标中心有限公司、开户银行：中国建设银行股份有限公司海口国兴大道支行 、银行帐号：46001002537052500288财务联系电话：0898-66737260</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如投标人在非开标现场上传的电子标书的IP地址相同，则IP地址相同的投标按无效标处理。 16.1述标和/或产（样）品演（展）示：无 16.2服务地点：用户指定地点。16.3供应商应在投标（响应）文件中如实描述技术商务情况，真实填写响应（偏离）情况。除采购文件有特殊规定外，对主要技术商务或响应（偏离）情况不如实描述的，可按无效投标（响应）处理，涉及提供虚假材料谋取中标成交的，按相关法律规定处理。资格性审查、符合性审查不通过或投标无效的，采购人、采购代理机构或评审专家应在评审报告中注明不通过或投标无效的具体原因。除价格评审外，其他评审扣分的，评审专家应在评审报告中注明扣分分值、扣分理由和依据。除客观评审项外，针对同一供应商的同一评审项，评审专家的评分分值偏离幅度不得超过该评审项平均分值的30%，否则，该项评审意见无效。16.4本采购活动采用全流程电子化的方式，开标、签到、解密、评审等全流程均通过线上进行。蓝色CA锁必须在有效期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联系人：秦先生</w:t>
      </w:r>
    </w:p>
    <w:p>
      <w:pPr>
        <w:pStyle w:val="null3"/>
        <w:jc w:val="left"/>
      </w:pPr>
      <w:r>
        <w:rPr>
          <w:rFonts w:ascii="仿宋_GB2312" w:hAnsi="仿宋_GB2312" w:cs="仿宋_GB2312" w:eastAsia="仿宋_GB2312"/>
        </w:rPr>
        <w:t>联系电话：0898-66779294</w:t>
      </w:r>
    </w:p>
    <w:p>
      <w:pPr>
        <w:pStyle w:val="null3"/>
        <w:jc w:val="left"/>
      </w:pPr>
      <w:r>
        <w:rPr>
          <w:rFonts w:ascii="仿宋_GB2312" w:hAnsi="仿宋_GB2312" w:cs="仿宋_GB2312" w:eastAsia="仿宋_GB2312"/>
        </w:rPr>
        <w:t>地址：海南省海口市蓝天路西2-8号海南省教学仪器设备招标中心有限公司</w:t>
      </w:r>
    </w:p>
    <w:p>
      <w:pPr>
        <w:pStyle w:val="null3"/>
        <w:jc w:val="left"/>
      </w:pPr>
      <w:r>
        <w:rPr>
          <w:rFonts w:ascii="仿宋_GB2312" w:hAnsi="仿宋_GB2312" w:cs="仿宋_GB2312" w:eastAsia="仿宋_GB2312"/>
        </w:rPr>
        <w:t>邮编：570206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1.项目名称：</w:t>
      </w:r>
      <w:r>
        <w:rPr>
          <w:rFonts w:ascii="仿宋_GB2312" w:hAnsi="仿宋_GB2312" w:cs="仿宋_GB2312" w:eastAsia="仿宋_GB2312"/>
        </w:rPr>
        <w:t>2025-2026年度三亚游艇旅游中心及游艇综合服务平台项目运营项目</w:t>
      </w:r>
    </w:p>
    <w:p>
      <w:pPr>
        <w:pStyle w:val="null3"/>
        <w:jc w:val="left"/>
      </w:pPr>
      <w:r>
        <w:rPr>
          <w:rFonts w:ascii="仿宋_GB2312" w:hAnsi="仿宋_GB2312" w:cs="仿宋_GB2312" w:eastAsia="仿宋_GB2312"/>
        </w:rPr>
        <w:t>2项目编号：</w:t>
      </w:r>
      <w:r>
        <w:rPr>
          <w:rFonts w:ascii="仿宋_GB2312" w:hAnsi="仿宋_GB2312" w:cs="仿宋_GB2312" w:eastAsia="仿宋_GB2312"/>
        </w:rPr>
        <w:t>HNJY2025-86-11</w:t>
      </w:r>
    </w:p>
    <w:p>
      <w:pPr>
        <w:pStyle w:val="null3"/>
        <w:jc w:val="left"/>
      </w:pPr>
      <w:r>
        <w:rPr>
          <w:rFonts w:ascii="仿宋_GB2312" w:hAnsi="仿宋_GB2312" w:cs="仿宋_GB2312" w:eastAsia="仿宋_GB2312"/>
        </w:rPr>
        <w:t>预算金额：总预算</w:t>
      </w:r>
      <w:r>
        <w:rPr>
          <w:rFonts w:ascii="仿宋_GB2312" w:hAnsi="仿宋_GB2312" w:cs="仿宋_GB2312" w:eastAsia="仿宋_GB2312"/>
        </w:rPr>
        <w:t>850</w:t>
      </w:r>
      <w:r>
        <w:rPr>
          <w:rFonts w:ascii="仿宋_GB2312" w:hAnsi="仿宋_GB2312" w:cs="仿宋_GB2312" w:eastAsia="仿宋_GB2312"/>
        </w:rPr>
        <w:t>00000元（分</w:t>
      </w:r>
      <w:r>
        <w:rPr>
          <w:rFonts w:ascii="仿宋_GB2312" w:hAnsi="仿宋_GB2312" w:cs="仿宋_GB2312" w:eastAsia="仿宋_GB2312"/>
        </w:rPr>
        <w:t>2</w:t>
      </w:r>
      <w:r>
        <w:rPr>
          <w:rFonts w:ascii="仿宋_GB2312" w:hAnsi="仿宋_GB2312" w:cs="仿宋_GB2312" w:eastAsia="仿宋_GB2312"/>
        </w:rPr>
        <w:t>个包，包</w:t>
      </w:r>
      <w:r>
        <w:rPr>
          <w:rFonts w:ascii="仿宋_GB2312" w:hAnsi="仿宋_GB2312" w:cs="仿宋_GB2312" w:eastAsia="仿宋_GB2312"/>
        </w:rPr>
        <w:t>1（A包）预算</w:t>
      </w:r>
      <w:r>
        <w:rPr>
          <w:rFonts w:ascii="仿宋_GB2312" w:hAnsi="仿宋_GB2312" w:cs="仿宋_GB2312" w:eastAsia="仿宋_GB2312"/>
        </w:rPr>
        <w:t>460</w:t>
      </w:r>
      <w:r>
        <w:rPr>
          <w:rFonts w:ascii="仿宋_GB2312" w:hAnsi="仿宋_GB2312" w:cs="仿宋_GB2312" w:eastAsia="仿宋_GB2312"/>
        </w:rPr>
        <w:t>0000元、包2（B包）预算</w:t>
      </w:r>
      <w:r>
        <w:rPr>
          <w:rFonts w:ascii="仿宋_GB2312" w:hAnsi="仿宋_GB2312" w:cs="仿宋_GB2312" w:eastAsia="仿宋_GB2312"/>
        </w:rPr>
        <w:t>390</w:t>
      </w:r>
      <w:r>
        <w:rPr>
          <w:rFonts w:ascii="仿宋_GB2312" w:hAnsi="仿宋_GB2312" w:cs="仿宋_GB2312" w:eastAsia="仿宋_GB2312"/>
        </w:rPr>
        <w:t>0000元、</w:t>
      </w:r>
    </w:p>
    <w:p>
      <w:pPr>
        <w:pStyle w:val="null3"/>
        <w:jc w:val="left"/>
      </w:pPr>
      <w:r>
        <w:rPr>
          <w:rFonts w:ascii="仿宋_GB2312" w:hAnsi="仿宋_GB2312" w:cs="仿宋_GB2312" w:eastAsia="仿宋_GB2312"/>
        </w:rPr>
        <w:t>4.最高限价：总预算</w:t>
      </w:r>
      <w:r>
        <w:rPr>
          <w:rFonts w:ascii="仿宋_GB2312" w:hAnsi="仿宋_GB2312" w:cs="仿宋_GB2312" w:eastAsia="仿宋_GB2312"/>
        </w:rPr>
        <w:t>850</w:t>
      </w:r>
      <w:r>
        <w:rPr>
          <w:rFonts w:ascii="仿宋_GB2312" w:hAnsi="仿宋_GB2312" w:cs="仿宋_GB2312" w:eastAsia="仿宋_GB2312"/>
        </w:rPr>
        <w:t>00000元（分</w:t>
      </w:r>
      <w:r>
        <w:rPr>
          <w:rFonts w:ascii="仿宋_GB2312" w:hAnsi="仿宋_GB2312" w:cs="仿宋_GB2312" w:eastAsia="仿宋_GB2312"/>
        </w:rPr>
        <w:t>2</w:t>
      </w:r>
      <w:r>
        <w:rPr>
          <w:rFonts w:ascii="仿宋_GB2312" w:hAnsi="仿宋_GB2312" w:cs="仿宋_GB2312" w:eastAsia="仿宋_GB2312"/>
        </w:rPr>
        <w:t>个包，包</w:t>
      </w:r>
      <w:r>
        <w:rPr>
          <w:rFonts w:ascii="仿宋_GB2312" w:hAnsi="仿宋_GB2312" w:cs="仿宋_GB2312" w:eastAsia="仿宋_GB2312"/>
        </w:rPr>
        <w:t>1（A包）预算</w:t>
      </w:r>
      <w:r>
        <w:rPr>
          <w:rFonts w:ascii="仿宋_GB2312" w:hAnsi="仿宋_GB2312" w:cs="仿宋_GB2312" w:eastAsia="仿宋_GB2312"/>
        </w:rPr>
        <w:t>460</w:t>
      </w:r>
      <w:r>
        <w:rPr>
          <w:rFonts w:ascii="仿宋_GB2312" w:hAnsi="仿宋_GB2312" w:cs="仿宋_GB2312" w:eastAsia="仿宋_GB2312"/>
        </w:rPr>
        <w:t>0000元、包2（B包）预算</w:t>
      </w:r>
      <w:r>
        <w:rPr>
          <w:rFonts w:ascii="仿宋_GB2312" w:hAnsi="仿宋_GB2312" w:cs="仿宋_GB2312" w:eastAsia="仿宋_GB2312"/>
        </w:rPr>
        <w:t>390</w:t>
      </w:r>
      <w:r>
        <w:rPr>
          <w:rFonts w:ascii="仿宋_GB2312" w:hAnsi="仿宋_GB2312" w:cs="仿宋_GB2312" w:eastAsia="仿宋_GB2312"/>
        </w:rPr>
        <w:t>0000元、（报价超过最高限价，按无效响应文件处理）</w:t>
      </w:r>
    </w:p>
    <w:p>
      <w:pPr>
        <w:pStyle w:val="null3"/>
        <w:jc w:val="left"/>
      </w:pPr>
      <w:r>
        <w:rPr>
          <w:rFonts w:ascii="仿宋_GB2312" w:hAnsi="仿宋_GB2312" w:cs="仿宋_GB2312" w:eastAsia="仿宋_GB2312"/>
        </w:rPr>
        <w:t xml:space="preserve">5.本项目(A、B包)兼投不兼中，同一投标人投标主建包时最终只能中标1个包，即投标人同时参与了A包、B包中2个以上的投标，并且都排名第一中标候选人时，将按A包、B包、的排列顺序确定其为排在最前面包的中标人，其他包的中标资格将顺延给其他候选人。    </w:t>
      </w:r>
    </w:p>
    <w:p>
      <w:pPr>
        <w:pStyle w:val="null3"/>
        <w:jc w:val="left"/>
      </w:pPr>
      <w:r>
        <w:rPr>
          <w:rFonts w:ascii="仿宋_GB2312" w:hAnsi="仿宋_GB2312" w:cs="仿宋_GB2312" w:eastAsia="仿宋_GB2312"/>
        </w:rPr>
        <w:t>6.服务期：</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签订合同之日起合同期为</w:t>
      </w:r>
      <w:r>
        <w:rPr>
          <w:rFonts w:ascii="仿宋_GB2312" w:hAnsi="仿宋_GB2312" w:cs="仿宋_GB2312" w:eastAsia="仿宋_GB2312"/>
        </w:rPr>
        <w:t>一</w:t>
      </w:r>
      <w:r>
        <w:rPr>
          <w:rFonts w:ascii="仿宋_GB2312" w:hAnsi="仿宋_GB2312" w:cs="仿宋_GB2312" w:eastAsia="仿宋_GB2312"/>
        </w:rPr>
        <w:t>年。</w:t>
      </w:r>
    </w:p>
    <w:p>
      <w:pPr>
        <w:pStyle w:val="null3"/>
        <w:jc w:val="left"/>
      </w:pPr>
      <w:r>
        <w:rPr>
          <w:rFonts w:ascii="仿宋_GB2312" w:hAnsi="仿宋_GB2312" w:cs="仿宋_GB2312" w:eastAsia="仿宋_GB2312"/>
        </w:rPr>
        <w:t>采购包</w:t>
      </w:r>
      <w:r>
        <w:rPr>
          <w:rFonts w:ascii="仿宋_GB2312" w:hAnsi="仿宋_GB2312" w:cs="仿宋_GB2312" w:eastAsia="仿宋_GB2312"/>
        </w:rPr>
        <w:t>2：</w:t>
      </w:r>
    </w:p>
    <w:p>
      <w:pPr>
        <w:pStyle w:val="null3"/>
        <w:jc w:val="both"/>
      </w:pPr>
      <w:r>
        <w:rPr>
          <w:rFonts w:ascii="仿宋_GB2312" w:hAnsi="仿宋_GB2312" w:cs="仿宋_GB2312" w:eastAsia="仿宋_GB2312"/>
          <w:sz w:val="21"/>
        </w:rPr>
        <w:t>签订合同之日起合同期为</w:t>
      </w:r>
      <w:r>
        <w:rPr>
          <w:rFonts w:ascii="仿宋_GB2312" w:hAnsi="仿宋_GB2312" w:cs="仿宋_GB2312" w:eastAsia="仿宋_GB2312"/>
          <w:sz w:val="21"/>
        </w:rPr>
        <w:t>一</w:t>
      </w:r>
      <w:r>
        <w:rPr>
          <w:rFonts w:ascii="仿宋_GB2312" w:hAnsi="仿宋_GB2312" w:cs="仿宋_GB2312" w:eastAsia="仿宋_GB2312"/>
          <w:sz w:val="21"/>
        </w:rPr>
        <w:t>年。</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4,600,000.00</w:t>
      </w:r>
    </w:p>
    <w:p>
      <w:pPr>
        <w:pStyle w:val="null3"/>
        <w:jc w:val="left"/>
      </w:pPr>
      <w:r>
        <w:rPr>
          <w:rFonts w:ascii="仿宋_GB2312" w:hAnsi="仿宋_GB2312" w:cs="仿宋_GB2312" w:eastAsia="仿宋_GB2312"/>
        </w:rPr>
        <w:t>采购包最高限价（元）: 4,600,000.00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C06990000-其他文化、体育、娱乐服务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3,900,000.00</w:t>
      </w:r>
    </w:p>
    <w:p>
      <w:pPr>
        <w:pStyle w:val="null3"/>
        <w:jc w:val="left"/>
      </w:pPr>
      <w:r>
        <w:rPr>
          <w:rFonts w:ascii="仿宋_GB2312" w:hAnsi="仿宋_GB2312" w:cs="仿宋_GB2312" w:eastAsia="仿宋_GB2312"/>
        </w:rPr>
        <w:t>采购包最高限价（元）: 3,900,000.00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C06990000-其他文化、体育、娱乐服务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C06990000-其他文化、体育、娱乐服务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C06990000-其他文化、体育、娱乐服务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标的名称：C06990000-其他文化、体育、娱乐服务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详见附件技术和服务要求，以附件中服务内容为准。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标的名称：C06990000-其他文化、体育、娱乐服务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详见附件技术和服务要求，以附件中服务内容为准。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其他承诺函 残疾人福利性单位声明函 自觉抵制政府采购领域商业贿赂行为承诺书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其他承诺函 残疾人福利性单位声明函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技术部分24.00分</w:t>
            </w:r>
          </w:p>
          <w:p>
            <w:pPr>
              <w:pStyle w:val="null3"/>
              <w:jc w:val="both"/>
            </w:pPr>
            <w:r>
              <w:rPr>
                <w:rFonts w:ascii="仿宋_GB2312" w:hAnsi="仿宋_GB2312" w:cs="仿宋_GB2312" w:eastAsia="仿宋_GB2312"/>
              </w:rPr>
              <w:t>商务部分66.00分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企业业绩</w:t>
            </w:r>
          </w:p>
        </w:tc>
        <w:tc>
          <w:tcPr>
            <w:tcW w:type="dxa" w:w="2492"/>
          </w:tcPr>
          <w:p>
            <w:pPr>
              <w:pStyle w:val="null3"/>
              <w:jc w:val="both"/>
            </w:pPr>
            <w:r>
              <w:rPr>
                <w:rFonts w:ascii="仿宋_GB2312" w:hAnsi="仿宋_GB2312" w:cs="仿宋_GB2312" w:eastAsia="仿宋_GB2312"/>
              </w:rPr>
              <w:t>1.自2021年12月至今，承接过类似服务项目，每提供一个业绩合同可获5分，最高得分15分。 注：（提供合同首尾页、金额页、产品页复印件并加盖投标人公章，以合同签订时间为准）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供应商所安排本项目负责人需有相关经营场所管理经验，满足条件者得5分。（管理经验的范围界定为游艇旅游、文化旅游、海上运动的业务） 注：投标人提供该人员在本单位2025年（不含投标截止当月）任意三个月社保缴纳证明加盖公章，未提供不得分。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团队人员</w:t>
            </w:r>
          </w:p>
        </w:tc>
        <w:tc>
          <w:tcPr>
            <w:tcW w:type="dxa" w:w="2492"/>
          </w:tcPr>
          <w:p>
            <w:pPr>
              <w:pStyle w:val="null3"/>
              <w:jc w:val="both"/>
            </w:pPr>
            <w:r>
              <w:rPr>
                <w:rFonts w:ascii="仿宋_GB2312" w:hAnsi="仿宋_GB2312" w:cs="仿宋_GB2312" w:eastAsia="仿宋_GB2312"/>
              </w:rPr>
              <w:t>项目团队需包括以下岗位：接待服务、讲解、安保、安全应急。以上相关岗位人员须有相关工作经验，每个满足条件的团队人员得1分，最高4分。 注：须提供2025年任意三个月社保缴纳证明，加盖公章，未提供不得分。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w:t>
            </w:r>
          </w:p>
        </w:tc>
        <w:tc>
          <w:tcPr>
            <w:tcW w:type="dxa" w:w="2492"/>
          </w:tcPr>
          <w:p>
            <w:pPr>
              <w:pStyle w:val="null3"/>
              <w:jc w:val="both"/>
            </w:pPr>
            <w:r>
              <w:rPr>
                <w:rFonts w:ascii="仿宋_GB2312" w:hAnsi="仿宋_GB2312" w:cs="仿宋_GB2312" w:eastAsia="仿宋_GB2312"/>
              </w:rPr>
              <w:t>根据供应商提交的运营管理方案进行综合评比：方案需包括1.运营管理总体思路、2.安全教育与应急预案、3.游客接待服务、4.展厅运营管理等内容。方案中包含以上全部要素且上述内容完整切实可行的得18分，每缺少一项扣4.5分，一项有缺陷扣2.5分。本方案满分18分。（内容缺陷是指：内容非专门针对本项目或不适用项目特性的情形、内容不够完整或缺少关键节点、套用其他项目方案、内容前后矛盾、涉及的规范及标准错误、不利于项目实施、不可能实现的情形等任意一种情形），扣完为止。 3.不提供方案的，不得分。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根据供应商提交的实施方案进行综合评比：方案需包括1.实施步骤、2.人员进驻计划、3.风险管理方案、4.考核与验收机制等内容。方案中包含以上全部要素且上述内容完整切实可行的得16分，每缺少一项扣4分，一项有缺陷扣2分。本方案满分16分。（内容缺陷是指：内容非专门针对本项目或不适用项目特性的情形、内容不够完整或缺少关键节点、套用其他项目方案、内容前后矛盾、涉及的规范及标准错误、不利于项目实施、不可能实现的情形等任意一种情形），扣完为止。 3.不提供方案的，不得分。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质量保障措施及进度保障措施</w:t>
            </w:r>
          </w:p>
        </w:tc>
        <w:tc>
          <w:tcPr>
            <w:tcW w:type="dxa" w:w="2492"/>
          </w:tcPr>
          <w:p>
            <w:pPr>
              <w:pStyle w:val="null3"/>
              <w:jc w:val="both"/>
            </w:pPr>
            <w:r>
              <w:rPr>
                <w:rFonts w:ascii="仿宋_GB2312" w:hAnsi="仿宋_GB2312" w:cs="仿宋_GB2312" w:eastAsia="仿宋_GB2312"/>
              </w:rPr>
              <w:t>根据供应商提交的保障措施进行综合评比：需包括1.服务质量保障措施（如服务标准、满意度考核）、2.进度保障措施（如值班制度、应急响应时间）。内容中包含以上全部要素且上述内容完整切实可行的得12分，每缺少一项扣6分，一项有缺陷扣3分。本方案满分12分。（内容缺陷是指：内容非专门针对本项目或不适用项目特性的情形、内容不够完整或缺少关键节点、套用其他项目方案、内容前后矛盾、涉及的规范及标准错误、不利于项目实施、不可能实现的情形等任意一种情形），扣完为止。 3.不提供方案的，不得分。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售后服务与承诺</w:t>
            </w:r>
          </w:p>
        </w:tc>
        <w:tc>
          <w:tcPr>
            <w:tcW w:type="dxa" w:w="2492"/>
          </w:tcPr>
          <w:p>
            <w:pPr>
              <w:pStyle w:val="null3"/>
              <w:jc w:val="both"/>
            </w:pPr>
            <w:r>
              <w:rPr>
                <w:rFonts w:ascii="仿宋_GB2312" w:hAnsi="仿宋_GB2312" w:cs="仿宋_GB2312" w:eastAsia="仿宋_GB2312"/>
              </w:rPr>
              <w:t>投标人需对以下方面作出明确承诺：1.响应时间、2.应急保障、3.持续改进机制、4.定期汇报与培训、5.投诉处理机制。内容中包含以上全部要素且上述内容完整切实可行的得10分，每缺少一项扣2分，一项有缺陷扣1分。本方案满分10分。（内容缺陷是指：内容非专门针对本项目或不适用项目特性的情形、内容不够完整或缺少关键节点、套用其他项目方案、内容前后矛盾、涉及的规范及标准错误、不利于项目实施、不可能实现的情形等任意一种情形），扣完为止。 3.不提供方案的，不得分。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根据供应商拟定的培训方案进行综合评比：内容包括1.培训目标、2.培训内容、3.培训对象、4.培训周期、5.培训记录等内容，对上述内容综合情况进行打分。 方案中包含以上全部要素且上述内容完整切实可行的得10分，每缺少一项扣2分，一项有缺陷扣1分。本方案满分10分。（内容缺陷是指：内容非专门针对本项目或不适用项目特性的情形、内容不够完整或缺少关键节点、套用其他项目方案、内容前后矛盾、涉及的规范及标准错误、不利于项目实施、不可能实现的情形等任意一种情形），扣完为止。 3.不提供方案的，不得分。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技术部分30.00分</w:t>
            </w:r>
          </w:p>
          <w:p>
            <w:pPr>
              <w:pStyle w:val="null3"/>
              <w:jc w:val="both"/>
            </w:pPr>
            <w:r>
              <w:rPr>
                <w:rFonts w:ascii="仿宋_GB2312" w:hAnsi="仿宋_GB2312" w:cs="仿宋_GB2312" w:eastAsia="仿宋_GB2312"/>
              </w:rPr>
              <w:t>商务部分60.00分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企业业绩</w:t>
            </w:r>
          </w:p>
        </w:tc>
        <w:tc>
          <w:tcPr>
            <w:tcW w:type="dxa" w:w="2492"/>
          </w:tcPr>
          <w:p>
            <w:pPr>
              <w:pStyle w:val="null3"/>
              <w:jc w:val="both"/>
            </w:pPr>
            <w:r>
              <w:rPr>
                <w:rFonts w:ascii="仿宋_GB2312" w:hAnsi="仿宋_GB2312" w:cs="仿宋_GB2312" w:eastAsia="仿宋_GB2312"/>
              </w:rPr>
              <w:t>1.自2021年12月至今，承接过类似信息化运营服务项目，每提供一个业绩合同可获5分，最高得分15分；其余不得分。 注：（提供合同首尾页、金额页、产品页复印件并加盖投标人公章，以合同签订时间为准）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项目经理</w:t>
            </w:r>
          </w:p>
        </w:tc>
        <w:tc>
          <w:tcPr>
            <w:tcW w:type="dxa" w:w="2492"/>
          </w:tcPr>
          <w:p>
            <w:pPr>
              <w:pStyle w:val="null3"/>
              <w:jc w:val="both"/>
            </w:pPr>
            <w:r>
              <w:rPr>
                <w:rFonts w:ascii="仿宋_GB2312" w:hAnsi="仿宋_GB2312" w:cs="仿宋_GB2312" w:eastAsia="仿宋_GB2312"/>
              </w:rPr>
              <w:t>供应商所安排本项目项目经理需同时具备信息系统项目管理师证书及软件工程造价师证书；满足条件得9分，其余不得分。 注；投标人需提供人员名单及有效联系方式，资格证书复印件、劳动合同复印件、2025年以来任意3个月社保证明和身份证正反面复印件，并加盖单位公章；应提供投标人单位针对本项目将安排相关人员到三亚驻场办公的承诺函并加盖公章，否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团队人员</w:t>
            </w:r>
          </w:p>
        </w:tc>
        <w:tc>
          <w:tcPr>
            <w:tcW w:type="dxa" w:w="2492"/>
          </w:tcPr>
          <w:p>
            <w:pPr>
              <w:pStyle w:val="null3"/>
              <w:jc w:val="both"/>
            </w:pPr>
            <w:r>
              <w:rPr>
                <w:rFonts w:ascii="仿宋_GB2312" w:hAnsi="仿宋_GB2312" w:cs="仿宋_GB2312" w:eastAsia="仿宋_GB2312"/>
              </w:rPr>
              <w:t>供应商所安排本项目技术人员需具备PMP证书或信息系统项目管理师证书、软件设计师， 提供一个证书得1分，最高不超过6分。 注；投标人需提供人员名单及有效联系方式，资格证书复印件、劳动合同复印件、2025年以来任意3个月社保证明和身份证正反面复印件，并加盖单位公章；应提供投标人单位针对本项目将安排相关人员到三亚驻场办公的承诺函并加盖公章，否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平台系统运营服务方案</w:t>
            </w:r>
          </w:p>
        </w:tc>
        <w:tc>
          <w:tcPr>
            <w:tcW w:type="dxa" w:w="2492"/>
          </w:tcPr>
          <w:p>
            <w:pPr>
              <w:pStyle w:val="null3"/>
              <w:jc w:val="both"/>
            </w:pPr>
            <w:r>
              <w:rPr>
                <w:rFonts w:ascii="仿宋_GB2312" w:hAnsi="仿宋_GB2312" w:cs="仿宋_GB2312" w:eastAsia="仿宋_GB2312"/>
              </w:rPr>
              <w:t>根据供应商提供的平台系统功能运营服务方案应包含但不限以下内容：清晰地阐述1.基础数据采集、2.大数据处理、3.大数据可视化、4.游艇高度、5.应急指挥、6.出海报备、7.航行保障服务、8.语音调度服务、9.游艇认证服务、10.游客中心安保监控服务等相应服务内容： 1.方案中包含以上全部要素且上述内容完整切实可行的得15分，每缺少一项扣1.5分，一项有缺陷扣1分。本方案满分15分。(内容缺陷是指: 内容非专门针对本项目或不适用项目特性的情形、内容不够完整或缺少关键节点、套用其他项目方案、内容前后矛盾、涉及的规范及标准错误、不利于项目实施、不可能实现的情形等任意一种情形。)扣完为止。” 2.不提供方案的，不得分。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平台系统硬件运营服务方案</w:t>
            </w:r>
          </w:p>
        </w:tc>
        <w:tc>
          <w:tcPr>
            <w:tcW w:type="dxa" w:w="2492"/>
          </w:tcPr>
          <w:p>
            <w:pPr>
              <w:pStyle w:val="null3"/>
              <w:jc w:val="both"/>
            </w:pPr>
            <w:r>
              <w:rPr>
                <w:rFonts w:ascii="仿宋_GB2312" w:hAnsi="仿宋_GB2312" w:cs="仿宋_GB2312" w:eastAsia="仿宋_GB2312"/>
              </w:rPr>
              <w:t>根据供应商提供的平台系统硬件运营服务方案应包含但不限以下内容：清晰地阐述1.综合布线系统、2.计算机网络系统、3.视频安全防范监控系统、4.船载安全卫士终端设备、5.雷达系统、6.岸基AIS系统、7.闸机系统等相应服务内容。 1.方案中包含以上全部要素且上述内容完整切实可行的得14分，每缺少一项扣2分，一项有缺陷扣1分。本方案满分14分。(内容缺陷是指: 内容非专门针对本项目或不适用项目特性的情形、内容不够完整或缺少关键节点、套用其他项目方案、内容前后矛盾、涉及的规范及标准错误、不利于项目实施、不可能实现的情形等任意一种情形。)扣完为止。” 2.不提供方案的，不得分。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指挥中心运营服务方案1</w:t>
            </w:r>
          </w:p>
        </w:tc>
        <w:tc>
          <w:tcPr>
            <w:tcW w:type="dxa" w:w="2492"/>
          </w:tcPr>
          <w:p>
            <w:pPr>
              <w:pStyle w:val="null3"/>
              <w:jc w:val="both"/>
            </w:pPr>
            <w:r>
              <w:rPr>
                <w:rFonts w:ascii="仿宋_GB2312" w:hAnsi="仿宋_GB2312" w:cs="仿宋_GB2312" w:eastAsia="仿宋_GB2312"/>
              </w:rPr>
              <w:t>根据供应商提供的指挥中心项目运营服务方案应包含但不限以下内容：清晰地阐述1.技术支持工作、2.运维工作、3.讲解工作、4.接待工作等相应服务内容 。 1.方案中包含以上全部要素且上述内容完整切实可行的得16分，每缺少一项扣4分，一项有缺陷扣2分。本方案满分16分。(内容缺陷是指: 内容非专门针对本项目或不适用项目特性的情形、内容不够完整或缺少关键节点、套用其他项目方案、内容前后矛盾、涉及的规范及标准错误、不利于项目实施、不可能实现的情形等任意一种情形。)扣完为止。” 2.不提供方案的，不得分。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指挥中心运营服务方案2</w:t>
            </w:r>
          </w:p>
        </w:tc>
        <w:tc>
          <w:tcPr>
            <w:tcW w:type="dxa" w:w="2492"/>
          </w:tcPr>
          <w:p>
            <w:pPr>
              <w:pStyle w:val="null3"/>
              <w:jc w:val="both"/>
            </w:pPr>
            <w:r>
              <w:rPr>
                <w:rFonts w:ascii="仿宋_GB2312" w:hAnsi="仿宋_GB2312" w:cs="仿宋_GB2312" w:eastAsia="仿宋_GB2312"/>
              </w:rPr>
              <w:t>根据供应商提供的指挥中心运营服务方案应包含但不限以下内容：清晰地阐述1.项指挥中心、2.办公区、3.会议室、4.休息区、5.机房等相应服务内容。 1.方案中包含以上全部要素且上述内容完整切实可行的得10分，每缺少一项扣2分，一项有缺陷扣1分。本方案满分10分。(内容缺陷是指: 内容非专门针对本项目或不适用项目特性的情形、内容不够完整或缺少关键节点、套用其他项目方案、内容前后矛盾、涉及的规范及标准错误、不利于项目实施、不可能实现的情形等任意一种情形。)扣完为止。” 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根据供应商拟定的培训方案进行综合评比：内容包括1.系统功能培训、2.用户操作培训、3.系统运维培训等内容，对上述内容综合情况进行打分。 1.方案中包含以上全部要素且上述内容完整切实可行的得5分，每缺少一项扣2分，一项有缺陷扣1分。本方案满分5分。（内容缺陷是指：内容非专门针对本项目或不适用项目特性的情形、内容不够完整或缺少关键节点、套用其他项目方案、内容前后矛盾、涉及的规范及标准错误、不利于项目实施、不可能实现的情形等任意一种情形），扣完为止。 2.不提供方案的，不得分。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详见附件：三亚游艇旅游中心公共服务合同.docx.docx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HNJY2025-86-11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2025-2026年度三亚游艇旅游中心及游艇旅游综合服务平台项目运营</w:t>
      </w:r>
    </w:p>
    <w:p>
      <w:pPr>
        <w:pStyle w:val="null3"/>
        <w:jc w:val="left"/>
      </w:pPr>
      <w:r>
        <w:rPr>
          <w:rFonts w:ascii="仿宋_GB2312" w:hAnsi="仿宋_GB2312" w:cs="仿宋_GB2312" w:eastAsia="仿宋_GB2312"/>
        </w:rPr>
        <w:t>采购包：</w:t>
      </w:r>
      <w:r>
        <w:rPr>
          <w:rFonts w:ascii="仿宋_GB2312" w:hAnsi="仿宋_GB2312" w:cs="仿宋_GB2312" w:eastAsia="仿宋_GB2312"/>
        </w:rPr>
        <w:t>三亚市游艇旅游中心运营服务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C06990000-其他文化、体育、娱乐服务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4600000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HNJY2025-86-11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2025-2026年度三亚游艇旅游中心及游艇旅游综合服务平台项目运营</w:t>
      </w:r>
    </w:p>
    <w:p>
      <w:pPr>
        <w:pStyle w:val="null3"/>
        <w:jc w:val="left"/>
      </w:pPr>
      <w:r>
        <w:rPr>
          <w:rFonts w:ascii="仿宋_GB2312" w:hAnsi="仿宋_GB2312" w:cs="仿宋_GB2312" w:eastAsia="仿宋_GB2312"/>
        </w:rPr>
        <w:t>采购包：</w:t>
      </w:r>
      <w:r>
        <w:rPr>
          <w:rFonts w:ascii="仿宋_GB2312" w:hAnsi="仿宋_GB2312" w:cs="仿宋_GB2312" w:eastAsia="仿宋_GB2312"/>
        </w:rPr>
        <w:t>三亚市海上旅游数据服务中心运营服务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C06990000-其他文化、体育、娱乐服务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3900000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详见附件：其他承诺函</w:t>
      </w:r>
    </w:p>
    <w:p>
      <w:pPr>
        <w:pStyle w:val="null3"/>
        <w:ind w:firstLine="960"/>
        <w:jc w:val="left"/>
      </w:pPr>
      <w:r>
        <w:rPr>
          <w:rFonts w:ascii="仿宋_GB2312" w:hAnsi="仿宋_GB2312" w:cs="仿宋_GB2312" w:eastAsia="仿宋_GB2312"/>
        </w:rPr>
        <w:t>详见附件：其他承诺函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