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道路交通违法车辆拖曳及保管服务（2025-2028）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HNPC2025-011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海南品诚项目咨询有限公司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委托， </w:t>
      </w:r>
      <w:r>
        <w:rPr>
          <w:rFonts w:ascii="仿宋_GB2312" w:hAnsi="仿宋_GB2312" w:cs="仿宋_GB2312" w:eastAsia="仿宋_GB2312"/>
        </w:rPr>
        <w:t>海南品诚项目咨询有限公司</w:t>
      </w:r>
      <w:r>
        <w:rPr>
          <w:rFonts w:ascii="仿宋_GB2312" w:hAnsi="仿宋_GB2312" w:cs="仿宋_GB2312" w:eastAsia="仿宋_GB2312"/>
        </w:rPr>
        <w:t xml:space="preserve"> 对 </w:t>
      </w:r>
      <w:r>
        <w:rPr>
          <w:rFonts w:ascii="仿宋_GB2312" w:hAnsi="仿宋_GB2312" w:cs="仿宋_GB2312" w:eastAsia="仿宋_GB2312"/>
        </w:rPr>
        <w:t>道路交通违法车辆拖曳及保管服务（2025-2028）</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HNPC2025-011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道路交通违法车辆拖曳及保管服务（2025-2028）</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9,000,000.00元</w:t>
      </w:r>
      <w:r>
        <w:rPr>
          <w:rFonts w:ascii="仿宋_GB2312" w:hAnsi="仿宋_GB2312" w:cs="仿宋_GB2312" w:eastAsia="仿宋_GB2312"/>
        </w:rPr>
        <w:t>玖佰万元整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1、单位负责人为同一人或者存在直接控股、管理关系的不同供应商，不得参加同一合同项下的政府采购活动；投标人未为本项目提供整体设计、规范编制或者项目管理、监理、检测等服务：提供承诺函</w:t>
      </w:r>
    </w:p>
    <w:p>
      <w:pPr>
        <w:pStyle w:val="null3"/>
        <w:jc w:val="left"/>
      </w:pPr>
      <w:r>
        <w:rPr>
          <w:rFonts w:ascii="仿宋_GB2312" w:hAnsi="仿宋_GB2312" w:cs="仿宋_GB2312" w:eastAsia="仿宋_GB2312"/>
        </w:rPr>
        <w:t>2、提供《政府采购供应商信用承诺书》：按采购文件格式要求提供《政府采购供应商信用承诺书》</w:t>
      </w:r>
    </w:p>
    <w:p>
      <w:pPr>
        <w:pStyle w:val="null3"/>
        <w:jc w:val="left"/>
      </w:pPr>
      <w:r>
        <w:rPr>
          <w:rFonts w:ascii="仿宋_GB2312" w:hAnsi="仿宋_GB2312" w:cs="仿宋_GB2312" w:eastAsia="仿宋_GB2312"/>
        </w:rPr>
        <w:t>3、参加采购活动前三年内（成立不足三年的从成立之日起计算），无环保类行政处罚记录：提供无环保类行政处罚记录声明函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需到达开标现场，远程按时参加在线开标解密即可。（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吉阳区迎宾路362号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0898-88869499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海南品诚项目咨询有限公司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海南省海口市龙华区新港路9号新港商业城401-405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0898-65381678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降低部分招标代理服务费收费标准的通知（琼价费管[2011]225）》文件收费标准下浮25%执行，本项目招标代理服务费为84000.00元（人民币捌万肆仟元整），由中标人在领取中标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第二章投标人须知/二、总则/2.3.1.1中“（5）投标人无不良信用记录。”的原“投标人在“信用中国”网站（www.creditchina.gov.cn）未被列入失信被执行人、重大税收违法失信主体，在中国政府采购网（www.ccgp.gov.cn）未被列入政府采购严重违法失信行为记录名单。”，修改为“投标人在“信用中国”网站（www.creditchina.gov.cn）没有被列入重大税收违法失信主体、政府采购严重违法失信行为记录名单，在“中国执行信息公开网”（http://zxgk.court.gov.cn/shixin/）没有被列入失信被执行人名单以及在“中国政府采购网”（www.ccgp.gov.cn）没有被列入政府采购严重违法失信行为记录名单（提供承诺函，以资格审查时在上述网站查询的结果为准，如相关失信记录已失效，投标人须提供相关证明资料并加盖公章）”。 2.第二章投标人须知/二、总则/2.3.1.1中（6）法律、行政法规规定的其他条件，投标人提供承诺函。 3.采购预算补充说明：（1）本项目投标报价为折扣报价，即报价为10%为1折，20%为2折，30%为3折以此类推。最终费用将以各单项服务（最高限价单价为基准价*投标人的折扣）*实际发生数量计算出最终结算的金额。请各供应商注意。（2）本项目预算金额为900万元/年，此金额为估算金额，最终实际结算费用由投标单位根据《交通事故、违法车辆拖曳服务预算单价表》、《法定节假日和警卫任务期间租赁拯救力量待命执勤收费预算单价表》以及《车辆停放保管服务预算单价表》中的服务项目预算单价乘以报价折扣乘以实际服务项目数量执行。 4.本项目资金来源：财政资金。 5.本项目接受供应商成功加密后的电子备用标书，未自备备份投标文件的供应商可参加政府采购活动，但需自行承担因未自备备份投标文件而引起不利的后果。 6.评标委员会构成：5人，其中采购人代表1人，评标专家4人；评标专家确定方式：（1）专家成员从海南省综合评标专家库中随机抽取； （2）技术、经济等方面专家不得少于三分之二。 7.本项目属于专门面向中小企业采购项目，不享受价格扣除优惠政策。 8.采购标的对应的所属行业：交通运输业。根据《关于印发中小企业划型标准规定的通知》（工信部联企业〔2011〕300号）规定，交通运输业划型标准：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9.中标人应在中标通知书签发后5个工作日内与采购人签订合同，签订合同生效后2个工作日内将合同报送三亚市政府采购中心，根据《海南省财政厅关于进一步优化政府采购营商环境的通知》琼财采〔2022〕68号文件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联系电话：0898-65381678</w:t>
      </w:r>
    </w:p>
    <w:p>
      <w:pPr>
        <w:pStyle w:val="null3"/>
        <w:jc w:val="left"/>
      </w:pPr>
      <w:r>
        <w:rPr>
          <w:rFonts w:ascii="仿宋_GB2312" w:hAnsi="仿宋_GB2312" w:cs="仿宋_GB2312" w:eastAsia="仿宋_GB2312"/>
        </w:rPr>
        <w:t>地址：海口市新港路9号新港商业城401-405</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1、项目名称：道路交通违法车辆拖曳及保管服务项目（2025-2028）。</w:t>
      </w:r>
    </w:p>
    <w:p>
      <w:pPr>
        <w:pStyle w:val="null3"/>
        <w:ind w:right="30" w:firstLine="420"/>
        <w:jc w:val="left"/>
      </w:pPr>
      <w:r>
        <w:rPr>
          <w:rFonts w:ascii="仿宋_GB2312" w:hAnsi="仿宋_GB2312" w:cs="仿宋_GB2312" w:eastAsia="仿宋_GB2312"/>
          <w:sz w:val="21"/>
          <w:color w:val="000000"/>
        </w:rPr>
        <w:t>2、项目预算：</w:t>
      </w:r>
      <w:r>
        <w:rPr>
          <w:rFonts w:ascii="仿宋_GB2312" w:hAnsi="仿宋_GB2312" w:cs="仿宋_GB2312" w:eastAsia="仿宋_GB2312"/>
          <w:sz w:val="21"/>
          <w:color w:val="000000"/>
        </w:rPr>
        <w:t>900</w:t>
      </w:r>
      <w:r>
        <w:rPr>
          <w:rFonts w:ascii="仿宋_GB2312" w:hAnsi="仿宋_GB2312" w:cs="仿宋_GB2312" w:eastAsia="仿宋_GB2312"/>
          <w:sz w:val="21"/>
          <w:color w:val="000000"/>
        </w:rPr>
        <w:t>.00万元</w:t>
      </w:r>
      <w:r>
        <w:rPr>
          <w:rFonts w:ascii="仿宋_GB2312" w:hAnsi="仿宋_GB2312" w:cs="仿宋_GB2312" w:eastAsia="仿宋_GB2312"/>
          <w:sz w:val="21"/>
          <w:color w:val="000000"/>
        </w:rPr>
        <w:t>/年</w:t>
      </w:r>
      <w:r>
        <w:rPr>
          <w:rFonts w:ascii="仿宋_GB2312" w:hAnsi="仿宋_GB2312" w:cs="仿宋_GB2312" w:eastAsia="仿宋_GB2312"/>
          <w:sz w:val="21"/>
          <w:color w:val="000000"/>
        </w:rPr>
        <w:t>。</w:t>
      </w:r>
    </w:p>
    <w:p>
      <w:pPr>
        <w:pStyle w:val="null3"/>
        <w:ind w:right="30" w:firstLine="422"/>
        <w:jc w:val="left"/>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本项目投标报价填报</w:t>
      </w:r>
      <w:r>
        <w:rPr>
          <w:rFonts w:ascii="仿宋_GB2312" w:hAnsi="仿宋_GB2312" w:cs="仿宋_GB2312" w:eastAsia="仿宋_GB2312"/>
          <w:sz w:val="21"/>
          <w:b/>
          <w:color w:val="000000"/>
        </w:rPr>
        <w:t>折扣</w:t>
      </w:r>
      <w:r>
        <w:rPr>
          <w:rFonts w:ascii="仿宋_GB2312" w:hAnsi="仿宋_GB2312" w:cs="仿宋_GB2312" w:eastAsia="仿宋_GB2312"/>
          <w:sz w:val="21"/>
          <w:b/>
          <w:color w:val="000000"/>
        </w:rPr>
        <w:t>，单位为百分比。</w:t>
      </w:r>
    </w:p>
    <w:p>
      <w:pPr>
        <w:pStyle w:val="null3"/>
        <w:ind w:right="30"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本项目预算金额为估算金额，最终实际结算费用由投标单位根据《交通事故、违法车辆拖曳服务预算单价表》、《法定节假日和警卫任务期间租赁拯救力量待命执勤收费预算单价表》以及《车辆停放保管服务预算单价表》中的服务项目预算单价乘以报价</w:t>
      </w:r>
      <w:r>
        <w:rPr>
          <w:rFonts w:ascii="仿宋_GB2312" w:hAnsi="仿宋_GB2312" w:cs="仿宋_GB2312" w:eastAsia="仿宋_GB2312"/>
          <w:sz w:val="21"/>
          <w:b/>
          <w:color w:val="000000"/>
        </w:rPr>
        <w:t>折扣</w:t>
      </w:r>
      <w:r>
        <w:rPr>
          <w:rFonts w:ascii="仿宋_GB2312" w:hAnsi="仿宋_GB2312" w:cs="仿宋_GB2312" w:eastAsia="仿宋_GB2312"/>
          <w:sz w:val="21"/>
          <w:b/>
          <w:color w:val="000000"/>
        </w:rPr>
        <w:t>乘以实际服务项目数量执行。</w:t>
      </w:r>
    </w:p>
    <w:p>
      <w:pPr>
        <w:pStyle w:val="null3"/>
        <w:ind w:right="30" w:firstLine="420"/>
        <w:jc w:val="left"/>
      </w:pPr>
      <w:r>
        <w:rPr>
          <w:rFonts w:ascii="仿宋_GB2312" w:hAnsi="仿宋_GB2312" w:cs="仿宋_GB2312" w:eastAsia="仿宋_GB2312"/>
          <w:sz w:val="21"/>
          <w:color w:val="000000"/>
        </w:rPr>
        <w:t>3、服务期：合同签订之日起三年，合同一年一签。</w:t>
      </w:r>
    </w:p>
    <w:p>
      <w:pPr>
        <w:pStyle w:val="null3"/>
        <w:ind w:right="30" w:firstLine="420"/>
        <w:jc w:val="left"/>
      </w:pPr>
      <w:r>
        <w:rPr>
          <w:rFonts w:ascii="仿宋_GB2312" w:hAnsi="仿宋_GB2312" w:cs="仿宋_GB2312" w:eastAsia="仿宋_GB2312"/>
          <w:sz w:val="21"/>
          <w:color w:val="000000"/>
        </w:rPr>
        <w:t>4、服务地点：海南省三亚市。</w:t>
      </w:r>
    </w:p>
    <w:p>
      <w:pPr>
        <w:pStyle w:val="null3"/>
        <w:ind w:right="30" w:firstLine="420"/>
        <w:jc w:val="left"/>
      </w:pPr>
      <w:r>
        <w:rPr>
          <w:rFonts w:ascii="仿宋_GB2312" w:hAnsi="仿宋_GB2312" w:cs="仿宋_GB2312" w:eastAsia="仿宋_GB2312"/>
          <w:sz w:val="21"/>
          <w:color w:val="000000"/>
        </w:rPr>
        <w:t>5、付款方式：根据双方签订的政府采购合同约定执行。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道路交通违法车辆拖曳及保管服务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道路交通违法车辆拖曳及保管服务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道路交通违法车辆拖曳及保管服务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道路交通违法车辆拖曳及保管服务</w:t>
            </w:r>
          </w:p>
        </w:tc>
        <w:tc>
          <w:tcPr>
            <w:tcW w:type="dxa" w:w="2076"/>
          </w:tcPr>
          <w:p>
            <w:pPr>
              <w:pStyle w:val="null3"/>
              <w:jc w:val="left"/>
            </w:pPr>
            <w:r>
              <w:rPr>
                <w:rFonts w:ascii="仿宋_GB2312" w:hAnsi="仿宋_GB2312" w:cs="仿宋_GB2312" w:eastAsia="仿宋_GB2312"/>
              </w:rPr>
              <w:t>道路交通违法车辆拖曳及保管服务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标的名称：道路交通违法车辆拖曳及保管服务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1、技术要求</w:t>
            </w:r>
          </w:p>
          <w:p>
            <w:pPr>
              <w:pStyle w:val="null3"/>
              <w:jc w:val="both"/>
            </w:pPr>
            <w:r>
              <w:rPr>
                <w:rFonts w:ascii="仿宋_GB2312" w:hAnsi="仿宋_GB2312" w:cs="仿宋_GB2312" w:eastAsia="仿宋_GB2312"/>
                <w:sz w:val="24"/>
              </w:rPr>
              <w:t>(1)停车场方面</w:t>
            </w:r>
          </w:p>
          <w:p>
            <w:pPr>
              <w:pStyle w:val="null3"/>
              <w:jc w:val="both"/>
            </w:pPr>
            <w:r>
              <w:rPr>
                <w:rFonts w:ascii="仿宋_GB2312" w:hAnsi="仿宋_GB2312" w:cs="仿宋_GB2312" w:eastAsia="仿宋_GB2312"/>
                <w:sz w:val="24"/>
              </w:rPr>
              <w:t>①提供的停车场总面积50亩（含）以上，并确保在合同期内所有的交通违法、涉案车辆均有场地停放，能确保大型车辆进出。提供场地的租赁合同复印件或产权证明等材料（证明材料须在有效期内且有体现场地面积，有效期必须满足服务期要求，证明材料中有效期不足的需提供延期承诺函能够完全满足服务期限的要求）。</w:t>
            </w:r>
          </w:p>
          <w:p>
            <w:pPr>
              <w:pStyle w:val="null3"/>
              <w:jc w:val="both"/>
            </w:pPr>
            <w:r>
              <w:rPr>
                <w:rFonts w:ascii="仿宋_GB2312" w:hAnsi="仿宋_GB2312" w:cs="仿宋_GB2312" w:eastAsia="仿宋_GB2312"/>
                <w:sz w:val="24"/>
              </w:rPr>
              <w:t>②书面承诺所提供的场地符合《中华人民共和国土地管理法》、《中华人民共和国城市房地产管理法》等相关法律法规的规定，不存在土地违法行为，同时承诺该场地不得存在第三方主张权利。</w:t>
            </w:r>
          </w:p>
          <w:p>
            <w:pPr>
              <w:pStyle w:val="null3"/>
              <w:jc w:val="both"/>
            </w:pPr>
            <w:r>
              <w:rPr>
                <w:rFonts w:ascii="仿宋_GB2312" w:hAnsi="仿宋_GB2312" w:cs="仿宋_GB2312" w:eastAsia="仿宋_GB2312"/>
                <w:sz w:val="24"/>
              </w:rPr>
              <w:t>③提供拟建设范围周边地形图及本停车场建设方位图。场地有围墙并配套设置监控安防设施，安防要达到全覆盖无死角，并按要求保存安防图像，场内主道路要硬化，场地地面结实、平整；所提供的场地上不存在非停车场配套使用性质的建筑物；场地内配备齐全的消防器材且符合消防要求，同时配备防盗监控系统。场地内要有齐全办公场所，确保民警办公用房面积不小于30平方米，方便驻场民警办理业务。</w:t>
            </w:r>
          </w:p>
          <w:p>
            <w:pPr>
              <w:pStyle w:val="null3"/>
              <w:jc w:val="both"/>
            </w:pPr>
            <w:r>
              <w:rPr>
                <w:rFonts w:ascii="仿宋_GB2312" w:hAnsi="仿宋_GB2312" w:cs="仿宋_GB2312" w:eastAsia="仿宋_GB2312"/>
                <w:sz w:val="24"/>
              </w:rPr>
              <w:t>④配备消防水泵，按照场地设置的要求配备相应数量的室外消火栓以及供水管网。（提供相关证明材料或承诺中标后完善，承诺函格式自拟。）</w:t>
            </w:r>
          </w:p>
          <w:p>
            <w:pPr>
              <w:pStyle w:val="null3"/>
              <w:jc w:val="both"/>
            </w:pPr>
            <w:r>
              <w:rPr>
                <w:rFonts w:ascii="仿宋_GB2312" w:hAnsi="仿宋_GB2312" w:cs="仿宋_GB2312" w:eastAsia="仿宋_GB2312"/>
                <w:sz w:val="24"/>
              </w:rPr>
              <w:t>(2)车辆设备方面</w:t>
            </w:r>
          </w:p>
          <w:p>
            <w:pPr>
              <w:pStyle w:val="null3"/>
              <w:jc w:val="both"/>
            </w:pPr>
            <w:r>
              <w:rPr>
                <w:rFonts w:ascii="仿宋_GB2312" w:hAnsi="仿宋_GB2312" w:cs="仿宋_GB2312" w:eastAsia="仿宋_GB2312"/>
                <w:sz w:val="24"/>
              </w:rPr>
              <w:t>①配备如下车辆及设备</w:t>
            </w:r>
          </w:p>
          <w:p>
            <w:pPr>
              <w:pStyle w:val="null3"/>
              <w:jc w:val="both"/>
            </w:pPr>
            <w:r>
              <w:rPr>
                <w:rFonts w:ascii="仿宋_GB2312" w:hAnsi="仿宋_GB2312" w:cs="仿宋_GB2312" w:eastAsia="仿宋_GB2312"/>
                <w:sz w:val="24"/>
              </w:rPr>
              <w:t>平板作业车（可实现后面拖车功能）</w:t>
            </w:r>
            <w:r>
              <w:rPr>
                <w:rFonts w:ascii="仿宋_GB2312" w:hAnsi="仿宋_GB2312" w:cs="仿宋_GB2312" w:eastAsia="仿宋_GB2312"/>
                <w:sz w:val="24"/>
              </w:rPr>
              <w:t>40辆（含）以上，其中含33吨（含）以上一拖一清障车1辆（含）以上，一拖二清障车30辆（含）以上。以上所有车辆提供车辆产权证明或者服务期限内租赁合同。</w:t>
            </w:r>
          </w:p>
          <w:p>
            <w:pPr>
              <w:pStyle w:val="null3"/>
              <w:jc w:val="both"/>
            </w:pPr>
            <w:r>
              <w:rPr>
                <w:rFonts w:ascii="仿宋_GB2312" w:hAnsi="仿宋_GB2312" w:cs="仿宋_GB2312" w:eastAsia="仿宋_GB2312"/>
                <w:sz w:val="24"/>
              </w:rPr>
              <w:t>②因特殊情况，采购人需要临时使用其他不同型号作业车时，中标方要积极响应配合并完成相关任务。</w:t>
            </w:r>
          </w:p>
          <w:p>
            <w:pPr>
              <w:pStyle w:val="null3"/>
              <w:jc w:val="both"/>
            </w:pPr>
            <w:r>
              <w:rPr>
                <w:rFonts w:ascii="仿宋_GB2312" w:hAnsi="仿宋_GB2312" w:cs="仿宋_GB2312" w:eastAsia="仿宋_GB2312"/>
                <w:sz w:val="24"/>
              </w:rPr>
              <w:t>③能随时调动以上所需类型的车辆并配备符合驾驶类型的驾驶员和安全员，同时确保所调动车辆的保险齐全，性能完好，能满足日常施救、查扣车辆需求；能够与大型拖车等公司做好联动，在拖车等数量不足或运力不足时能及时调动其他符合现场施救、查扣车辆类型的车辆进行拖运。要配备行车记录仪，全程记录作业过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3）人员配备方面</w:t>
            </w:r>
          </w:p>
          <w:p>
            <w:pPr>
              <w:pStyle w:val="null3"/>
              <w:jc w:val="both"/>
            </w:pPr>
            <w:r>
              <w:rPr>
                <w:rFonts w:ascii="仿宋_GB2312" w:hAnsi="仿宋_GB2312" w:cs="仿宋_GB2312" w:eastAsia="仿宋_GB2312"/>
                <w:sz w:val="24"/>
              </w:rPr>
              <w:t>①组建一支稳定、有能力胜任相应管理及施救、查扣车辆工作的队伍，着装规范统一，人员不少于60人（须具备基本了解、掌握交通施救、查扣车辆基本原理），其中外出施救、查扣车辆队伍不少于6组（每组配备不少于2名，包含驾驶员），人员具体要求如下：管理人员4名负责停车场日常管理、值班及人员调度等；驾驶员每辆配备1名符合准驾车型车辆的驾驶证兼职抢修车辆；计算机技术人员2名负责扣留车辆数据的录入；安保人员6名负责在停车场内进行24小时不间断巡逻。安保人员需持证上岗，具备相应安全防范能力。车辆调度要确保24小时有人管理，交警部门有用车需求，要保障随时出动。</w:t>
            </w:r>
          </w:p>
          <w:p>
            <w:pPr>
              <w:pStyle w:val="null3"/>
              <w:jc w:val="both"/>
            </w:pPr>
            <w:r>
              <w:rPr>
                <w:rFonts w:ascii="仿宋_GB2312" w:hAnsi="仿宋_GB2312" w:cs="仿宋_GB2312" w:eastAsia="仿宋_GB2312"/>
                <w:sz w:val="24"/>
              </w:rPr>
              <w:t>②所有参加外出施救、查扣车辆的人员及车辆应有相应的保险；在执行外出施救、查扣车辆等任务过程中的安全责任、经济责任、防护设备等一切安全问题由中标单位负责。外出施救、查扣车辆人员配置相应的防护措施，保障人员安全。</w:t>
            </w:r>
          </w:p>
          <w:p>
            <w:pPr>
              <w:pStyle w:val="null3"/>
              <w:jc w:val="both"/>
            </w:pPr>
            <w:r>
              <w:rPr>
                <w:rFonts w:ascii="仿宋_GB2312" w:hAnsi="仿宋_GB2312" w:cs="仿宋_GB2312" w:eastAsia="仿宋_GB2312"/>
                <w:sz w:val="24"/>
              </w:rPr>
              <w:t>③派遣与作业车相匹配的专业技术人员参与外出施救、查扣任务，如因技术人员的操作不当等因素造成相关车辆二次损坏的，要进行相应赔偿；派遣的人员到达任务现场后，应对涉案车辆内的财物立即登记在册，并由现场经办民警核对无误、签字确认后再交接。</w:t>
            </w:r>
          </w:p>
          <w:p>
            <w:pPr>
              <w:pStyle w:val="null3"/>
              <w:jc w:val="both"/>
            </w:pPr>
            <w:r>
              <w:rPr>
                <w:rFonts w:ascii="仿宋_GB2312" w:hAnsi="仿宋_GB2312" w:cs="仿宋_GB2312" w:eastAsia="仿宋_GB2312"/>
                <w:sz w:val="24"/>
              </w:rPr>
              <w:t>(4)外出拖曳车辆方面</w:t>
            </w:r>
          </w:p>
          <w:p>
            <w:pPr>
              <w:pStyle w:val="null3"/>
              <w:jc w:val="both"/>
            </w:pPr>
            <w:r>
              <w:rPr>
                <w:rFonts w:ascii="仿宋_GB2312" w:hAnsi="仿宋_GB2312" w:cs="仿宋_GB2312" w:eastAsia="仿宋_GB2312"/>
                <w:sz w:val="24"/>
              </w:rPr>
              <w:t>①值班人员在接到电话指令后，拖曳现场在所属辖区内的，拖曳车辆人员必须在30分钟内（乡镇按每公里2分钟计算）到达现场协助民警拖曳车辆，并负责将相关涉案车辆及时运回停车场内，不得拖延和推诿，并规范扣车的办理手续。对交通执法涉案车辆在运输过程中产生的相关费用及路途中发生的事故等应当负责，对违法车辆的拖曳等费用按违法车辆管理有关规定执行。</w:t>
            </w:r>
          </w:p>
          <w:p>
            <w:pPr>
              <w:pStyle w:val="null3"/>
              <w:jc w:val="both"/>
            </w:pPr>
            <w:r>
              <w:rPr>
                <w:rFonts w:ascii="仿宋_GB2312" w:hAnsi="仿宋_GB2312" w:cs="仿宋_GB2312" w:eastAsia="仿宋_GB2312"/>
                <w:sz w:val="24"/>
              </w:rPr>
              <w:t>②对施救、查扣车辆过程中须实施对交通通行有较大影响的措施时要事先征得民警的同意方能开工，联系不上民警且现场存在严重安全隐患的、可能导致严重交通堵塞的可以先行施救、查扣车辆，但事后须及时向领导汇报，并依据现场照片补办任务单。</w:t>
            </w:r>
          </w:p>
          <w:p>
            <w:pPr>
              <w:pStyle w:val="null3"/>
              <w:jc w:val="both"/>
            </w:pPr>
            <w:r>
              <w:rPr>
                <w:rFonts w:ascii="仿宋_GB2312" w:hAnsi="仿宋_GB2312" w:cs="仿宋_GB2312" w:eastAsia="仿宋_GB2312"/>
                <w:sz w:val="24"/>
              </w:rPr>
              <w:t>③保证每日至少有四辆平板车随执勤民警跟班作业，作业过程中要服从现场执勤民警的调配指令。</w:t>
            </w:r>
          </w:p>
          <w:p>
            <w:pPr>
              <w:pStyle w:val="null3"/>
              <w:jc w:val="both"/>
            </w:pPr>
            <w:r>
              <w:rPr>
                <w:rFonts w:ascii="仿宋_GB2312" w:hAnsi="仿宋_GB2312" w:cs="仿宋_GB2312" w:eastAsia="仿宋_GB2312"/>
                <w:sz w:val="24"/>
              </w:rPr>
              <w:t>④场内停放区域设置、管理、安保要求及设置场外引导标识。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5）场内停放区域设置、管理、安保方面</w:t>
            </w:r>
          </w:p>
          <w:p>
            <w:pPr>
              <w:pStyle w:val="null3"/>
              <w:jc w:val="both"/>
            </w:pPr>
            <w:r>
              <w:rPr>
                <w:rFonts w:ascii="仿宋_GB2312" w:hAnsi="仿宋_GB2312" w:cs="仿宋_GB2312" w:eastAsia="仿宋_GB2312"/>
                <w:sz w:val="24"/>
              </w:rPr>
              <w:t>①场内停放区域设置。根据涉案车辆停车场的场地实际，合理划分停放区域，按照汽车类、摩托车类、其他类实行分类管理。A.汽车类。设置三个区域交通违法车辆停放区域、涉案车辆停放区域、其他车辆停放区域。B.摩托车类。按照扣车时间设置四个区域：第一年上半年扣车区域、第一年下半年扣车区域、第二年上半年扣车区域、第二年下半年扣车区域。C.其他类（电动车、三轮车等）。按照电动车、三轮车等车辆类别分别设置，合理隔离以便于查找核对及日常管理。</w:t>
            </w:r>
          </w:p>
          <w:p>
            <w:pPr>
              <w:pStyle w:val="null3"/>
              <w:jc w:val="both"/>
            </w:pPr>
            <w:r>
              <w:rPr>
                <w:rFonts w:ascii="仿宋_GB2312" w:hAnsi="仿宋_GB2312" w:cs="仿宋_GB2312" w:eastAsia="仿宋_GB2312"/>
                <w:sz w:val="24"/>
              </w:rPr>
              <w:t>②场内管理。提供安全责任管理制度，同时建立24小时中心值班制度，为了保证现场施救、查扣车辆工作的顺利进行，在停车场内设立呼叫中心，并备有值班电话、值班人员以及值班施救、查扣车辆小组24小时待命（不分节假日），并做好详细的值班记录。在车场运行过程中如有发现场地坑坑洼洼等不平整的情况，乙方必须及时修复，若未及时修复造成车辆损坏的，负相关责任。</w:t>
            </w:r>
          </w:p>
          <w:p>
            <w:pPr>
              <w:pStyle w:val="null3"/>
              <w:jc w:val="both"/>
            </w:pPr>
            <w:r>
              <w:rPr>
                <w:rFonts w:ascii="仿宋_GB2312" w:hAnsi="仿宋_GB2312" w:cs="仿宋_GB2312" w:eastAsia="仿宋_GB2312"/>
                <w:sz w:val="24"/>
              </w:rPr>
              <w:t>③场内安防保障。建立风险防控机制，做好防火、防水、防盗等防范工作；安防监控设备全覆盖不留死角，监控录像资料保存六个月以上；配备必要的消防设施，保障停车安全，杜绝隐患，禁止存放易燃、易爆及有害物品；遇到发生火警、抢劫及场内交通事故等情况，应当采取相应紧急措施，在报警的同时，向支队值班室电话汇报。</w:t>
            </w:r>
          </w:p>
          <w:p>
            <w:pPr>
              <w:pStyle w:val="null3"/>
              <w:jc w:val="both"/>
            </w:pPr>
            <w:r>
              <w:rPr>
                <w:rFonts w:ascii="仿宋_GB2312" w:hAnsi="仿宋_GB2312" w:cs="仿宋_GB2312" w:eastAsia="仿宋_GB2312"/>
                <w:sz w:val="24"/>
              </w:rPr>
              <w:t>④设置场外引导标识。充分结合停车场的地理位置，配套设置相应的停车场位置交通引导标志牌等标识。（提供相关证明材料或承诺中标后完善，承诺函格式自拟。）</w:t>
            </w:r>
          </w:p>
          <w:p>
            <w:pPr>
              <w:pStyle w:val="null3"/>
              <w:jc w:val="both"/>
            </w:pPr>
            <w:r>
              <w:rPr>
                <w:rFonts w:ascii="仿宋_GB2312" w:hAnsi="仿宋_GB2312" w:cs="仿宋_GB2312" w:eastAsia="仿宋_GB2312"/>
                <w:sz w:val="24"/>
              </w:rPr>
              <w:t>⑤车辆进出保管要求。建立完善的涉案车辆电子管理系统（软件）便于日常管理。代管扣留车辆要统一使用扣留车辆进出场凭证，执行对扣留车辆进出场凭证管理要求；对进出车辆应认真查验，填写扣留车辆进出场登记信息，在场内使用专用云联网录入信息，（交通执法涉案车辆停车场专用软件）建立扣留车辆档案跟踪管理制度，定期清理、造册扣留车辆信息，并及时移交给上级领导，做到扣留车辆台账清，底数明；对扣留代管车辆要妥善保管，不得叠放、不得损坏、丢失或更换车辆零部件，严禁发生车场内部人员盗取汽油或私自使用扣留车辆等行为；发生上述行为，涉及财产损失的，乙方负责赔偿，视情节作出处罚，涉及刑事的，相关人员承担刑事责任。（提供相关证明材料或承诺中标后完善，承诺函格式自拟。）</w:t>
            </w:r>
          </w:p>
          <w:p>
            <w:pPr>
              <w:pStyle w:val="null3"/>
              <w:jc w:val="both"/>
            </w:pPr>
            <w:r>
              <w:rPr>
                <w:rFonts w:ascii="仿宋_GB2312" w:hAnsi="仿宋_GB2312" w:cs="仿宋_GB2312" w:eastAsia="仿宋_GB2312"/>
                <w:sz w:val="24"/>
              </w:rPr>
              <w:t>⑥车辆转场要求。遗留在原交通执法涉案车辆停车场内的车辆，应为转场车辆停放提供必要场地并无偿（免费）进行转运。</w:t>
            </w:r>
          </w:p>
          <w:p>
            <w:pPr>
              <w:pStyle w:val="null3"/>
              <w:jc w:val="both"/>
            </w:pPr>
            <w:r>
              <w:rPr>
                <w:rFonts w:ascii="仿宋_GB2312" w:hAnsi="仿宋_GB2312" w:cs="仿宋_GB2312" w:eastAsia="仿宋_GB2312"/>
                <w:sz w:val="24"/>
              </w:rPr>
              <w:t>⑦购买停车场责任险（保额在500万元或以上）。</w:t>
            </w:r>
          </w:p>
          <w:p>
            <w:pPr>
              <w:pStyle w:val="null3"/>
              <w:jc w:val="both"/>
            </w:pPr>
            <w:r>
              <w:rPr>
                <w:rFonts w:ascii="仿宋_GB2312" w:hAnsi="仿宋_GB2312" w:cs="仿宋_GB2312" w:eastAsia="仿宋_GB2312"/>
                <w:sz w:val="24"/>
              </w:rPr>
              <w:t>⑧提供土地场所应当合法。但若政府建设需要或规划调整需要收回或终止合同，可提供符合条件的替换场所。场所替换后，可继续履行合同义务。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6）应急待命保障机制</w:t>
            </w:r>
          </w:p>
          <w:p>
            <w:pPr>
              <w:pStyle w:val="null3"/>
              <w:jc w:val="both"/>
            </w:pPr>
            <w:r>
              <w:rPr>
                <w:rFonts w:ascii="仿宋_GB2312" w:hAnsi="仿宋_GB2312" w:cs="仿宋_GB2312" w:eastAsia="仿宋_GB2312"/>
                <w:sz w:val="24"/>
              </w:rPr>
              <w:t>在满足法定节假日（如春节、五一、国庆等）、重大警卫任务及其他上级部门要求，对交通拥堵快速处置的特殊需求，要求快速拖移故障、事故等无法移动的车辆，就近安全放置（如不影响交通的路肩、高速公路出入口等指定区域），以最短时间恢复道路通行，并非用于违法车辆的常规扣留与停车场转运。</w:t>
            </w:r>
          </w:p>
          <w:p>
            <w:pPr>
              <w:pStyle w:val="null3"/>
              <w:jc w:val="both"/>
            </w:pPr>
            <w:r>
              <w:rPr>
                <w:rFonts w:ascii="仿宋_GB2312" w:hAnsi="仿宋_GB2312" w:cs="仿宋_GB2312" w:eastAsia="仿宋_GB2312"/>
                <w:sz w:val="24"/>
              </w:rPr>
              <w:t>①供应商应根据采购方（承办部门交管支队）提前通知的具体时间、地点及数量要求，在指定重点路段、路口、高速公路关键节点等区域提前部署拯救车辆与人员，处于现场待命状态。</w:t>
            </w:r>
          </w:p>
          <w:p>
            <w:pPr>
              <w:pStyle w:val="null3"/>
              <w:jc w:val="both"/>
            </w:pPr>
            <w:r>
              <w:rPr>
                <w:rFonts w:ascii="仿宋_GB2312" w:hAnsi="仿宋_GB2312" w:cs="仿宋_GB2312" w:eastAsia="仿宋_GB2312"/>
                <w:sz w:val="24"/>
              </w:rPr>
              <w:t>②待命期间，接到采购方的指令后，必须在城市核心区≤15分钟，高速公路指定点≤10分钟，抵达现场指定位置开始处置。以最快速度完成故障/事故车辆的拖移作业，并将车辆就近安全放置于采购方认可的不影响交通的地点。</w:t>
            </w:r>
          </w:p>
          <w:p>
            <w:pPr>
              <w:pStyle w:val="null3"/>
              <w:jc w:val="both"/>
            </w:pPr>
            <w:r>
              <w:rPr>
                <w:rFonts w:ascii="仿宋_GB2312" w:hAnsi="仿宋_GB2312" w:cs="仿宋_GB2312" w:eastAsia="仿宋_GB2312"/>
                <w:sz w:val="24"/>
              </w:rPr>
              <w:t>③计费。</w:t>
            </w:r>
          </w:p>
          <w:p>
            <w:pPr>
              <w:pStyle w:val="null3"/>
              <w:jc w:val="both"/>
            </w:pPr>
            <w:r>
              <w:rPr>
                <w:rFonts w:ascii="仿宋_GB2312" w:hAnsi="仿宋_GB2312" w:cs="仿宋_GB2312" w:eastAsia="仿宋_GB2312"/>
                <w:sz w:val="24"/>
              </w:rPr>
              <w:t>拯救车辆与人员在指定地点待命值守的时段费用，按《法定节假日和警卫任务期间租赁拯救力量待命执勤收费预算单价表》每次保障任务总时长为单位进行结算。待命期间实际执行的拖拽操作，不再单独额外收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rPr>
              <w:t>(1)服务期：合同签订之日起三年，合同一年一签。</w:t>
            </w:r>
          </w:p>
          <w:p>
            <w:pPr>
              <w:pStyle w:val="null3"/>
              <w:jc w:val="both"/>
            </w:pPr>
            <w:r>
              <w:rPr>
                <w:rFonts w:ascii="仿宋_GB2312" w:hAnsi="仿宋_GB2312" w:cs="仿宋_GB2312" w:eastAsia="仿宋_GB2312"/>
                <w:sz w:val="22"/>
              </w:rPr>
              <w:t>(2)付款方式：根据双方签订的政府采购合同约定执行</w:t>
            </w:r>
          </w:p>
          <w:p>
            <w:pPr>
              <w:pStyle w:val="null3"/>
              <w:jc w:val="both"/>
            </w:pPr>
            <w:r>
              <w:rPr>
                <w:rFonts w:ascii="仿宋_GB2312" w:hAnsi="仿宋_GB2312" w:cs="仿宋_GB2312" w:eastAsia="仿宋_GB2312"/>
                <w:sz w:val="22"/>
              </w:rPr>
              <w:t>(3)服务地点：海南省三亚市</w:t>
            </w:r>
          </w:p>
          <w:p>
            <w:pPr>
              <w:pStyle w:val="null3"/>
              <w:jc w:val="both"/>
            </w:pPr>
            <w:r>
              <w:rPr>
                <w:rFonts w:ascii="仿宋_GB2312" w:hAnsi="仿宋_GB2312" w:cs="仿宋_GB2312" w:eastAsia="仿宋_GB2312"/>
                <w:sz w:val="22"/>
              </w:rPr>
              <w:t>(4)报价要求：投标报价填报折扣，单位为百分比。</w:t>
            </w:r>
          </w:p>
          <w:p>
            <w:pPr>
              <w:pStyle w:val="null3"/>
              <w:jc w:val="both"/>
            </w:pPr>
            <w:r>
              <w:rPr>
                <w:rFonts w:ascii="仿宋_GB2312" w:hAnsi="仿宋_GB2312" w:cs="仿宋_GB2312" w:eastAsia="仿宋_GB2312"/>
                <w:sz w:val="22"/>
              </w:rPr>
              <w:t>(5)单项服务报价</w:t>
            </w:r>
          </w:p>
          <w:p>
            <w:pPr>
              <w:pStyle w:val="null3"/>
              <w:jc w:val="both"/>
            </w:pPr>
            <w:r>
              <w:rPr>
                <w:rFonts w:ascii="仿宋_GB2312" w:hAnsi="仿宋_GB2312" w:cs="仿宋_GB2312" w:eastAsia="仿宋_GB2312"/>
                <w:sz w:val="22"/>
              </w:rPr>
              <w:t>违法车辆拖曳及保管服务项目有关单项服务报价不得超过《交通事故、违法车辆拖曳服务预算单价表》、《法定节假日和警卫任务期间租赁拯救力量待命执勤收费预算单价表》以及《车辆停放保管服务预算单价表》中的服务项目预算单价。实行统一折扣。</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p>
          <w:p>
            <w:pPr>
              <w:pStyle w:val="null3"/>
              <w:jc w:val="center"/>
            </w:pPr>
            <w:r>
              <w:rPr>
                <w:rFonts w:ascii="仿宋_GB2312" w:hAnsi="仿宋_GB2312" w:cs="仿宋_GB2312" w:eastAsia="仿宋_GB2312"/>
                <w:sz w:val="40"/>
                <w:b/>
              </w:rPr>
              <w:t>交通事故、违法车辆拖曳服务</w:t>
            </w:r>
            <w:r>
              <w:rPr>
                <w:rFonts w:ascii="仿宋_GB2312" w:hAnsi="仿宋_GB2312" w:cs="仿宋_GB2312" w:eastAsia="仿宋_GB2312"/>
                <w:sz w:val="40"/>
                <w:b/>
              </w:rPr>
              <w:t>预算单价</w:t>
            </w:r>
            <w:r>
              <w:rPr>
                <w:rFonts w:ascii="仿宋_GB2312" w:hAnsi="仿宋_GB2312" w:cs="仿宋_GB2312" w:eastAsia="仿宋_GB2312"/>
                <w:sz w:val="40"/>
                <w:b/>
              </w:rPr>
              <w:t>表</w:t>
            </w:r>
          </w:p>
          <w:p>
            <w:pPr>
              <w:pStyle w:val="null3"/>
              <w:jc w:val="right"/>
            </w:pPr>
            <w:r>
              <w:rPr>
                <w:rFonts w:ascii="仿宋_GB2312" w:hAnsi="仿宋_GB2312" w:cs="仿宋_GB2312" w:eastAsia="仿宋_GB2312"/>
                <w:sz w:val="22"/>
                <w:b/>
              </w:rPr>
              <w:t>单位：元</w:t>
            </w:r>
            <w:r>
              <w:rPr>
                <w:rFonts w:ascii="仿宋_GB2312" w:hAnsi="仿宋_GB2312" w:cs="仿宋_GB2312" w:eastAsia="仿宋_GB2312"/>
                <w:sz w:val="22"/>
                <w:b/>
              </w:rPr>
              <w:t>/辆·天</w:t>
            </w:r>
          </w:p>
          <w:tbl>
            <w:tblPr>
              <w:tblBorders>
                <w:top w:val="none" w:color="000000" w:sz="4"/>
                <w:left w:val="none" w:color="000000" w:sz="4"/>
                <w:bottom w:val="none" w:color="000000" w:sz="4"/>
                <w:right w:val="none" w:color="000000" w:sz="4"/>
                <w:insideH w:val="none"/>
                <w:insideV w:val="none"/>
              </w:tblBorders>
            </w:tblPr>
            <w:tblGrid>
              <w:gridCol w:w="190"/>
              <w:gridCol w:w="1317"/>
              <w:gridCol w:w="320"/>
              <w:gridCol w:w="482"/>
              <w:gridCol w:w="244"/>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被拖车车辆类型</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10KM以内</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每增加</w:t>
                  </w:r>
                  <w:r>
                    <w:rPr>
                      <w:rFonts w:ascii="仿宋_GB2312" w:hAnsi="仿宋_GB2312" w:cs="仿宋_GB2312" w:eastAsia="仿宋_GB2312"/>
                      <w:sz w:val="24"/>
                    </w:rPr>
                    <w:t>10公里加收 （不足10KM按10KM收取）</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二轮摩托车、二轮电动车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三轮机动车（含残疾人专用机动车）、</w:t>
                  </w:r>
                  <w:r>
                    <w:rPr>
                      <w:rFonts w:ascii="仿宋_GB2312" w:hAnsi="仿宋_GB2312" w:cs="仿宋_GB2312" w:eastAsia="仿宋_GB2312"/>
                      <w:sz w:val="24"/>
                    </w:rPr>
                    <w:t>三轮电动车、三轮人力车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2吨以下（含2吨）货车、20座以下客车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2-5吨（含5吨）货车、21-50座客车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 吨（含8吨）货车、51座以上客车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8-15 吨（含15吨）货车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15吨-20吨（含20吨）货车、各种集装箱车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20吨以上货车、各种集装箱车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2"/>
                <w:b/>
              </w:rPr>
              <w:t>附件</w:t>
            </w:r>
            <w:r>
              <w:rPr>
                <w:rFonts w:ascii="仿宋_GB2312" w:hAnsi="仿宋_GB2312" w:cs="仿宋_GB2312" w:eastAsia="仿宋_GB2312"/>
                <w:sz w:val="22"/>
                <w:b/>
              </w:rPr>
              <w:t>2</w:t>
            </w:r>
          </w:p>
          <w:p>
            <w:pPr>
              <w:pStyle w:val="null3"/>
              <w:jc w:val="center"/>
            </w:pPr>
            <w:r>
              <w:rPr>
                <w:rFonts w:ascii="仿宋_GB2312" w:hAnsi="仿宋_GB2312" w:cs="仿宋_GB2312" w:eastAsia="仿宋_GB2312"/>
                <w:sz w:val="40"/>
                <w:b/>
              </w:rPr>
              <w:t>法定节假日和警卫任务期间租赁拯救力量待命执勤收费预算单价表</w:t>
            </w:r>
          </w:p>
          <w:tbl>
            <w:tblPr>
              <w:tblBorders>
                <w:top w:val="none" w:color="000000" w:sz="4"/>
                <w:left w:val="none" w:color="000000" w:sz="4"/>
                <w:bottom w:val="none" w:color="000000" w:sz="4"/>
                <w:right w:val="none" w:color="000000" w:sz="4"/>
                <w:insideH w:val="none"/>
                <w:insideV w:val="none"/>
              </w:tblBorders>
            </w:tblPr>
            <w:tblGrid>
              <w:gridCol w:w="288"/>
              <w:gridCol w:w="431"/>
              <w:gridCol w:w="429"/>
              <w:gridCol w:w="483"/>
              <w:gridCol w:w="480"/>
              <w:gridCol w:w="442"/>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待命执勤车型</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1小时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50吨吊车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80吨吊车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1.以上价格均为含税单价；</w:t>
                  </w:r>
                  <w:r>
                    <w:br/>
                  </w:r>
                  <w:r>
                    <w:rPr>
                      <w:rFonts w:ascii="仿宋_GB2312" w:hAnsi="仿宋_GB2312" w:cs="仿宋_GB2312" w:eastAsia="仿宋_GB2312"/>
                      <w:sz w:val="24"/>
                    </w:rPr>
                    <w:t>2.待命时间不足1小时按一小时计取；</w:t>
                  </w:r>
                  <w:r>
                    <w:br/>
                  </w:r>
                  <w:r>
                    <w:rPr>
                      <w:rFonts w:ascii="仿宋_GB2312" w:hAnsi="仿宋_GB2312" w:cs="仿宋_GB2312" w:eastAsia="仿宋_GB2312"/>
                      <w:sz w:val="24"/>
                    </w:rPr>
                    <w:t>3.车辆待命执勤时间不足10小时按每小时收费标准计费，10小时至16小时按12小时收费标准进行计费，16小时至24小时按24小时收费标准进行计费。</w:t>
                  </w:r>
                </w:p>
              </w:tc>
            </w:tr>
          </w:tbl>
          <w:p>
            <w:pPr>
              <w:pStyle w:val="null3"/>
              <w:jc w:val="left"/>
            </w:pPr>
            <w:r>
              <w:rPr>
                <w:rFonts w:ascii="仿宋_GB2312" w:hAnsi="仿宋_GB2312" w:cs="仿宋_GB2312" w:eastAsia="仿宋_GB2312"/>
                <w:sz w:val="24"/>
                <w:b/>
              </w:rPr>
              <w:t>附件</w:t>
            </w:r>
            <w:r>
              <w:rPr>
                <w:rFonts w:ascii="仿宋_GB2312" w:hAnsi="仿宋_GB2312" w:cs="仿宋_GB2312" w:eastAsia="仿宋_GB2312"/>
                <w:sz w:val="24"/>
                <w:b/>
              </w:rPr>
              <w:t>3</w:t>
            </w:r>
          </w:p>
          <w:p>
            <w:pPr>
              <w:pStyle w:val="null3"/>
              <w:jc w:val="center"/>
            </w:pPr>
            <w:r>
              <w:rPr>
                <w:rFonts w:ascii="仿宋_GB2312" w:hAnsi="仿宋_GB2312" w:cs="仿宋_GB2312" w:eastAsia="仿宋_GB2312"/>
                <w:sz w:val="32"/>
                <w:b/>
              </w:rPr>
              <w:t>车辆停放保管服务预算单价</w:t>
            </w:r>
            <w:r>
              <w:rPr>
                <w:rFonts w:ascii="仿宋_GB2312" w:hAnsi="仿宋_GB2312" w:cs="仿宋_GB2312" w:eastAsia="仿宋_GB2312"/>
                <w:sz w:val="32"/>
                <w:b/>
              </w:rPr>
              <w:t>表</w:t>
            </w:r>
          </w:p>
          <w:tbl>
            <w:tblPr>
              <w:tblBorders>
                <w:top w:val="none" w:color="000000" w:sz="4"/>
                <w:left w:val="none" w:color="000000" w:sz="4"/>
                <w:bottom w:val="none" w:color="000000" w:sz="4"/>
                <w:right w:val="none" w:color="000000" w:sz="4"/>
                <w:insideH w:val="none"/>
                <w:insideV w:val="none"/>
              </w:tblBorders>
            </w:tblPr>
            <w:tblGrid>
              <w:gridCol w:w="215"/>
              <w:gridCol w:w="1113"/>
              <w:gridCol w:w="468"/>
              <w:gridCol w:w="757"/>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车型分类</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收费标准</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农用三轮车、拖拉机、摩托车等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bl>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1）验收</w:t>
      </w:r>
    </w:p>
    <w:p>
      <w:pPr>
        <w:pStyle w:val="null3"/>
        <w:ind w:right="30" w:firstLine="420"/>
        <w:jc w:val="left"/>
      </w:pPr>
      <w:r>
        <w:rPr>
          <w:rFonts w:ascii="仿宋_GB2312" w:hAnsi="仿宋_GB2312" w:cs="仿宋_GB2312" w:eastAsia="仿宋_GB2312"/>
          <w:sz w:val="21"/>
          <w:color w:val="000000"/>
        </w:rPr>
        <w:t>①采购人应按照国家有关标准及招、投标文件的技术要求进行验收。</w:t>
      </w:r>
    </w:p>
    <w:p>
      <w:pPr>
        <w:pStyle w:val="null3"/>
        <w:ind w:right="30" w:firstLine="420"/>
        <w:jc w:val="left"/>
      </w:pPr>
      <w:r>
        <w:rPr>
          <w:rFonts w:ascii="仿宋_GB2312" w:hAnsi="仿宋_GB2312" w:cs="仿宋_GB2312" w:eastAsia="仿宋_GB2312"/>
          <w:sz w:val="21"/>
          <w:color w:val="000000"/>
        </w:rPr>
        <w:t>②采购人可以独立邀请第三方参与验收。验收出现争议时，中标单位可以与采购人协商共同邀请第三方参与验收。</w:t>
      </w:r>
    </w:p>
    <w:p>
      <w:pPr>
        <w:pStyle w:val="null3"/>
        <w:ind w:right="30"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2）其它要求</w:t>
      </w:r>
    </w:p>
    <w:p>
      <w:pPr>
        <w:pStyle w:val="null3"/>
        <w:ind w:right="30" w:firstLine="420"/>
        <w:jc w:val="left"/>
      </w:pPr>
      <w:r>
        <w:rPr>
          <w:rFonts w:ascii="仿宋_GB2312" w:hAnsi="仿宋_GB2312" w:cs="仿宋_GB2312" w:eastAsia="仿宋_GB2312"/>
          <w:sz w:val="21"/>
          <w:color w:val="000000"/>
        </w:rPr>
        <w:t>①其他未尽事宜以合同约定为准。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单位负责人为同一人或者存在直接控股、管理关系的不同供应商，不得参加同一合同项下的政府采购活动；投标人未为本项目提供整体设计、规范编制或者项目管理、监理、检测等服务</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按采购文件格式要求提供《政府采购供应商信用承诺书》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参加采购活动前三年内（成立不足三年的从成立之日起计算），无环保类行政处罚记录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投标人对本项目提供的服务方案进行综合打分，包含但不限于以下内容：①队伍组织方案、②涉案车辆档案管理、③拖曳和保管服务工作内容安排、④车辆设备配备情况、⑤服务质量保障措施、⑥安全保障措施。 提供上述内容的，每项得1分，满分6分，未提供不得分； A、服务方案内容完整详细、考虑问题周全，针对性强、思路清晰，安排科学合理、完全满足且优于采购人需求的，得6分； B、服务方案较完整详细、针对性较强、可行性比较具有操作性，完全满足采购人需求，得5分； C、服务方案完整性、针对性、可行性一般，得4分； D、服务方案内容有欠缺、不完整，存在不合理叙述部分，得3分。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对本项目提供的应急方案进行综合打分，包含但不限于以下内容：①应急处理小组设置、②可能出现的突发状况、③应急解决方案、④应急事件的处理程序。提供上述内容的，每项得1分，满分4分，未提供不得分； A、应急方案内容完整详细、考虑问题周全，针对性强、思路清晰，安排科学合理、完全满足且优于采购人需求的，得4分； B、应急方案内容较完整详细、针对性较强、可行性比较具有操作性，完全满足采购人需求，得3分； C、应急方案内容完整性、针对性、可行性一般，得2分； D、应急方案内容有欠缺、不完整，存在不合理叙述部分，得1分。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服务需求</w:t>
            </w:r>
          </w:p>
        </w:tc>
        <w:tc>
          <w:tcPr>
            <w:tcW w:type="dxa" w:w="2492"/>
          </w:tcPr>
          <w:p>
            <w:pPr>
              <w:pStyle w:val="null3"/>
              <w:jc w:val="both"/>
            </w:pPr>
            <w:r>
              <w:rPr>
                <w:rFonts w:ascii="仿宋_GB2312" w:hAnsi="仿宋_GB2312" w:cs="仿宋_GB2312" w:eastAsia="仿宋_GB2312"/>
              </w:rPr>
              <w:t>投标人完全满足本项目服务要求没有负偏离得13分，每有一项负偏离扣0.5分，本项分值扣完为止。 说明：以投标人技术偏离表为准。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车辆配备情况</w:t>
            </w:r>
          </w:p>
        </w:tc>
        <w:tc>
          <w:tcPr>
            <w:tcW w:type="dxa" w:w="2492"/>
          </w:tcPr>
          <w:p>
            <w:pPr>
              <w:pStyle w:val="null3"/>
              <w:jc w:val="both"/>
            </w:pPr>
            <w:r>
              <w:rPr>
                <w:rFonts w:ascii="仿宋_GB2312" w:hAnsi="仿宋_GB2312" w:cs="仿宋_GB2312" w:eastAsia="仿宋_GB2312"/>
              </w:rPr>
              <w:t>投标人提供用于本项目的清障车（拖车）40辆车，其中33吨（含）以上一拖一清障车1辆（含）以上，一拖二清障车30辆（含）以上；在满足40辆车要求基础上每增加1辆清障车（拖车）得1分，满分10分。 备注：自有车辆须提供车辆行驶证及购车发票复印件并加盖投标人公章；租赁车辆须提供车辆行驶证及车辆租赁合同复印件加盖投标人公章。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场地情况</w:t>
            </w:r>
          </w:p>
        </w:tc>
        <w:tc>
          <w:tcPr>
            <w:tcW w:type="dxa" w:w="2492"/>
          </w:tcPr>
          <w:p>
            <w:pPr>
              <w:pStyle w:val="null3"/>
              <w:jc w:val="both"/>
            </w:pPr>
            <w:r>
              <w:rPr>
                <w:rFonts w:ascii="仿宋_GB2312" w:hAnsi="仿宋_GB2312" w:cs="仿宋_GB2312" w:eastAsia="仿宋_GB2312"/>
              </w:rPr>
              <w:t>1、场地面积：总面积在满足50亩的项目基础要求上，每增加1亩，得1分，最高可得10分：若提供场地面积承诺函的，每增加1亩，得0.5分，最高可得5分，未提供不得分，本项满分10分。 注：提供产权证明扫描件加盖公章（如非自有，需提供租赁合同或场地使用权证明材料，租赁期必须满足服务期要求，合同中租赁期不足的需提供延期承诺函能够完全满足服务期限的要求，不提供的不得分；或者提供场地面积承诺函，场地面积承诺函须明确面积、落实场地期限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场地情况</w:t>
            </w:r>
          </w:p>
        </w:tc>
        <w:tc>
          <w:tcPr>
            <w:tcW w:type="dxa" w:w="2492"/>
          </w:tcPr>
          <w:p>
            <w:pPr>
              <w:pStyle w:val="null3"/>
              <w:jc w:val="both"/>
            </w:pPr>
            <w:r>
              <w:rPr>
                <w:rFonts w:ascii="仿宋_GB2312" w:hAnsi="仿宋_GB2312" w:cs="仿宋_GB2312" w:eastAsia="仿宋_GB2312"/>
              </w:rPr>
              <w:t>2、场地位置，本项满分5分。 2.1投标人分别在四个辖区内至少设有一个停车场的，得3分； 2.2投标人分别在海棠区和崖州区两个辖区内至少设有一个停车场的，得2分； 注：提供产权证明扫描件或租赁合同扫描件或场地使用权证明材料加盖公章；提供租赁合同或场地使用权证明材料，租赁期必须满足服务期要求，合同中租赁期不足的需提供延期承诺函能够完全满足服务期限的要求，不提供的不得分；或者提供场地位置承诺函，场地位置承诺函须明确所在辖区、落实场地期限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场地配套设施</w:t>
            </w:r>
          </w:p>
        </w:tc>
        <w:tc>
          <w:tcPr>
            <w:tcW w:type="dxa" w:w="2492"/>
          </w:tcPr>
          <w:p>
            <w:pPr>
              <w:pStyle w:val="null3"/>
              <w:jc w:val="both"/>
            </w:pPr>
            <w:r>
              <w:rPr>
                <w:rFonts w:ascii="仿宋_GB2312" w:hAnsi="仿宋_GB2312" w:cs="仿宋_GB2312" w:eastAsia="仿宋_GB2312"/>
              </w:rPr>
              <w:t>①消防设施：停车场配有15-20个（不含15个）灭火器的，得1分；20个及以上的灭火器得2分。 ②专门配备消防水池或消防沙箱的，得2分。 ③能提供无死角全覆盖照明灯的，得1分。 提供场地配套设施承诺函且满足上述条件的，分别最高得1分、1分、0.5分，未提供不得分。 注：提供相关证明材料，包括现场照片和购买合同等复印件加盖公章，不提供不得分。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本项目拟配置具有A1或A2或B2驾驶证司机，每提供1名得0.5分，最多得25分。 备注：提供人员身份证、驾驶证复印件及在本公司缴纳2025年1月至今任意连续三个月的社保证明材料，并加盖投标人公章。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2022年1月1日至今（以合同签订时间或中标通知书时间为准），供应商承担的类似项目业绩，每提供一项得2分，满分2分。 注：以提供合同或中标通知书复印件并加盖公章作为得分依据，不提供不得分。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道路交通违法车辆拖曳及保管服务（2025-2028）</w:t>
      </w:r>
    </w:p>
    <w:p>
      <w:pPr>
        <w:pStyle w:val="null3"/>
        <w:jc w:val="left"/>
      </w:pPr>
      <w:r>
        <w:rPr>
          <w:rFonts w:ascii="仿宋_GB2312" w:hAnsi="仿宋_GB2312" w:cs="仿宋_GB2312" w:eastAsia="仿宋_GB2312"/>
        </w:rPr>
        <w:t>采购包：</w:t>
      </w:r>
      <w:r>
        <w:rPr>
          <w:rFonts w:ascii="仿宋_GB2312" w:hAnsi="仿宋_GB2312" w:cs="仿宋_GB2312" w:eastAsia="仿宋_GB2312"/>
        </w:rPr>
        <w:t>道路交通违法车辆拖曳及保管服务项目（2025-2028）</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道路交通违法车辆拖曳及保管服务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道路交通违法车辆拖曳及保管服务</w:t>
            </w:r>
          </w:p>
        </w:tc>
        <w:tc>
          <w:tcPr>
            <w:tcW w:type="dxa" w:w="755"/>
          </w:tcPr>
          <w:p>
            <w:pPr>
              <w:pStyle w:val="null3"/>
              <w:jc w:val="left"/>
            </w:pPr>
            <w:r>
              <w:rPr>
                <w:rFonts w:ascii="仿宋_GB2312" w:hAnsi="仿宋_GB2312" w:cs="仿宋_GB2312" w:eastAsia="仿宋_GB2312"/>
              </w:rPr>
              <w:t xml:space="preserve"> 道路交通违法车辆拖曳及保管服务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道路交通违法车辆拖曳及保管服务（2025-2028）</w:t>
      </w:r>
    </w:p>
    <w:p>
      <w:pPr>
        <w:pStyle w:val="null3"/>
        <w:jc w:val="left"/>
      </w:pPr>
      <w:r>
        <w:rPr>
          <w:rFonts w:ascii="仿宋_GB2312" w:hAnsi="仿宋_GB2312" w:cs="仿宋_GB2312" w:eastAsia="仿宋_GB2312"/>
        </w:rPr>
        <w:t>采购包：</w:t>
      </w:r>
      <w:r>
        <w:rPr>
          <w:rFonts w:ascii="仿宋_GB2312" w:hAnsi="仿宋_GB2312" w:cs="仿宋_GB2312" w:eastAsia="仿宋_GB2312"/>
        </w:rPr>
        <w:t>道路交通违法车辆拖曳及保管服务项目（2025-2028）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道路交通违法车辆拖曳及保管服务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