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F7D3C">
      <w:pPr>
        <w:spacing w:line="360" w:lineRule="auto"/>
        <w:jc w:val="center"/>
        <w:outlineLvl w:val="1"/>
        <w:rPr>
          <w:rFonts w:hint="eastAsia" w:ascii="宋体" w:hAnsi="宋体" w:eastAsia="宋体" w:cs="宋体"/>
          <w:b/>
          <w:color w:val="auto"/>
          <w:spacing w:val="0"/>
          <w:sz w:val="24"/>
          <w:szCs w:val="24"/>
          <w:lang w:eastAsia="zh-CN"/>
        </w:rPr>
      </w:pPr>
      <w:bookmarkStart w:id="0" w:name="_Toc1135952407"/>
      <w:r>
        <w:rPr>
          <w:rFonts w:hint="eastAsia" w:ascii="宋体" w:hAnsi="宋体" w:eastAsia="宋体" w:cs="宋体"/>
          <w:b/>
          <w:color w:val="auto"/>
          <w:spacing w:val="0"/>
          <w:sz w:val="24"/>
          <w:szCs w:val="24"/>
          <w:lang w:eastAsia="zh-CN"/>
        </w:rPr>
        <w:t>本</w:t>
      </w:r>
      <w:r>
        <w:rPr>
          <w:rFonts w:hint="eastAsia" w:ascii="宋体" w:hAnsi="宋体" w:eastAsia="宋体" w:cs="宋体"/>
          <w:b/>
          <w:color w:val="auto"/>
          <w:spacing w:val="0"/>
          <w:sz w:val="24"/>
          <w:szCs w:val="24"/>
          <w:lang w:val="en-US" w:eastAsia="zh-CN"/>
        </w:rPr>
        <w:t>合同</w:t>
      </w:r>
      <w:r>
        <w:rPr>
          <w:rFonts w:hint="eastAsia" w:ascii="宋体" w:hAnsi="宋体" w:eastAsia="宋体" w:cs="宋体"/>
          <w:b/>
          <w:color w:val="auto"/>
          <w:spacing w:val="0"/>
          <w:sz w:val="24"/>
          <w:szCs w:val="24"/>
          <w:lang w:eastAsia="zh-CN"/>
        </w:rPr>
        <w:t>内容（样式）仅供投标参考</w:t>
      </w:r>
      <w:bookmarkEnd w:id="0"/>
    </w:p>
    <w:p w14:paraId="0191746A">
      <w:pPr>
        <w:spacing w:line="360" w:lineRule="auto"/>
        <w:jc w:val="center"/>
        <w:rPr>
          <w:rFonts w:hint="eastAsia" w:ascii="宋体" w:hAnsi="宋体" w:eastAsia="宋体" w:cs="宋体"/>
          <w:b/>
          <w:color w:val="auto"/>
          <w:spacing w:val="0"/>
          <w:sz w:val="24"/>
          <w:szCs w:val="24"/>
          <w:lang w:eastAsia="zh-CN"/>
        </w:rPr>
      </w:pPr>
      <w:r>
        <w:rPr>
          <w:rFonts w:hint="eastAsia" w:ascii="宋体" w:hAnsi="宋体" w:eastAsia="宋体" w:cs="宋体"/>
          <w:b/>
          <w:color w:val="auto"/>
          <w:spacing w:val="0"/>
          <w:sz w:val="24"/>
          <w:szCs w:val="24"/>
          <w:lang w:eastAsia="zh-CN"/>
        </w:rPr>
        <w:t>具体合同内容以双方实际签订的合同为准</w:t>
      </w:r>
    </w:p>
    <w:p w14:paraId="7EC7176E">
      <w:pPr>
        <w:bidi w:val="0"/>
        <w:rPr>
          <w:rFonts w:hint="eastAsia"/>
          <w:color w:val="auto"/>
        </w:rPr>
      </w:pPr>
    </w:p>
    <w:p w14:paraId="371DA3AE">
      <w:pPr>
        <w:bidi w:val="0"/>
        <w:rPr>
          <w:rFonts w:hint="eastAsia"/>
          <w:color w:val="auto"/>
        </w:rPr>
      </w:pPr>
    </w:p>
    <w:p w14:paraId="212A0316">
      <w:pPr>
        <w:bidi w:val="0"/>
        <w:rPr>
          <w:rFonts w:hint="eastAsia"/>
          <w:color w:val="auto"/>
        </w:rPr>
      </w:pPr>
    </w:p>
    <w:p w14:paraId="13217495">
      <w:pPr>
        <w:pStyle w:val="3"/>
        <w:bidi w:val="0"/>
        <w:jc w:val="center"/>
        <w:rPr>
          <w:rFonts w:hint="eastAsia" w:ascii="仿宋" w:hAnsi="仿宋" w:eastAsia="仿宋" w:cs="仿宋"/>
          <w:color w:val="auto"/>
          <w:sz w:val="56"/>
          <w:szCs w:val="36"/>
        </w:rPr>
      </w:pPr>
      <w:r>
        <w:rPr>
          <w:rFonts w:hint="eastAsia" w:ascii="仿宋" w:hAnsi="仿宋" w:eastAsia="仿宋" w:cs="仿宋"/>
          <w:color w:val="auto"/>
          <w:sz w:val="56"/>
          <w:szCs w:val="36"/>
        </w:rPr>
        <w:t>道路交通违法车辆拖曳及保管服务项目（2025-2028）</w:t>
      </w:r>
    </w:p>
    <w:p w14:paraId="5662A65D">
      <w:pPr>
        <w:rPr>
          <w:rFonts w:hint="eastAsia" w:ascii="仿宋" w:hAnsi="仿宋" w:eastAsia="仿宋" w:cs="仿宋"/>
          <w:color w:val="auto"/>
        </w:rPr>
      </w:pPr>
    </w:p>
    <w:p w14:paraId="2D472DB3">
      <w:pPr>
        <w:rPr>
          <w:rFonts w:hint="eastAsia" w:ascii="仿宋" w:hAnsi="仿宋" w:eastAsia="仿宋" w:cs="仿宋"/>
          <w:color w:val="auto"/>
        </w:rPr>
      </w:pPr>
    </w:p>
    <w:p w14:paraId="58BDF68F">
      <w:pPr>
        <w:rPr>
          <w:rFonts w:hint="eastAsia" w:ascii="仿宋" w:hAnsi="仿宋" w:eastAsia="仿宋" w:cs="仿宋"/>
          <w:color w:val="auto"/>
        </w:rPr>
      </w:pPr>
    </w:p>
    <w:p w14:paraId="34B8BB14">
      <w:pPr>
        <w:rPr>
          <w:rFonts w:hint="eastAsia" w:ascii="仿宋" w:hAnsi="仿宋" w:eastAsia="仿宋" w:cs="仿宋"/>
          <w:color w:val="auto"/>
        </w:rPr>
      </w:pPr>
    </w:p>
    <w:p w14:paraId="15CE36C8">
      <w:pPr>
        <w:rPr>
          <w:rFonts w:hint="eastAsia" w:ascii="仿宋" w:hAnsi="仿宋" w:eastAsia="仿宋" w:cs="仿宋"/>
          <w:color w:val="auto"/>
        </w:rPr>
      </w:pPr>
    </w:p>
    <w:p w14:paraId="201759D3">
      <w:pPr>
        <w:jc w:val="center"/>
        <w:rPr>
          <w:rFonts w:hint="eastAsia" w:ascii="仿宋" w:hAnsi="仿宋" w:eastAsia="仿宋" w:cs="仿宋"/>
          <w:b/>
          <w:bCs/>
          <w:color w:val="auto"/>
          <w:spacing w:val="91"/>
          <w:sz w:val="52"/>
          <w:szCs w:val="60"/>
        </w:rPr>
      </w:pPr>
      <w:r>
        <w:rPr>
          <w:rFonts w:hint="eastAsia" w:ascii="仿宋" w:hAnsi="仿宋" w:eastAsia="仿宋" w:cs="仿宋"/>
          <w:b/>
          <w:bCs/>
          <w:color w:val="auto"/>
          <w:spacing w:val="91"/>
          <w:sz w:val="52"/>
          <w:szCs w:val="60"/>
        </w:rPr>
        <w:t>政府采购合同</w:t>
      </w:r>
    </w:p>
    <w:p w14:paraId="7584B911">
      <w:pPr>
        <w:jc w:val="center"/>
        <w:rPr>
          <w:rFonts w:hint="eastAsia" w:ascii="仿宋" w:hAnsi="仿宋" w:eastAsia="仿宋" w:cs="仿宋"/>
          <w:b/>
          <w:bCs/>
          <w:color w:val="auto"/>
          <w:sz w:val="32"/>
          <w:szCs w:val="40"/>
        </w:rPr>
      </w:pPr>
      <w:r>
        <w:rPr>
          <w:rFonts w:hint="eastAsia" w:ascii="仿宋" w:hAnsi="仿宋" w:eastAsia="仿宋" w:cs="仿宋"/>
          <w:b/>
          <w:bCs/>
          <w:color w:val="auto"/>
          <w:sz w:val="32"/>
          <w:szCs w:val="40"/>
        </w:rPr>
        <w:t>（正式合同以中标后双方协商一致后签订为准）</w:t>
      </w:r>
    </w:p>
    <w:p w14:paraId="71A3B893">
      <w:pPr>
        <w:jc w:val="center"/>
        <w:rPr>
          <w:rFonts w:hint="eastAsia" w:ascii="仿宋" w:hAnsi="仿宋" w:eastAsia="仿宋" w:cs="仿宋"/>
          <w:color w:val="auto"/>
          <w:sz w:val="44"/>
          <w:szCs w:val="52"/>
        </w:rPr>
      </w:pPr>
      <w:r>
        <w:rPr>
          <w:rFonts w:hint="eastAsia" w:ascii="仿宋" w:hAnsi="仿宋" w:eastAsia="仿宋" w:cs="仿宋"/>
          <w:color w:val="auto"/>
          <w:sz w:val="44"/>
          <w:szCs w:val="52"/>
        </w:rPr>
        <w:t>（202</w:t>
      </w:r>
      <w:r>
        <w:rPr>
          <w:rFonts w:hint="eastAsia" w:ascii="仿宋" w:hAnsi="仿宋" w:eastAsia="仿宋" w:cs="仿宋"/>
          <w:color w:val="auto"/>
          <w:sz w:val="44"/>
          <w:szCs w:val="52"/>
          <w:lang w:val="en-US" w:eastAsia="zh-CN"/>
        </w:rPr>
        <w:t>5</w:t>
      </w:r>
      <w:r>
        <w:rPr>
          <w:rFonts w:hint="eastAsia" w:ascii="仿宋" w:hAnsi="仿宋" w:eastAsia="仿宋" w:cs="仿宋"/>
          <w:color w:val="auto"/>
          <w:sz w:val="44"/>
          <w:szCs w:val="52"/>
        </w:rPr>
        <w:t>年月）</w:t>
      </w:r>
    </w:p>
    <w:p w14:paraId="79B8956B">
      <w:pPr>
        <w:rPr>
          <w:rFonts w:hint="eastAsia" w:ascii="仿宋" w:hAnsi="仿宋" w:eastAsia="仿宋" w:cs="仿宋"/>
          <w:color w:val="auto"/>
        </w:rPr>
      </w:pPr>
    </w:p>
    <w:p w14:paraId="09540103">
      <w:pPr>
        <w:rPr>
          <w:rFonts w:hint="eastAsia" w:ascii="仿宋" w:hAnsi="仿宋" w:eastAsia="仿宋" w:cs="仿宋"/>
          <w:color w:val="auto"/>
        </w:rPr>
      </w:pPr>
    </w:p>
    <w:p w14:paraId="6401E190">
      <w:pPr>
        <w:rPr>
          <w:rFonts w:hint="eastAsia" w:ascii="仿宋" w:hAnsi="仿宋" w:eastAsia="仿宋" w:cs="仿宋"/>
          <w:color w:val="auto"/>
        </w:rPr>
      </w:pPr>
    </w:p>
    <w:p w14:paraId="1C1145FB">
      <w:pPr>
        <w:rPr>
          <w:rFonts w:hint="eastAsia" w:ascii="仿宋" w:hAnsi="仿宋" w:eastAsia="仿宋" w:cs="仿宋"/>
          <w:color w:val="auto"/>
        </w:rPr>
      </w:pPr>
    </w:p>
    <w:p w14:paraId="3321807A">
      <w:pPr>
        <w:rPr>
          <w:rFonts w:hint="eastAsia" w:ascii="仿宋" w:hAnsi="仿宋" w:eastAsia="仿宋" w:cs="仿宋"/>
          <w:color w:val="auto"/>
        </w:rPr>
      </w:pPr>
    </w:p>
    <w:p w14:paraId="6FB8C36F">
      <w:pPr>
        <w:rPr>
          <w:rFonts w:hint="eastAsia" w:ascii="仿宋" w:hAnsi="仿宋" w:eastAsia="仿宋" w:cs="仿宋"/>
          <w:color w:val="auto"/>
        </w:rPr>
      </w:pPr>
    </w:p>
    <w:p w14:paraId="05E97C8D">
      <w:pPr>
        <w:rPr>
          <w:rFonts w:hint="eastAsia" w:ascii="仿宋" w:hAnsi="仿宋" w:eastAsia="仿宋" w:cs="仿宋"/>
          <w:color w:val="auto"/>
        </w:rPr>
      </w:pPr>
    </w:p>
    <w:p w14:paraId="0D15EE09">
      <w:pPr>
        <w:rPr>
          <w:rFonts w:hint="eastAsia" w:ascii="仿宋" w:hAnsi="仿宋" w:eastAsia="仿宋" w:cs="仿宋"/>
          <w:color w:val="auto"/>
        </w:rPr>
      </w:pPr>
    </w:p>
    <w:p w14:paraId="36FD7F86">
      <w:pPr>
        <w:rPr>
          <w:rFonts w:hint="eastAsia" w:ascii="仿宋" w:hAnsi="仿宋" w:eastAsia="仿宋" w:cs="仿宋"/>
          <w:color w:val="auto"/>
        </w:rPr>
      </w:pPr>
    </w:p>
    <w:p w14:paraId="5A64D0D1">
      <w:pPr>
        <w:spacing w:line="360" w:lineRule="auto"/>
        <w:ind w:left="0" w:leftChars="0" w:firstLine="417" w:firstLineChars="87"/>
        <w:rPr>
          <w:rFonts w:hint="eastAsia" w:ascii="仿宋" w:hAnsi="仿宋" w:eastAsia="仿宋" w:cs="仿宋"/>
          <w:color w:val="auto"/>
          <w:sz w:val="48"/>
          <w:szCs w:val="56"/>
        </w:rPr>
      </w:pPr>
      <w:r>
        <w:rPr>
          <w:rFonts w:hint="eastAsia" w:ascii="仿宋" w:hAnsi="仿宋" w:eastAsia="仿宋" w:cs="仿宋"/>
          <w:color w:val="auto"/>
          <w:sz w:val="48"/>
          <w:szCs w:val="56"/>
        </w:rPr>
        <w:t>甲方：</w:t>
      </w:r>
    </w:p>
    <w:p w14:paraId="242ED079">
      <w:pPr>
        <w:spacing w:line="360" w:lineRule="auto"/>
        <w:ind w:left="0" w:leftChars="0" w:firstLine="417" w:firstLineChars="87"/>
        <w:rPr>
          <w:rFonts w:hint="eastAsia" w:ascii="仿宋" w:hAnsi="仿宋" w:eastAsia="仿宋" w:cs="仿宋"/>
          <w:color w:val="auto"/>
          <w:sz w:val="48"/>
          <w:szCs w:val="56"/>
        </w:rPr>
      </w:pPr>
      <w:r>
        <w:rPr>
          <w:rFonts w:hint="eastAsia" w:ascii="仿宋" w:hAnsi="仿宋" w:eastAsia="仿宋" w:cs="仿宋"/>
          <w:color w:val="auto"/>
          <w:sz w:val="48"/>
          <w:szCs w:val="56"/>
        </w:rPr>
        <w:t>乙方：</w:t>
      </w:r>
    </w:p>
    <w:p w14:paraId="6C4A785D">
      <w:pPr>
        <w:rPr>
          <w:rFonts w:hint="eastAsia" w:ascii="仿宋" w:hAnsi="仿宋" w:eastAsia="仿宋" w:cs="仿宋"/>
          <w:color w:val="auto"/>
        </w:rPr>
      </w:pPr>
    </w:p>
    <w:p w14:paraId="090E3A40">
      <w:pPr>
        <w:rPr>
          <w:rFonts w:hint="eastAsia" w:ascii="仿宋" w:hAnsi="仿宋" w:eastAsia="仿宋" w:cs="仿宋"/>
          <w:color w:val="auto"/>
        </w:rPr>
      </w:pPr>
    </w:p>
    <w:p w14:paraId="6053F53A">
      <w:pPr>
        <w:rPr>
          <w:rFonts w:hint="eastAsia" w:ascii="仿宋" w:hAnsi="仿宋" w:eastAsia="仿宋" w:cs="仿宋"/>
          <w:color w:val="auto"/>
        </w:rPr>
      </w:pPr>
    </w:p>
    <w:p w14:paraId="510BFF59">
      <w:pPr>
        <w:jc w:val="center"/>
        <w:rPr>
          <w:rFonts w:hint="eastAsia" w:ascii="仿宋" w:hAnsi="仿宋" w:eastAsia="仿宋" w:cs="仿宋"/>
          <w:b/>
          <w:bCs/>
          <w:color w:val="auto"/>
          <w:sz w:val="40"/>
          <w:szCs w:val="48"/>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6C66A66C">
      <w:pPr>
        <w:jc w:val="center"/>
        <w:rPr>
          <w:rFonts w:hint="eastAsia" w:ascii="仿宋" w:hAnsi="仿宋" w:eastAsia="仿宋" w:cs="仿宋"/>
          <w:b/>
          <w:bCs/>
          <w:color w:val="auto"/>
          <w:sz w:val="40"/>
          <w:szCs w:val="48"/>
        </w:rPr>
      </w:pPr>
      <w:r>
        <w:rPr>
          <w:rFonts w:hint="eastAsia" w:ascii="仿宋" w:hAnsi="仿宋" w:eastAsia="仿宋" w:cs="仿宋"/>
          <w:b/>
          <w:bCs/>
          <w:color w:val="auto"/>
          <w:sz w:val="40"/>
          <w:szCs w:val="48"/>
        </w:rPr>
        <w:t>政府采购合同书</w:t>
      </w:r>
    </w:p>
    <w:p w14:paraId="35DE10E2">
      <w:pPr>
        <w:rPr>
          <w:rFonts w:hint="eastAsia" w:ascii="仿宋" w:hAnsi="仿宋" w:eastAsia="仿宋" w:cs="仿宋"/>
          <w:color w:val="auto"/>
        </w:rPr>
      </w:pPr>
    </w:p>
    <w:p w14:paraId="30FC8685">
      <w:pPr>
        <w:rPr>
          <w:rFonts w:hint="eastAsia" w:ascii="仿宋" w:hAnsi="仿宋" w:eastAsia="仿宋" w:cs="仿宋"/>
          <w:color w:val="auto"/>
        </w:rPr>
      </w:pPr>
    </w:p>
    <w:p w14:paraId="1661FA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甲方：三亚市公安局（以下简称甲方）</w:t>
      </w:r>
    </w:p>
    <w:p w14:paraId="1638F7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乙方：中标单位（以下简称乙方）</w:t>
      </w:r>
    </w:p>
    <w:p w14:paraId="1B39E7C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甲乙双方根据《中华人民共和国民法典》及其他相关法律法规之规定，202</w:t>
      </w:r>
      <w:r>
        <w:rPr>
          <w:rFonts w:hint="eastAsia" w:ascii="仿宋" w:hAnsi="仿宋" w:eastAsia="仿宋" w:cs="仿宋"/>
          <w:color w:val="auto"/>
          <w:sz w:val="28"/>
          <w:szCs w:val="36"/>
          <w:lang w:val="en-US" w:eastAsia="zh-CN"/>
        </w:rPr>
        <w:t>5</w:t>
      </w:r>
      <w:r>
        <w:rPr>
          <w:rFonts w:hint="eastAsia" w:ascii="仿宋" w:hAnsi="仿宋" w:eastAsia="仿宋" w:cs="仿宋"/>
          <w:color w:val="auto"/>
          <w:sz w:val="28"/>
          <w:szCs w:val="36"/>
        </w:rPr>
        <w:t>年</w:t>
      </w:r>
      <w:r>
        <w:rPr>
          <w:rFonts w:hint="eastAsia" w:ascii="仿宋" w:hAnsi="仿宋" w:eastAsia="仿宋" w:cs="仿宋"/>
          <w:color w:val="auto"/>
          <w:sz w:val="28"/>
          <w:szCs w:val="36"/>
          <w:lang w:val="en-US" w:eastAsia="zh-CN"/>
        </w:rPr>
        <w:t xml:space="preserve"> </w:t>
      </w:r>
      <w:r>
        <w:rPr>
          <w:rFonts w:hint="eastAsia" w:ascii="仿宋" w:hAnsi="仿宋" w:eastAsia="仿宋" w:cs="仿宋"/>
          <w:color w:val="auto"/>
          <w:sz w:val="28"/>
          <w:szCs w:val="36"/>
        </w:rPr>
        <w:t>月</w:t>
      </w:r>
      <w:r>
        <w:rPr>
          <w:rFonts w:hint="eastAsia" w:ascii="仿宋" w:hAnsi="仿宋" w:eastAsia="仿宋" w:cs="仿宋"/>
          <w:color w:val="auto"/>
          <w:sz w:val="28"/>
          <w:szCs w:val="36"/>
          <w:lang w:val="en-US" w:eastAsia="zh-CN"/>
        </w:rPr>
        <w:t xml:space="preserve"> </w:t>
      </w:r>
      <w:r>
        <w:rPr>
          <w:rFonts w:hint="eastAsia" w:ascii="仿宋" w:hAnsi="仿宋" w:eastAsia="仿宋" w:cs="仿宋"/>
          <w:color w:val="auto"/>
          <w:sz w:val="28"/>
          <w:szCs w:val="36"/>
        </w:rPr>
        <w:t>日就道路交通违法车辆拖曳及保管服务项目（2025-2028）</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项目编号：HN</w:t>
      </w:r>
      <w:r>
        <w:rPr>
          <w:rFonts w:hint="eastAsia" w:ascii="仿宋" w:hAnsi="仿宋" w:eastAsia="仿宋" w:cs="仿宋"/>
          <w:color w:val="auto"/>
          <w:sz w:val="28"/>
          <w:szCs w:val="36"/>
          <w:lang w:val="en-US" w:eastAsia="zh-CN"/>
        </w:rPr>
        <w:t>PC</w:t>
      </w:r>
      <w:r>
        <w:rPr>
          <w:rFonts w:hint="eastAsia" w:ascii="仿宋" w:hAnsi="仿宋" w:eastAsia="仿宋" w:cs="仿宋"/>
          <w:color w:val="auto"/>
          <w:sz w:val="28"/>
          <w:szCs w:val="36"/>
        </w:rPr>
        <w:t>202</w:t>
      </w:r>
      <w:r>
        <w:rPr>
          <w:rFonts w:hint="eastAsia" w:ascii="仿宋" w:hAnsi="仿宋" w:eastAsia="仿宋" w:cs="仿宋"/>
          <w:color w:val="auto"/>
          <w:sz w:val="28"/>
          <w:szCs w:val="36"/>
          <w:lang w:val="en-US" w:eastAsia="zh-CN"/>
        </w:rPr>
        <w:t>5</w:t>
      </w:r>
      <w:r>
        <w:rPr>
          <w:rFonts w:hint="eastAsia" w:ascii="仿宋" w:hAnsi="仿宋" w:eastAsia="仿宋" w:cs="仿宋"/>
          <w:color w:val="auto"/>
          <w:sz w:val="28"/>
          <w:szCs w:val="36"/>
        </w:rPr>
        <w:t>-0</w:t>
      </w:r>
      <w:r>
        <w:rPr>
          <w:rFonts w:hint="eastAsia" w:ascii="仿宋" w:hAnsi="仿宋" w:eastAsia="仿宋" w:cs="仿宋"/>
          <w:color w:val="auto"/>
          <w:sz w:val="28"/>
          <w:szCs w:val="36"/>
          <w:lang w:val="en-US" w:eastAsia="zh-CN"/>
        </w:rPr>
        <w:t>11）</w:t>
      </w:r>
      <w:r>
        <w:rPr>
          <w:rFonts w:hint="eastAsia" w:ascii="仿宋" w:hAnsi="仿宋" w:eastAsia="仿宋" w:cs="仿宋"/>
          <w:color w:val="auto"/>
          <w:sz w:val="28"/>
          <w:szCs w:val="36"/>
        </w:rPr>
        <w:t>协商一致</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签订本合同。</w:t>
      </w:r>
    </w:p>
    <w:p w14:paraId="3DBB14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一、乙方提供服务内容</w:t>
      </w:r>
    </w:p>
    <w:p w14:paraId="0B2013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（一）违法暂扣车辆服务设备</w:t>
      </w:r>
    </w:p>
    <w:p w14:paraId="1B885F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乙方提供平板作业车（可实现后面拖车功能）</w:t>
      </w:r>
      <w:r>
        <w:rPr>
          <w:rFonts w:hint="eastAsia" w:ascii="仿宋" w:hAnsi="仿宋" w:eastAsia="仿宋" w:cs="仿宋"/>
          <w:color w:val="auto"/>
          <w:sz w:val="28"/>
          <w:szCs w:val="36"/>
          <w:lang w:val="en-US" w:eastAsia="zh-CN"/>
        </w:rPr>
        <w:t>4</w:t>
      </w:r>
      <w:r>
        <w:rPr>
          <w:rFonts w:hint="eastAsia" w:ascii="仿宋" w:hAnsi="仿宋" w:eastAsia="仿宋" w:cs="仿宋"/>
          <w:color w:val="auto"/>
          <w:sz w:val="28"/>
          <w:szCs w:val="36"/>
        </w:rPr>
        <w:t>0辆（含）以上，其中33吨</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含</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以上一拖一清障车1辆（含）以上，一拖二清障车</w:t>
      </w:r>
      <w:r>
        <w:rPr>
          <w:rFonts w:hint="eastAsia" w:ascii="仿宋" w:hAnsi="仿宋" w:eastAsia="仿宋" w:cs="仿宋"/>
          <w:color w:val="auto"/>
          <w:sz w:val="28"/>
          <w:szCs w:val="36"/>
          <w:lang w:val="en-US" w:eastAsia="zh-CN"/>
        </w:rPr>
        <w:t>30</w:t>
      </w:r>
      <w:r>
        <w:rPr>
          <w:rFonts w:hint="eastAsia" w:ascii="仿宋" w:hAnsi="仿宋" w:eastAsia="仿宋" w:cs="仿宋"/>
          <w:color w:val="auto"/>
          <w:sz w:val="28"/>
          <w:szCs w:val="36"/>
        </w:rPr>
        <w:t>辆（含）以上。（具体依据中标单位投标文件响应为准）</w:t>
      </w:r>
    </w:p>
    <w:p w14:paraId="3CB32B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（二）提供场地保管服务</w:t>
      </w:r>
    </w:p>
    <w:p w14:paraId="378DA4D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提供的停车场总面积50亩（含）以上，并确保在合同期内所有的交通违法、涉案车辆均有场地停放，能确保大型车辆进出。提供场地的租赁合同复印件或产权证明等材料（证明材料须在有效期内且有体现场地面积，</w:t>
      </w:r>
      <w:r>
        <w:rPr>
          <w:rFonts w:hint="eastAsia" w:ascii="仿宋" w:hAnsi="仿宋" w:eastAsia="仿宋" w:cs="仿宋"/>
          <w:color w:val="auto"/>
          <w:sz w:val="28"/>
          <w:szCs w:val="36"/>
          <w:lang w:val="en-US" w:eastAsia="zh-CN"/>
        </w:rPr>
        <w:t>有效期必须满足服务期要求，证明材料中有效期不足的需提供延期承诺函能够完全满足服务期限的要求）</w:t>
      </w:r>
      <w:r>
        <w:rPr>
          <w:rFonts w:hint="eastAsia" w:ascii="仿宋" w:hAnsi="仿宋" w:eastAsia="仿宋" w:cs="仿宋"/>
          <w:color w:val="auto"/>
          <w:sz w:val="28"/>
          <w:szCs w:val="36"/>
        </w:rPr>
        <w:t>。（具体依据中标单位投标文件响应为准）</w:t>
      </w:r>
    </w:p>
    <w:p w14:paraId="14A5971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提供车辆保管服务的场地具备围墙防护并配套设置监控安防设施，安防要达到全覆盖无死角，并按要求保存安防图像，场内主道路要硬化，场地地面结实、平整；所提供的场地上不存在非停车场配套使用性质的建筑物；场地内配备齐全的消防器材且符合消防要求，同时配备防盗监控系统。场地内要有齐全办公场所，确保民警办公用房面积不小于30平方米，方便驻场民警办理业务。</w:t>
      </w:r>
    </w:p>
    <w:p w14:paraId="1DF6A30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3、提供车辆保管服务的场地配备消防水泵，按照场地设置的要求来配备相应数量的室外消火栓以及供水管网。（提供相关证明材料或承诺中标后完善，承诺函格式自拟。）</w:t>
      </w:r>
    </w:p>
    <w:p w14:paraId="3CAA48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（三）人员配备方面</w:t>
      </w:r>
    </w:p>
    <w:p w14:paraId="015A19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例如：乙方提供一支稳定、有能力胜任相应管理及施救、查扣车辆工作的服务队伍，着装规范统一，人员</w:t>
      </w:r>
      <w:r>
        <w:rPr>
          <w:rFonts w:hint="eastAsia" w:ascii="仿宋" w:hAnsi="仿宋" w:eastAsia="仿宋" w:cs="仿宋"/>
          <w:color w:val="auto"/>
          <w:sz w:val="28"/>
          <w:szCs w:val="36"/>
          <w:lang w:val="en-US" w:eastAsia="zh-CN"/>
        </w:rPr>
        <w:t>60</w:t>
      </w:r>
      <w:r>
        <w:rPr>
          <w:rFonts w:hint="eastAsia" w:ascii="仿宋" w:hAnsi="仿宋" w:eastAsia="仿宋" w:cs="仿宋"/>
          <w:color w:val="auto"/>
          <w:sz w:val="28"/>
          <w:szCs w:val="36"/>
        </w:rPr>
        <w:t>人（需具备基本了解掌握交通施救、查扣车辆基本原理），其中外出施救、查扣车辆队伍不少于</w:t>
      </w:r>
      <w:r>
        <w:rPr>
          <w:rFonts w:hint="eastAsia" w:ascii="仿宋" w:hAnsi="仿宋" w:eastAsia="仿宋" w:cs="仿宋"/>
          <w:color w:val="auto"/>
          <w:sz w:val="28"/>
          <w:szCs w:val="36"/>
          <w:lang w:val="en-US" w:eastAsia="zh-CN"/>
        </w:rPr>
        <w:t>6</w:t>
      </w:r>
      <w:r>
        <w:rPr>
          <w:rFonts w:hint="eastAsia" w:ascii="仿宋" w:hAnsi="仿宋" w:eastAsia="仿宋" w:cs="仿宋"/>
          <w:color w:val="auto"/>
          <w:sz w:val="28"/>
          <w:szCs w:val="36"/>
        </w:rPr>
        <w:t>组（每组配备不少于</w:t>
      </w:r>
      <w:r>
        <w:rPr>
          <w:rFonts w:hint="eastAsia" w:ascii="仿宋" w:hAnsi="仿宋" w:eastAsia="仿宋" w:cs="仿宋"/>
          <w:color w:val="auto"/>
          <w:sz w:val="28"/>
          <w:szCs w:val="36"/>
          <w:lang w:val="en-US" w:eastAsia="zh-CN"/>
        </w:rPr>
        <w:t>2</w:t>
      </w:r>
      <w:r>
        <w:rPr>
          <w:rFonts w:hint="eastAsia" w:ascii="仿宋" w:hAnsi="仿宋" w:eastAsia="仿宋" w:cs="仿宋"/>
          <w:color w:val="auto"/>
          <w:sz w:val="28"/>
          <w:szCs w:val="36"/>
        </w:rPr>
        <w:t>名，包含驾驶员），人员具体要求如下：管理人员</w:t>
      </w:r>
      <w:r>
        <w:rPr>
          <w:rFonts w:hint="eastAsia" w:ascii="仿宋" w:hAnsi="仿宋" w:eastAsia="仿宋" w:cs="仿宋"/>
          <w:color w:val="auto"/>
          <w:sz w:val="28"/>
          <w:szCs w:val="36"/>
          <w:lang w:val="en-US" w:eastAsia="zh-CN"/>
        </w:rPr>
        <w:t>4</w:t>
      </w:r>
      <w:r>
        <w:rPr>
          <w:rFonts w:hint="eastAsia" w:ascii="仿宋" w:hAnsi="仿宋" w:eastAsia="仿宋" w:cs="仿宋"/>
          <w:color w:val="auto"/>
          <w:sz w:val="28"/>
          <w:szCs w:val="36"/>
        </w:rPr>
        <w:t>名负责停车场日常管理、值班及人员调度等；驾驶员每辆配备1名符合准驾车型车辆的驾驶证兼职抢修车辆；计算机技术人员2名负责扣</w:t>
      </w:r>
      <w:r>
        <w:rPr>
          <w:rFonts w:hint="eastAsia" w:ascii="仿宋" w:hAnsi="仿宋" w:eastAsia="仿宋" w:cs="仿宋"/>
          <w:color w:val="auto"/>
          <w:sz w:val="28"/>
          <w:szCs w:val="36"/>
          <w:lang w:val="en-US" w:eastAsia="zh-CN"/>
        </w:rPr>
        <w:t>留车辆</w:t>
      </w:r>
      <w:r>
        <w:rPr>
          <w:rFonts w:hint="eastAsia" w:ascii="仿宋" w:hAnsi="仿宋" w:eastAsia="仿宋" w:cs="仿宋"/>
          <w:color w:val="auto"/>
          <w:sz w:val="28"/>
          <w:szCs w:val="36"/>
        </w:rPr>
        <w:t>数据的录入；安保人员6名负责在停车场内进行24小时不间断巡逻。安保人员需持证上岗，具备相应安全防范能力。车辆调度要确保24小时有人管理，交警部门有用车需求，要保障随时出动。（具体依据中标单位投标文件响应为准）</w:t>
      </w:r>
    </w:p>
    <w:p w14:paraId="1451AC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（四）服务要求</w:t>
      </w:r>
    </w:p>
    <w:p w14:paraId="6365B0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1、乙方在签订合同后，方能正式启用停车场。</w:t>
      </w:r>
    </w:p>
    <w:p w14:paraId="743C7B7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lang w:val="en-US" w:eastAsia="zh-CN"/>
        </w:rPr>
        <w:t>2、乙方每日至少有四辆平板车随执勤民警跟班作业，作业过程中要服从现场执勤民警的调配指令。</w:t>
      </w:r>
    </w:p>
    <w:p w14:paraId="5D89C8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3、</w:t>
      </w:r>
      <w:r>
        <w:rPr>
          <w:rFonts w:hint="eastAsia" w:ascii="仿宋" w:hAnsi="仿宋" w:eastAsia="仿宋" w:cs="仿宋"/>
          <w:color w:val="auto"/>
          <w:sz w:val="28"/>
          <w:szCs w:val="36"/>
        </w:rPr>
        <w:t>在违法车辆拖曳作业和车辆保管过程中发生事故，造成人员伤亡或财物损失由乙方负责。</w:t>
      </w:r>
    </w:p>
    <w:p w14:paraId="625BF0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4</w:t>
      </w:r>
      <w:r>
        <w:rPr>
          <w:rFonts w:hint="eastAsia" w:ascii="仿宋" w:hAnsi="仿宋" w:eastAsia="仿宋" w:cs="仿宋"/>
          <w:color w:val="auto"/>
          <w:sz w:val="28"/>
          <w:szCs w:val="36"/>
        </w:rPr>
        <w:t>、乙方必须协助公安交通管理支队做好交通违法车辆的拖曳，协助做好现场保护。乙方应做好值班人员的安排并保证能够24小时全天候办理暂扣车辆进场交接和提取车辆业务。</w:t>
      </w:r>
    </w:p>
    <w:p w14:paraId="34A665B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5</w:t>
      </w:r>
      <w:r>
        <w:rPr>
          <w:rFonts w:hint="eastAsia" w:ascii="仿宋" w:hAnsi="仿宋" w:eastAsia="仿宋" w:cs="仿宋"/>
          <w:color w:val="auto"/>
          <w:sz w:val="28"/>
          <w:szCs w:val="36"/>
        </w:rPr>
        <w:t>、交通违法车辆的拖曳及车辆保管服务费用（15天内）由甲方支付；暂扣保管在停车场的车辆以及物品丢失、损坏的，由乙方负责。</w:t>
      </w:r>
    </w:p>
    <w:p w14:paraId="2380B2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6</w:t>
      </w:r>
      <w:r>
        <w:rPr>
          <w:rFonts w:hint="eastAsia" w:ascii="仿宋" w:hAnsi="仿宋" w:eastAsia="仿宋" w:cs="仿宋"/>
          <w:color w:val="auto"/>
          <w:sz w:val="28"/>
          <w:szCs w:val="36"/>
        </w:rPr>
        <w:t>、所有暂扣保管车辆及其他物品的进出场必须要按照三亚市公安局交通管理支队要求的程序交接和放行</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同时需要做好进场车辆和物品的登记和检查，乙方应每月向甲方提交相应的登记检查记录表。</w:t>
      </w:r>
    </w:p>
    <w:p w14:paraId="021686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7</w:t>
      </w:r>
      <w:r>
        <w:rPr>
          <w:rFonts w:hint="eastAsia" w:ascii="仿宋" w:hAnsi="仿宋" w:eastAsia="仿宋" w:cs="仿宋"/>
          <w:color w:val="auto"/>
          <w:sz w:val="28"/>
          <w:szCs w:val="36"/>
        </w:rPr>
        <w:t>、接受三亚市公安局交通管理支队执勤民警暂扣保管的交通违法车辆，必须在接受现场开给违法车辆拯救凭证单位存根联，并由执勤民警在拯救凭证存根联签名确认。</w:t>
      </w:r>
    </w:p>
    <w:p w14:paraId="5EC8307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8</w:t>
      </w:r>
      <w:r>
        <w:rPr>
          <w:rFonts w:hint="eastAsia" w:ascii="仿宋" w:hAnsi="仿宋" w:eastAsia="仿宋" w:cs="仿宋"/>
          <w:color w:val="auto"/>
          <w:sz w:val="28"/>
          <w:szCs w:val="36"/>
        </w:rPr>
        <w:t>、凡进出停车场的一切车辆必须予以登记，在《车辆进出登记本》上应写明查扣时间、号牌及车型，并注明发动机、车架号码及车上的物资，并填写车辆放行条及时送达公安执勤单位、车辆进场数、出场数、库存数等相关数字要准确相符，建立的车辆进出场登记</w:t>
      </w:r>
      <w:r>
        <w:rPr>
          <w:rFonts w:hint="eastAsia" w:ascii="仿宋" w:hAnsi="仿宋" w:eastAsia="仿宋" w:cs="仿宋"/>
          <w:color w:val="auto"/>
          <w:sz w:val="28"/>
          <w:szCs w:val="36"/>
          <w:lang w:eastAsia="zh-CN"/>
        </w:rPr>
        <w:t>台账</w:t>
      </w:r>
      <w:r>
        <w:rPr>
          <w:rFonts w:hint="eastAsia" w:ascii="仿宋" w:hAnsi="仿宋" w:eastAsia="仿宋" w:cs="仿宋"/>
          <w:color w:val="auto"/>
          <w:sz w:val="28"/>
          <w:szCs w:val="36"/>
        </w:rPr>
        <w:t>要妥善保管，以便公安部门备查核实。</w:t>
      </w:r>
    </w:p>
    <w:p w14:paraId="7C82FDC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9</w:t>
      </w:r>
      <w:r>
        <w:rPr>
          <w:rFonts w:hint="eastAsia" w:ascii="仿宋" w:hAnsi="仿宋" w:eastAsia="仿宋" w:cs="仿宋"/>
          <w:color w:val="auto"/>
          <w:sz w:val="28"/>
          <w:szCs w:val="36"/>
        </w:rPr>
        <w:t>、妥善保管好进入车场的一切车辆，包括车辆装载货物，严禁私拆车辆的零部件和使用扣留的车辆。停放于停车场内的车辆水浸、烧毁、失窃及拖曳过程中车辆损坏和财物损失等一切费用均由乙方负责赔偿。</w:t>
      </w:r>
    </w:p>
    <w:p w14:paraId="6A242F6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10</w:t>
      </w:r>
      <w:r>
        <w:rPr>
          <w:rFonts w:hint="eastAsia" w:ascii="仿宋" w:hAnsi="仿宋" w:eastAsia="仿宋" w:cs="仿宋"/>
          <w:color w:val="auto"/>
          <w:sz w:val="28"/>
          <w:szCs w:val="36"/>
        </w:rPr>
        <w:t>、根据三亚市公安局交通管理支队民警的工作安排，协助民警对违法暂扣车辆进行检验鉴定。</w:t>
      </w:r>
    </w:p>
    <w:p w14:paraId="6A33B2D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w:t>
      </w:r>
      <w:r>
        <w:rPr>
          <w:rFonts w:hint="eastAsia" w:ascii="仿宋" w:hAnsi="仿宋" w:eastAsia="仿宋" w:cs="仿宋"/>
          <w:color w:val="auto"/>
          <w:sz w:val="28"/>
          <w:szCs w:val="36"/>
          <w:lang w:val="en-US" w:eastAsia="zh-CN"/>
        </w:rPr>
        <w:t>1</w:t>
      </w:r>
      <w:r>
        <w:rPr>
          <w:rFonts w:hint="eastAsia" w:ascii="仿宋" w:hAnsi="仿宋" w:eastAsia="仿宋" w:cs="仿宋"/>
          <w:color w:val="auto"/>
          <w:sz w:val="28"/>
          <w:szCs w:val="36"/>
        </w:rPr>
        <w:t>、配合履行三亚市公安局交通管理支队交办的违法车辆拖曳及保管服务中其他工作任务。</w:t>
      </w:r>
    </w:p>
    <w:p w14:paraId="457CAF8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lang w:val="en-US" w:eastAsia="zh-CN"/>
        </w:rPr>
        <w:t>12、因特殊情况，三亚市公安局交通管理支队需要临时使用其他不同型号作业车时，乙方要积极响应配合并完成相关任务。</w:t>
      </w:r>
    </w:p>
    <w:p w14:paraId="04037A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lang w:val="en-US" w:eastAsia="zh-CN"/>
        </w:rPr>
        <w:t>13、乙方能随时调动“（一）违法暂扣车辆服务设备”所需类型的车辆并配备符合驾驶类型的驾驶员和安全员，同时确保所调动车辆的保险齐全，性能完好，能满足日常施救、查扣车辆需求；能够与大型拖车等公司做好联动，在拖车等数量不足或运力不足时能及时调动其他符合现场施救、查扣车辆类型的车辆进行拖运。要配备行车记录仪，全程记录作业过程。</w:t>
      </w:r>
    </w:p>
    <w:p w14:paraId="12FD679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lang w:val="en-US" w:eastAsia="zh-CN"/>
        </w:rPr>
        <w:t>14、应急待命保障机制</w:t>
      </w:r>
    </w:p>
    <w:p w14:paraId="6A7774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lang w:val="en-US" w:eastAsia="zh-CN"/>
        </w:rPr>
        <w:t>在满足法定节假日（如春节、五一、国庆等）、重大警卫任务及其他上级部门要求，对交通拥堵快速处置的特殊需求，甲方要求快速拖移故障、事故等无法移动的车辆，乙方就近安全放置（如不影响交通的路肩、高速公路出入口等指定区域），以最短时间恢复道路通行，并非用于违法车辆的常规扣留与停车场转运。</w:t>
      </w:r>
    </w:p>
    <w:p w14:paraId="42A1A57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lang w:val="en-US" w:eastAsia="zh-CN"/>
        </w:rPr>
        <w:t>（1）乙方应根据甲方（承办部门交管支队）提前通知的具体时间、地点及数量要求，在指定重点路段、路口、高速公路关键节点等区域提前部署拯救车辆与人员，处于现场待命状态。</w:t>
      </w:r>
    </w:p>
    <w:p w14:paraId="1523F9D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lang w:val="en-US" w:eastAsia="zh-CN"/>
        </w:rPr>
        <w:t>（2）待命期间，接到甲方的指令后，必须在城市核心区≤15分钟，高速公路指定点≤10分钟，抵达现场指定位置开始处置。以最快速度完成故障/事故车辆的拖移作业，并将车辆就近安全放置于甲方认可的不影响交通的地点。</w:t>
      </w:r>
    </w:p>
    <w:p w14:paraId="5266922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15、</w:t>
      </w:r>
      <w:r>
        <w:rPr>
          <w:rFonts w:hint="eastAsia" w:ascii="仿宋" w:hAnsi="仿宋" w:eastAsia="仿宋" w:cs="仿宋"/>
          <w:color w:val="auto"/>
          <w:sz w:val="28"/>
          <w:szCs w:val="36"/>
        </w:rPr>
        <w:t>乙方或乙方的工作人员在履行本合同过程中，发生交通事故、工伤、造成他人人身损害、财产损失等行为的，赔偿责任由乙方自行承担，与甲方无关。</w:t>
      </w:r>
    </w:p>
    <w:p w14:paraId="3C7DD5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二、服务价格</w:t>
      </w:r>
    </w:p>
    <w:p w14:paraId="5083BD0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1、本项目合同价格包含本项目所需的一切费用（包括人工费、材料费、设备使用费、拖车费、水费、电费、卫生费，各种税费及合同实施过程中的不可预见费用等全部费用</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w:t>
      </w:r>
    </w:p>
    <w:p w14:paraId="6EBC771E">
      <w:pPr>
        <w:spacing w:line="360" w:lineRule="auto"/>
        <w:ind w:firstLine="560" w:firstLineChars="200"/>
        <w:rPr>
          <w:rFonts w:hint="eastAsia" w:ascii="仿宋" w:hAnsi="仿宋" w:eastAsia="仿宋" w:cs="仿宋"/>
          <w:color w:val="auto"/>
          <w:sz w:val="28"/>
          <w:szCs w:val="36"/>
        </w:rPr>
      </w:pPr>
      <w:r>
        <w:rPr>
          <w:rFonts w:hint="eastAsia" w:ascii="仿宋" w:hAnsi="仿宋" w:eastAsia="仿宋" w:cs="仿宋"/>
          <w:color w:val="auto"/>
          <w:sz w:val="28"/>
          <w:szCs w:val="36"/>
        </w:rPr>
        <w:t>2、本项目合同违法车辆拖曳及保管费用由中标单位</w:t>
      </w:r>
      <w:bookmarkStart w:id="1" w:name="_Hlk203727793"/>
      <w:r>
        <w:rPr>
          <w:rFonts w:hint="eastAsia" w:ascii="仿宋" w:hAnsi="仿宋" w:eastAsia="仿宋" w:cs="仿宋"/>
          <w:color w:val="auto"/>
          <w:sz w:val="28"/>
          <w:szCs w:val="36"/>
        </w:rPr>
        <w:t>根据《交通事故、违法车辆拖曳服务预算单价表》、《法定节假日和警卫任务期间租赁拯救力量待命执勤收费预算单价表》以及《车辆停放保管服务预算单价表》</w:t>
      </w:r>
      <w:r>
        <w:rPr>
          <w:rFonts w:hint="eastAsia" w:ascii="仿宋" w:hAnsi="仿宋" w:eastAsia="仿宋" w:cs="仿宋"/>
          <w:color w:val="auto"/>
          <w:sz w:val="28"/>
          <w:szCs w:val="36"/>
          <w:lang w:val="en-US" w:eastAsia="zh-CN"/>
        </w:rPr>
        <w:t>中的</w:t>
      </w:r>
      <w:r>
        <w:rPr>
          <w:rFonts w:hint="eastAsia" w:ascii="仿宋" w:hAnsi="仿宋" w:eastAsia="仿宋" w:cs="仿宋"/>
          <w:color w:val="auto"/>
          <w:sz w:val="28"/>
          <w:szCs w:val="36"/>
        </w:rPr>
        <w:t>服务项目预算单价</w:t>
      </w:r>
      <w:bookmarkEnd w:id="1"/>
      <w:r>
        <w:rPr>
          <w:rFonts w:hint="eastAsia" w:ascii="仿宋" w:hAnsi="仿宋" w:eastAsia="仿宋" w:cs="仿宋"/>
          <w:color w:val="auto"/>
          <w:sz w:val="28"/>
          <w:szCs w:val="36"/>
        </w:rPr>
        <w:t>乘以中标</w:t>
      </w:r>
      <w:r>
        <w:rPr>
          <w:rFonts w:hint="eastAsia" w:ascii="仿宋" w:hAnsi="仿宋" w:eastAsia="仿宋" w:cs="仿宋"/>
          <w:color w:val="auto"/>
          <w:sz w:val="28"/>
          <w:szCs w:val="36"/>
          <w:lang w:val="en-US" w:eastAsia="zh-CN"/>
        </w:rPr>
        <w:t>折扣</w:t>
      </w:r>
      <w:r>
        <w:rPr>
          <w:rFonts w:hint="eastAsia" w:ascii="仿宋" w:hAnsi="仿宋" w:eastAsia="仿宋" w:cs="仿宋"/>
          <w:color w:val="auto"/>
          <w:sz w:val="28"/>
          <w:szCs w:val="36"/>
        </w:rPr>
        <w:t>乘以实际服务项目数量执行。暂扣车辆的保管费用从暂扣之日起算，15日以内的保管费用由甲方向乙方支付；如因甲方原因</w:t>
      </w:r>
      <w:bookmarkStart w:id="2" w:name="_GoBack"/>
      <w:bookmarkEnd w:id="2"/>
      <w:r>
        <w:rPr>
          <w:rFonts w:hint="eastAsia" w:ascii="仿宋" w:hAnsi="仿宋" w:eastAsia="仿宋" w:cs="仿宋"/>
          <w:color w:val="auto"/>
          <w:sz w:val="28"/>
          <w:szCs w:val="36"/>
        </w:rPr>
        <w:t>导致逾期放行暂扣车辆并有相应的证据予以证明的，其暂扣车辆保管费由甲方支付，除此之外甲方不再向乙方支付任何保管费用。（具体收费标准详见附件）</w:t>
      </w:r>
    </w:p>
    <w:p w14:paraId="7BFE4CD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lang w:val="en-US" w:eastAsia="zh-CN"/>
        </w:rPr>
      </w:pPr>
      <w:r>
        <w:rPr>
          <w:rFonts w:hint="eastAsia" w:ascii="仿宋" w:hAnsi="仿宋" w:eastAsia="仿宋" w:cs="仿宋"/>
          <w:color w:val="auto"/>
          <w:sz w:val="28"/>
          <w:szCs w:val="36"/>
        </w:rPr>
        <w:t>3、</w:t>
      </w:r>
      <w:r>
        <w:rPr>
          <w:rFonts w:hint="eastAsia" w:ascii="仿宋" w:hAnsi="仿宋" w:eastAsia="仿宋" w:cs="仿宋"/>
          <w:color w:val="auto"/>
          <w:sz w:val="28"/>
          <w:szCs w:val="36"/>
          <w:lang w:val="en-US" w:eastAsia="zh-CN"/>
        </w:rPr>
        <w:t>应急待命保障费用。拯救车辆与人员在指定地点待命值守的时段费用，按《法定节假日和警卫任务期间租赁拯救力量待命执勤收费预算单价表》每次保障任务总时长为单位进行结算。待命期间实际执行的拖拽操作，不再单独额外收费。</w:t>
      </w:r>
    </w:p>
    <w:p w14:paraId="2DE038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4、</w:t>
      </w:r>
      <w:r>
        <w:rPr>
          <w:rFonts w:hint="eastAsia" w:ascii="仿宋" w:hAnsi="仿宋" w:eastAsia="仿宋" w:cs="仿宋"/>
          <w:color w:val="auto"/>
          <w:sz w:val="28"/>
          <w:szCs w:val="36"/>
        </w:rPr>
        <w:t>如遇特殊车辆需要拖吊服务的，经甲方委托乙方联系拯救资源，而产生的费用由甲乙双方根据市场价格进行协商，并按程序报批后另行支付。</w:t>
      </w:r>
    </w:p>
    <w:p w14:paraId="28E0E2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lang w:val="en-US" w:eastAsia="zh-CN"/>
        </w:rPr>
        <w:t>5</w:t>
      </w:r>
      <w:r>
        <w:rPr>
          <w:rFonts w:hint="eastAsia" w:ascii="仿宋" w:hAnsi="仿宋" w:eastAsia="仿宋" w:cs="仿宋"/>
          <w:color w:val="auto"/>
          <w:sz w:val="28"/>
          <w:szCs w:val="36"/>
        </w:rPr>
        <w:t>、本项目合同总价款超过当年年度财政预算时，甲方应通知乙方，甲、乙双方协商解决超预算款项支付事宜，并由甲方报送市财政局，按市财</w:t>
      </w:r>
      <w:r>
        <w:rPr>
          <w:rFonts w:hint="eastAsia" w:ascii="仿宋" w:hAnsi="仿宋" w:eastAsia="仿宋" w:cs="仿宋"/>
          <w:color w:val="auto"/>
          <w:sz w:val="28"/>
          <w:szCs w:val="36"/>
          <w:lang w:eastAsia="zh-CN"/>
        </w:rPr>
        <w:t>政局</w:t>
      </w:r>
      <w:r>
        <w:rPr>
          <w:rFonts w:hint="eastAsia" w:ascii="仿宋" w:hAnsi="仿宋" w:eastAsia="仿宋" w:cs="仿宋"/>
          <w:color w:val="auto"/>
          <w:sz w:val="28"/>
          <w:szCs w:val="36"/>
        </w:rPr>
        <w:t>批复执行。</w:t>
      </w:r>
    </w:p>
    <w:p w14:paraId="29FFC0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三、服务期</w:t>
      </w:r>
    </w:p>
    <w:p w14:paraId="50270C9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乙方本次中标服务期为三年，合同一年一签，本合同为第一年服务合同，第二年和第三年的服务合同预算金额按照三亚市财政部门批复的预算执行。</w:t>
      </w:r>
    </w:p>
    <w:p w14:paraId="57624D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四、付款方式</w:t>
      </w:r>
    </w:p>
    <w:p w14:paraId="656DC86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交通违法车辆拖曳及保管服务费用由甲方支付，乙方每月月初应将上一个自然月拖曳及保管车辆的服务登记汇总核算材料报甲方核算，按照实际产生的服务数量进行结算；待甲方核算通过后，乙方按甲方要求开具与核算材料金额相符的正式有效发票给甲方，由甲方在15个工作日内将拖曳及保管服务费用支付至乙方指定银行账户。</w:t>
      </w:r>
    </w:p>
    <w:p w14:paraId="1F2963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2、因乙方提供的核算材料不符或未提供发票、提供发票不合格的，甲方有权延期付款且不承担任何责任。</w:t>
      </w:r>
    </w:p>
    <w:p w14:paraId="4BCB088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3、本合同价款均由甲方通过银行转账的方式支付至乙方指定的下列收款账户。乙方应</w:t>
      </w:r>
      <w:r>
        <w:rPr>
          <w:rFonts w:hint="eastAsia" w:ascii="仿宋" w:hAnsi="仿宋" w:eastAsia="仿宋" w:cs="仿宋"/>
          <w:color w:val="auto"/>
          <w:sz w:val="28"/>
          <w:szCs w:val="36"/>
          <w:lang w:eastAsia="zh-CN"/>
        </w:rPr>
        <w:t>确保</w:t>
      </w:r>
      <w:r>
        <w:rPr>
          <w:rFonts w:hint="eastAsia" w:ascii="仿宋" w:hAnsi="仿宋" w:eastAsia="仿宋" w:cs="仿宋"/>
          <w:color w:val="auto"/>
          <w:sz w:val="28"/>
          <w:szCs w:val="36"/>
        </w:rPr>
        <w:t>本合同中指定的收款账户信息正确无误，否则导致甲方无法办理转账付款手续等的一切责任均由乙方自行承担。乙方如需变更指定账户应在第一个付款日3个工作日前向甲方提供银行账户变更的书面确认文件。</w:t>
      </w:r>
    </w:p>
    <w:p w14:paraId="15FDC91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36"/>
          <w:u w:val="single"/>
          <w:lang w:eastAsia="zh-CN"/>
        </w:rPr>
      </w:pPr>
      <w:r>
        <w:rPr>
          <w:rFonts w:hint="eastAsia" w:ascii="仿宋" w:hAnsi="仿宋" w:eastAsia="仿宋" w:cs="仿宋"/>
          <w:b/>
          <w:bCs/>
          <w:color w:val="auto"/>
          <w:sz w:val="28"/>
          <w:szCs w:val="36"/>
        </w:rPr>
        <w:t>名</w:t>
      </w:r>
      <w:r>
        <w:rPr>
          <w:rFonts w:hint="eastAsia" w:ascii="仿宋" w:hAnsi="仿宋" w:eastAsia="仿宋" w:cs="仿宋"/>
          <w:b/>
          <w:bCs/>
          <w:color w:val="auto"/>
          <w:sz w:val="28"/>
          <w:szCs w:val="36"/>
          <w:lang w:val="en-US" w:eastAsia="zh-CN"/>
        </w:rPr>
        <w:t xml:space="preserve">  </w:t>
      </w:r>
      <w:r>
        <w:rPr>
          <w:rFonts w:hint="eastAsia" w:ascii="仿宋" w:hAnsi="仿宋" w:eastAsia="仿宋" w:cs="仿宋"/>
          <w:b/>
          <w:bCs/>
          <w:color w:val="auto"/>
          <w:sz w:val="28"/>
          <w:szCs w:val="36"/>
        </w:rPr>
        <w:t>称：</w:t>
      </w:r>
      <w:r>
        <w:rPr>
          <w:rFonts w:hint="eastAsia" w:ascii="仿宋" w:hAnsi="仿宋" w:eastAsia="仿宋" w:cs="仿宋"/>
          <w:b/>
          <w:bCs/>
          <w:color w:val="auto"/>
          <w:sz w:val="28"/>
          <w:szCs w:val="36"/>
          <w:u w:val="single"/>
        </w:rPr>
        <w:t>中标单位</w:t>
      </w:r>
    </w:p>
    <w:p w14:paraId="5DE376D8">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36"/>
          <w:u w:val="single"/>
        </w:rPr>
      </w:pPr>
      <w:r>
        <w:rPr>
          <w:rFonts w:hint="eastAsia" w:ascii="仿宋" w:hAnsi="仿宋" w:eastAsia="仿宋" w:cs="仿宋"/>
          <w:b/>
          <w:bCs/>
          <w:color w:val="auto"/>
          <w:sz w:val="28"/>
          <w:szCs w:val="36"/>
        </w:rPr>
        <w:t>开户行：</w:t>
      </w:r>
      <w:r>
        <w:rPr>
          <w:rFonts w:hint="eastAsia" w:ascii="仿宋" w:hAnsi="仿宋" w:eastAsia="仿宋" w:cs="仿宋"/>
          <w:b/>
          <w:bCs/>
          <w:color w:val="auto"/>
          <w:sz w:val="28"/>
          <w:szCs w:val="36"/>
          <w:u w:val="single"/>
        </w:rPr>
        <w:t>XXX银行XX分行</w:t>
      </w:r>
    </w:p>
    <w:p w14:paraId="76846FAE">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color w:val="auto"/>
          <w:sz w:val="28"/>
          <w:szCs w:val="36"/>
          <w:u w:val="single"/>
          <w:lang w:val="en-US" w:eastAsia="zh-CN"/>
        </w:rPr>
      </w:pPr>
      <w:r>
        <w:rPr>
          <w:rFonts w:hint="eastAsia" w:ascii="仿宋" w:hAnsi="仿宋" w:eastAsia="仿宋" w:cs="仿宋"/>
          <w:b/>
          <w:bCs/>
          <w:color w:val="auto"/>
          <w:sz w:val="28"/>
          <w:szCs w:val="36"/>
        </w:rPr>
        <w:t>账</w:t>
      </w:r>
      <w:r>
        <w:rPr>
          <w:rFonts w:hint="eastAsia" w:ascii="仿宋" w:hAnsi="仿宋" w:eastAsia="仿宋" w:cs="仿宋"/>
          <w:b/>
          <w:bCs/>
          <w:color w:val="auto"/>
          <w:sz w:val="28"/>
          <w:szCs w:val="36"/>
          <w:lang w:val="en-US" w:eastAsia="zh-CN"/>
        </w:rPr>
        <w:t xml:space="preserve">  </w:t>
      </w:r>
      <w:r>
        <w:rPr>
          <w:rFonts w:hint="eastAsia" w:ascii="仿宋" w:hAnsi="仿宋" w:eastAsia="仿宋" w:cs="仿宋"/>
          <w:b/>
          <w:bCs/>
          <w:color w:val="auto"/>
          <w:sz w:val="28"/>
          <w:szCs w:val="36"/>
        </w:rPr>
        <w:t>号：</w:t>
      </w:r>
      <w:r>
        <w:rPr>
          <w:rFonts w:hint="eastAsia" w:ascii="仿宋" w:hAnsi="仿宋" w:eastAsia="仿宋" w:cs="仿宋"/>
          <w:b/>
          <w:bCs/>
          <w:color w:val="auto"/>
          <w:sz w:val="28"/>
          <w:szCs w:val="36"/>
          <w:u w:val="single"/>
          <w:lang w:val="en-US" w:eastAsia="zh-CN"/>
        </w:rPr>
        <w:t xml:space="preserve">               </w:t>
      </w:r>
    </w:p>
    <w:p w14:paraId="763BFB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4、若因三亚市财政局拨款或甲方内部审批等原因未能及时到账，导致甲方无法及时付款的，乙方表示理解且不得要求甲方承担任何逾期付款的违约责任。</w:t>
      </w:r>
    </w:p>
    <w:p w14:paraId="375212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五、分包与转包</w:t>
      </w:r>
    </w:p>
    <w:p w14:paraId="5E04D41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严禁转包，未经甲方书面同意不得分包。</w:t>
      </w:r>
    </w:p>
    <w:p w14:paraId="66F89B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六、服务考核机制</w:t>
      </w:r>
    </w:p>
    <w:p w14:paraId="122388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color w:val="auto"/>
          <w:sz w:val="28"/>
          <w:szCs w:val="36"/>
        </w:rPr>
      </w:pPr>
      <w:r>
        <w:rPr>
          <w:rFonts w:hint="eastAsia" w:ascii="仿宋" w:hAnsi="仿宋" w:eastAsia="仿宋" w:cs="仿宋"/>
          <w:b w:val="0"/>
          <w:bCs w:val="0"/>
          <w:color w:val="auto"/>
          <w:sz w:val="28"/>
          <w:szCs w:val="36"/>
        </w:rPr>
        <w:t>（一）考评办法</w:t>
      </w:r>
    </w:p>
    <w:p w14:paraId="7CF1D58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1、甲方组成考核小组，定期对中标公司的出勤及时率、服务满意率等指标进行季度和年度考核评分。</w:t>
      </w:r>
    </w:p>
    <w:p w14:paraId="2FDD92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2、考核的主要内容：一是考核拖曳服务设备的投入情况；二是考核拖曳服务工作任务量的完成情况；三是考核拖曳服务的出勤情况；四是考核车辆保管工作情况等内容。</w:t>
      </w:r>
    </w:p>
    <w:p w14:paraId="24AE9C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3、考核评定采用评分法，满分为100分。考核结果分为4个等级，分别为：A级（90分以上）、B级（80-89分）、C级（60-79分）、D级（59分以下）。</w:t>
      </w:r>
    </w:p>
    <w:p w14:paraId="506F8F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（二）勒令整改的情形</w:t>
      </w:r>
    </w:p>
    <w:p w14:paraId="31509E9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1、保证每辆拖曳服务车辆有1名司机和1名安全员、运输板车有1名司机和1名装卸人员参加勤务工作，违反1次，甲方责令公司进行整改；违反2次，甲方约谈公司负责人，并责令整改。</w:t>
      </w:r>
    </w:p>
    <w:p w14:paraId="08DB008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2、因乙方未履行约定，导致道路交通秩序受到严重影响的，甲方约谈公司负责人并责令整改。</w:t>
      </w:r>
    </w:p>
    <w:p w14:paraId="59DCA61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3、因乙方原因致使甲方被投诉，经查证属实的，</w:t>
      </w:r>
      <w:r>
        <w:rPr>
          <w:rFonts w:hint="eastAsia" w:ascii="仿宋" w:hAnsi="仿宋" w:eastAsia="仿宋" w:cs="仿宋"/>
          <w:color w:val="auto"/>
          <w:sz w:val="28"/>
          <w:szCs w:val="36"/>
          <w:lang w:eastAsia="zh-CN"/>
        </w:rPr>
        <w:t>甲方</w:t>
      </w:r>
      <w:r>
        <w:rPr>
          <w:rFonts w:hint="eastAsia" w:ascii="仿宋" w:hAnsi="仿宋" w:eastAsia="仿宋" w:cs="仿宋"/>
          <w:color w:val="auto"/>
          <w:sz w:val="28"/>
          <w:szCs w:val="36"/>
        </w:rPr>
        <w:t>约谈公司负责人，并责令整改。</w:t>
      </w:r>
    </w:p>
    <w:p w14:paraId="570026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（三）扣除服务费用的情形</w:t>
      </w:r>
    </w:p>
    <w:p w14:paraId="7EE2CDF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乙方未按工作要求，导致出现车辆迟到工作岗位或提前离开工作岗位，每次每辆车按500元对当月拖曳费用进行扣除，超半小时未到工作岗位的，每次每辆车按800元当月拖曳费用进行扣除，迟到车辆应继续履行工作职责。</w:t>
      </w:r>
    </w:p>
    <w:p w14:paraId="56F722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2、一年内，乙方有3次整改不达标的，甲方有权对甲方当年的拖曳及保管服务费用进行10万元的扣除。</w:t>
      </w:r>
    </w:p>
    <w:p w14:paraId="65AF3A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七、违约责任</w:t>
      </w:r>
    </w:p>
    <w:p w14:paraId="7541E24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1、乙方未按合同约定履行本合同的任何一条款的属违约，应向甲方承担违约责任，赔偿甲方因其违约造成的损失，并支付合同价款总额20%的违约金，违约金可叠加适用，最高为合同总价款的30%。</w:t>
      </w:r>
    </w:p>
    <w:p w14:paraId="4F7A934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2、由于乙方的原因，导致双方签订的合同终止，乙方因此而遭受的损失，将由乙方独立承担，甲方对此不负任何责任，也不作任何赔偿。若给甲方造成损失乙方应承担赔偿</w:t>
      </w:r>
      <w:r>
        <w:rPr>
          <w:rFonts w:hint="eastAsia" w:ascii="仿宋" w:hAnsi="仿宋" w:eastAsia="仿宋" w:cs="仿宋"/>
          <w:color w:val="auto"/>
          <w:sz w:val="28"/>
          <w:szCs w:val="36"/>
          <w:lang w:eastAsia="zh-CN"/>
        </w:rPr>
        <w:t>责任</w:t>
      </w:r>
      <w:r>
        <w:rPr>
          <w:rFonts w:hint="eastAsia" w:ascii="仿宋" w:hAnsi="仿宋" w:eastAsia="仿宋" w:cs="仿宋"/>
          <w:color w:val="auto"/>
          <w:sz w:val="28"/>
          <w:szCs w:val="36"/>
        </w:rPr>
        <w:t>。同时乙方向甲方支付合同价款总额20%的违约金。</w:t>
      </w:r>
    </w:p>
    <w:p w14:paraId="2DBBEF1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3、乙方若私自拆卸涉案车辆零件、放行涉案车辆离开保管地点，将涉案车辆挪作他用、擅自报废车辆等行为，一经发现，情节严重的，甲方有权解除合同，同时乙方向甲方支付合同价款总额20%的违约金；情节较轻的，甲方有权对乙方处以月停车保管费5%至10%的费用扣除。</w:t>
      </w:r>
    </w:p>
    <w:p w14:paraId="70D04F4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4、乙方在一年内因车主信访（来电）投诉，经查属实或基本属实</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第一次的予以书面警告并责令乙方整改，经三次以上整改不到位的，甲方有权解除合同。如给车主造成损失的应承担赔偿责任。</w:t>
      </w:r>
    </w:p>
    <w:p w14:paraId="7BE6A33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5、乙方年度考核为不合格的，甲乙双方将不再续签服务合同。</w:t>
      </w:r>
    </w:p>
    <w:p w14:paraId="48D09E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6、因乙方原因，泄漏甲方重大工作任务秘密的行为，视为合同终止，乙方向甲方支付合同价款总额20%的违约金，并承担相应的法律责任。</w:t>
      </w:r>
    </w:p>
    <w:p w14:paraId="3F2832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八、争议解决方式</w:t>
      </w:r>
    </w:p>
    <w:p w14:paraId="00EDF0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1、甲方在验收核算过程中，如发现乙方所提供的服务质量或相关服务不合规定的，在15个日历日内向乙方提出书面异议；甲方怠于通知乙方的，视为乙方所提供的服务符合规定。</w:t>
      </w:r>
    </w:p>
    <w:p w14:paraId="2C93A9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2、乙方在接到甲方书面异议后，应在5个日历日内负责处理，否则，即视为默认甲方提出的异议和处理意见。</w:t>
      </w:r>
    </w:p>
    <w:p w14:paraId="062CD52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3、凡与本合同有关的一切争议，甲乙双方首先通过协商解决；如经协商后仍不能达成协议时，双方应向甲方所在地人民法院提起诉讼。</w:t>
      </w:r>
    </w:p>
    <w:p w14:paraId="4C78D8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九、保密条款</w:t>
      </w:r>
    </w:p>
    <w:p w14:paraId="7363B60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本合同签订、履行过程中以及本协议终止后，任何一方对于本协议之签署、履行及协议内容以及一方在合作过程中，因签署及履行本协议而知悉或收到的有关协议其他方的商业秘密、专有信息、客户信息</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以下统称为“保密信息”</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均负有保密义务。任何一方及其员工、关联企业可就其履行其在本协议项下义务之目的而使用该类保密信息。未经</w:t>
      </w:r>
      <w:r>
        <w:rPr>
          <w:rFonts w:hint="eastAsia" w:ascii="仿宋" w:hAnsi="仿宋" w:eastAsia="仿宋" w:cs="仿宋"/>
          <w:color w:val="auto"/>
          <w:sz w:val="28"/>
          <w:szCs w:val="36"/>
          <w:lang w:val="en-US" w:eastAsia="zh-CN"/>
        </w:rPr>
        <w:t>甲</w:t>
      </w:r>
      <w:r>
        <w:rPr>
          <w:rFonts w:hint="eastAsia" w:ascii="仿宋" w:hAnsi="仿宋" w:eastAsia="仿宋" w:cs="仿宋"/>
          <w:color w:val="auto"/>
          <w:sz w:val="28"/>
          <w:szCs w:val="36"/>
        </w:rPr>
        <w:t>方书面许可，任何一方均不得向任何第三方泄露上述保密信息，否则应承担违约责任并赔偿损失。本保密条款持续有效，直至上述保密信息进入公共领域为止。</w:t>
      </w:r>
    </w:p>
    <w:p w14:paraId="7E5F8E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十、不可抗力</w:t>
      </w:r>
    </w:p>
    <w:p w14:paraId="735A401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1、不可抗力是指双方在缔约合同时不能预见、不能避免并不能克服的客观情况，包括自然灾害（如台风、洪水、冰雹</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社会异常事件（如罢工、骚乱、封路）。</w:t>
      </w:r>
    </w:p>
    <w:p w14:paraId="2380704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2、根据不可抗力事由对履行本合同影响的程度，由双方协商解除合同，或者部分免除合同义务，或者延期履行合同义务，但法律另有规定的除外。当事人迟延履行后发生不可抗力的，不能免除责任。</w:t>
      </w:r>
    </w:p>
    <w:p w14:paraId="59E99D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3、因不可抗力致使无法部分或全部履行合同的一方应当在不可抗力发生后24小时内书面通知对方，并在7个工作日内提供不可抗力发生的详情及本合同不能履行、或者部分不能履行、或者需要延期履行的理由的有效证明文件，否则视为受不可抗力影响的当事人放弃免责权利。</w:t>
      </w:r>
    </w:p>
    <w:p w14:paraId="194A8F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8"/>
          <w:szCs w:val="36"/>
        </w:rPr>
      </w:pPr>
      <w:r>
        <w:rPr>
          <w:rFonts w:hint="eastAsia" w:ascii="仿宋" w:hAnsi="仿宋" w:eastAsia="仿宋" w:cs="仿宋"/>
          <w:b/>
          <w:bCs/>
          <w:color w:val="auto"/>
          <w:sz w:val="28"/>
          <w:szCs w:val="36"/>
        </w:rPr>
        <w:t>十一、其它</w:t>
      </w:r>
    </w:p>
    <w:p w14:paraId="367696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1、本合同由双方法定代表人或者授权代表签字并加盖有效公章后生效，合同生效日期以最后一个签字日期为准。本合同服务期为一年，服务期间至202</w:t>
      </w:r>
      <w:r>
        <w:rPr>
          <w:rFonts w:hint="eastAsia" w:ascii="仿宋" w:hAnsi="仿宋" w:eastAsia="仿宋" w:cs="仿宋"/>
          <w:color w:val="auto"/>
          <w:sz w:val="28"/>
          <w:szCs w:val="36"/>
          <w:lang w:val="en-US" w:eastAsia="zh-CN"/>
        </w:rPr>
        <w:t>5</w:t>
      </w:r>
      <w:r>
        <w:rPr>
          <w:rFonts w:hint="eastAsia" w:ascii="仿宋" w:hAnsi="仿宋" w:eastAsia="仿宋" w:cs="仿宋"/>
          <w:color w:val="auto"/>
          <w:sz w:val="28"/>
          <w:szCs w:val="36"/>
        </w:rPr>
        <w:t>年月日至202</w:t>
      </w:r>
      <w:r>
        <w:rPr>
          <w:rFonts w:hint="eastAsia" w:ascii="仿宋" w:hAnsi="仿宋" w:eastAsia="仿宋" w:cs="仿宋"/>
          <w:color w:val="auto"/>
          <w:sz w:val="28"/>
          <w:szCs w:val="36"/>
          <w:lang w:val="en-US" w:eastAsia="zh-CN"/>
        </w:rPr>
        <w:t>6</w:t>
      </w:r>
      <w:r>
        <w:rPr>
          <w:rFonts w:hint="eastAsia" w:ascii="仿宋" w:hAnsi="仿宋" w:eastAsia="仿宋" w:cs="仿宋"/>
          <w:color w:val="auto"/>
          <w:sz w:val="28"/>
          <w:szCs w:val="36"/>
        </w:rPr>
        <w:t>年月日。</w:t>
      </w:r>
    </w:p>
    <w:p w14:paraId="72EE9C8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2、本合同因法律规定或者合同约定解除或终止的，不影响当事人按照本合同约定追究他方违约责任。</w:t>
      </w:r>
    </w:p>
    <w:p w14:paraId="2D53EF7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3、乙方的营业执照、法定代表人和签约代表人的身份证等材料应交甲方进行</w:t>
      </w:r>
      <w:r>
        <w:rPr>
          <w:rFonts w:hint="eastAsia" w:ascii="仿宋" w:hAnsi="仿宋" w:eastAsia="仿宋" w:cs="仿宋"/>
          <w:color w:val="auto"/>
          <w:sz w:val="28"/>
          <w:szCs w:val="36"/>
          <w:lang w:eastAsia="zh-CN"/>
        </w:rPr>
        <w:t>审核</w:t>
      </w:r>
      <w:r>
        <w:rPr>
          <w:rFonts w:hint="eastAsia" w:ascii="仿宋" w:hAnsi="仿宋" w:eastAsia="仿宋" w:cs="仿宋"/>
          <w:color w:val="auto"/>
          <w:sz w:val="28"/>
          <w:szCs w:val="36"/>
        </w:rPr>
        <w:t>，乙方确保向甲方提供的以上证件及材料真实合法有效，同时乙方将以上证件复印件加盖公司章后与其他材料一起提交给甲方作为本合同附件。</w:t>
      </w:r>
    </w:p>
    <w:p w14:paraId="7B6C5B9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4、除甲方事先书面同意外，乙方不得部分或全部转让其应履行的合同项下的义务。</w:t>
      </w:r>
    </w:p>
    <w:p w14:paraId="6A98ADE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5、本合同未尽事宜</w:t>
      </w:r>
      <w:r>
        <w:rPr>
          <w:rFonts w:hint="eastAsia" w:ascii="仿宋" w:hAnsi="仿宋" w:eastAsia="仿宋" w:cs="仿宋"/>
          <w:color w:val="auto"/>
          <w:sz w:val="28"/>
          <w:szCs w:val="36"/>
          <w:lang w:eastAsia="zh-CN"/>
        </w:rPr>
        <w:t>，</w:t>
      </w:r>
      <w:r>
        <w:rPr>
          <w:rFonts w:hint="eastAsia" w:ascii="仿宋" w:hAnsi="仿宋" w:eastAsia="仿宋" w:cs="仿宋"/>
          <w:color w:val="auto"/>
          <w:sz w:val="28"/>
          <w:szCs w:val="36"/>
        </w:rPr>
        <w:t>双方可签订补充合同，补充合同与所有附件均为合同的有效组成部分，与本合同具有同等法律效力。</w:t>
      </w:r>
    </w:p>
    <w:p w14:paraId="17ACE38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6、在执行本合同的过程中，所有经甲乙双方签署确认的文件（包括会议纪要、补充协议、往来信函、合同附件等）即成为本合同的有效组成部分，其生效日期为双方签字盖章或确认之日期。</w:t>
      </w:r>
    </w:p>
    <w:p w14:paraId="1E05A6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7、本停车场的业务指导和监督由三亚市公安局交通管理支队负责。</w:t>
      </w:r>
    </w:p>
    <w:p w14:paraId="1AE6BA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8、本合同一式陆份，中文书写。甲方执三份、乙方执</w:t>
      </w:r>
      <w:r>
        <w:rPr>
          <w:rFonts w:hint="eastAsia" w:ascii="仿宋" w:hAnsi="仿宋" w:eastAsia="仿宋" w:cs="仿宋"/>
          <w:color w:val="auto"/>
          <w:sz w:val="28"/>
          <w:szCs w:val="36"/>
          <w:lang w:val="en-US" w:eastAsia="zh-CN"/>
        </w:rPr>
        <w:t>两</w:t>
      </w:r>
      <w:r>
        <w:rPr>
          <w:rFonts w:hint="eastAsia" w:ascii="仿宋" w:hAnsi="仿宋" w:eastAsia="仿宋" w:cs="仿宋"/>
          <w:color w:val="auto"/>
          <w:sz w:val="28"/>
          <w:szCs w:val="36"/>
        </w:rPr>
        <w:t>份。</w:t>
      </w:r>
    </w:p>
    <w:p w14:paraId="4BAC0A6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36"/>
        </w:rPr>
      </w:pPr>
      <w:r>
        <w:rPr>
          <w:rFonts w:hint="eastAsia" w:ascii="仿宋" w:hAnsi="仿宋" w:eastAsia="仿宋" w:cs="仿宋"/>
          <w:color w:val="auto"/>
          <w:sz w:val="28"/>
          <w:szCs w:val="36"/>
        </w:rPr>
        <w:t>（以下无正文）</w:t>
      </w:r>
    </w:p>
    <w:tbl>
      <w:tblPr>
        <w:tblStyle w:val="5"/>
        <w:tblpPr w:leftFromText="180" w:rightFromText="180" w:vertAnchor="text" w:horzAnchor="page" w:tblpX="1450" w:tblpY="1102"/>
        <w:tblOverlap w:val="never"/>
        <w:tblW w:w="94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11"/>
        <w:gridCol w:w="1905"/>
        <w:gridCol w:w="2715"/>
        <w:gridCol w:w="2164"/>
      </w:tblGrid>
      <w:tr w14:paraId="441C0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8" w:hRule="atLeast"/>
        </w:trPr>
        <w:tc>
          <w:tcPr>
            <w:tcW w:w="2711" w:type="dxa"/>
            <w:tcBorders>
              <w:tl2br w:val="nil"/>
              <w:tr2bl w:val="nil"/>
            </w:tcBorders>
            <w:noWrap w:val="0"/>
            <w:vAlign w:val="center"/>
          </w:tcPr>
          <w:p w14:paraId="2C105268">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甲方（盖章）：</w:t>
            </w:r>
          </w:p>
        </w:tc>
        <w:tc>
          <w:tcPr>
            <w:tcW w:w="1905" w:type="dxa"/>
            <w:tcBorders>
              <w:tl2br w:val="nil"/>
              <w:tr2bl w:val="nil"/>
            </w:tcBorders>
            <w:noWrap w:val="0"/>
            <w:vAlign w:val="center"/>
          </w:tcPr>
          <w:p w14:paraId="5ECABAB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三亚市公安局</w:t>
            </w:r>
          </w:p>
        </w:tc>
        <w:tc>
          <w:tcPr>
            <w:tcW w:w="2715" w:type="dxa"/>
            <w:tcBorders>
              <w:tl2br w:val="nil"/>
              <w:tr2bl w:val="nil"/>
            </w:tcBorders>
            <w:noWrap w:val="0"/>
            <w:vAlign w:val="center"/>
          </w:tcPr>
          <w:p w14:paraId="5FD69F79">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乙方（盖章）：</w:t>
            </w:r>
          </w:p>
        </w:tc>
        <w:tc>
          <w:tcPr>
            <w:tcW w:w="2164" w:type="dxa"/>
            <w:tcBorders>
              <w:tl2br w:val="nil"/>
              <w:tr2bl w:val="nil"/>
            </w:tcBorders>
            <w:noWrap w:val="0"/>
            <w:vAlign w:val="center"/>
          </w:tcPr>
          <w:p w14:paraId="1FEF114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中标单位</w:t>
            </w:r>
          </w:p>
        </w:tc>
      </w:tr>
      <w:tr w14:paraId="45605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3" w:hRule="atLeast"/>
        </w:trPr>
        <w:tc>
          <w:tcPr>
            <w:tcW w:w="2711" w:type="dxa"/>
            <w:tcBorders>
              <w:tl2br w:val="nil"/>
              <w:tr2bl w:val="nil"/>
            </w:tcBorders>
            <w:noWrap w:val="0"/>
            <w:vAlign w:val="center"/>
          </w:tcPr>
          <w:p w14:paraId="1D960079">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法人（或授权）代表：</w:t>
            </w:r>
          </w:p>
        </w:tc>
        <w:tc>
          <w:tcPr>
            <w:tcW w:w="1905" w:type="dxa"/>
            <w:tcBorders>
              <w:tl2br w:val="nil"/>
              <w:tr2bl w:val="nil"/>
            </w:tcBorders>
            <w:noWrap w:val="0"/>
            <w:vAlign w:val="center"/>
          </w:tcPr>
          <w:p w14:paraId="2108FF7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sz w:val="28"/>
                <w:szCs w:val="36"/>
                <w:vertAlign w:val="baseline"/>
              </w:rPr>
            </w:pPr>
          </w:p>
        </w:tc>
        <w:tc>
          <w:tcPr>
            <w:tcW w:w="2715" w:type="dxa"/>
            <w:tcBorders>
              <w:tl2br w:val="nil"/>
              <w:tr2bl w:val="nil"/>
            </w:tcBorders>
            <w:noWrap w:val="0"/>
            <w:vAlign w:val="center"/>
          </w:tcPr>
          <w:p w14:paraId="5DF01C6B">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法人（或授权）代表：</w:t>
            </w:r>
          </w:p>
        </w:tc>
        <w:tc>
          <w:tcPr>
            <w:tcW w:w="2164" w:type="dxa"/>
            <w:tcBorders>
              <w:tl2br w:val="nil"/>
              <w:tr2bl w:val="nil"/>
            </w:tcBorders>
            <w:noWrap w:val="0"/>
            <w:vAlign w:val="center"/>
          </w:tcPr>
          <w:p w14:paraId="4C9B5B5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sz w:val="28"/>
                <w:szCs w:val="36"/>
                <w:vertAlign w:val="baseline"/>
              </w:rPr>
            </w:pPr>
          </w:p>
        </w:tc>
      </w:tr>
      <w:tr w14:paraId="2A2A6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3" w:hRule="atLeast"/>
        </w:trPr>
        <w:tc>
          <w:tcPr>
            <w:tcW w:w="2711" w:type="dxa"/>
            <w:tcBorders>
              <w:tl2br w:val="nil"/>
              <w:tr2bl w:val="nil"/>
            </w:tcBorders>
            <w:noWrap w:val="0"/>
            <w:vAlign w:val="center"/>
          </w:tcPr>
          <w:p w14:paraId="35657723">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日</w:t>
            </w:r>
            <w:r>
              <w:rPr>
                <w:rFonts w:hint="eastAsia" w:ascii="仿宋" w:hAnsi="仿宋" w:eastAsia="仿宋" w:cs="仿宋"/>
                <w:color w:val="auto"/>
                <w:sz w:val="28"/>
                <w:szCs w:val="36"/>
                <w:lang w:val="en-US" w:eastAsia="zh-CN"/>
              </w:rPr>
              <w:t xml:space="preserve">  </w:t>
            </w:r>
            <w:r>
              <w:rPr>
                <w:rFonts w:hint="eastAsia" w:ascii="仿宋" w:hAnsi="仿宋" w:eastAsia="仿宋" w:cs="仿宋"/>
                <w:color w:val="auto"/>
                <w:sz w:val="28"/>
                <w:szCs w:val="36"/>
              </w:rPr>
              <w:t>期</w:t>
            </w:r>
            <w:r>
              <w:rPr>
                <w:rFonts w:hint="eastAsia" w:ascii="仿宋" w:hAnsi="仿宋" w:eastAsia="仿宋" w:cs="仿宋"/>
                <w:color w:val="auto"/>
                <w:sz w:val="28"/>
                <w:szCs w:val="36"/>
                <w:lang w:eastAsia="zh-CN"/>
              </w:rPr>
              <w:t>：</w:t>
            </w:r>
          </w:p>
        </w:tc>
        <w:tc>
          <w:tcPr>
            <w:tcW w:w="1905" w:type="dxa"/>
            <w:tcBorders>
              <w:tl2br w:val="nil"/>
              <w:tr2bl w:val="nil"/>
            </w:tcBorders>
            <w:noWrap w:val="0"/>
            <w:vAlign w:val="center"/>
          </w:tcPr>
          <w:p w14:paraId="022791CA">
            <w:pPr>
              <w:keepNext w:val="0"/>
              <w:keepLines w:val="0"/>
              <w:pageBreakBefore w:val="0"/>
              <w:widowControl w:val="0"/>
              <w:kinsoku/>
              <w:wordWrap/>
              <w:overflowPunct/>
              <w:topLinePunct w:val="0"/>
              <w:autoSpaceDE/>
              <w:autoSpaceDN/>
              <w:bidi w:val="0"/>
              <w:adjustRightInd/>
              <w:snapToGrid/>
              <w:spacing w:line="360" w:lineRule="auto"/>
              <w:ind w:firstLine="280" w:firstLineChars="100"/>
              <w:jc w:val="both"/>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年</w:t>
            </w:r>
            <w:r>
              <w:rPr>
                <w:rFonts w:hint="eastAsia" w:ascii="仿宋" w:hAnsi="仿宋" w:eastAsia="仿宋" w:cs="仿宋"/>
                <w:color w:val="auto"/>
                <w:sz w:val="28"/>
                <w:szCs w:val="36"/>
                <w:lang w:val="en-US" w:eastAsia="zh-CN"/>
              </w:rPr>
              <w:t xml:space="preserve">  </w:t>
            </w:r>
            <w:r>
              <w:rPr>
                <w:rFonts w:hint="eastAsia" w:ascii="仿宋" w:hAnsi="仿宋" w:eastAsia="仿宋" w:cs="仿宋"/>
                <w:color w:val="auto"/>
                <w:sz w:val="28"/>
                <w:szCs w:val="36"/>
              </w:rPr>
              <w:t>月</w:t>
            </w:r>
            <w:r>
              <w:rPr>
                <w:rFonts w:hint="eastAsia" w:ascii="仿宋" w:hAnsi="仿宋" w:eastAsia="仿宋" w:cs="仿宋"/>
                <w:color w:val="auto"/>
                <w:sz w:val="28"/>
                <w:szCs w:val="36"/>
                <w:lang w:val="en-US" w:eastAsia="zh-CN"/>
              </w:rPr>
              <w:t xml:space="preserve"> </w:t>
            </w:r>
            <w:r>
              <w:rPr>
                <w:rFonts w:hint="eastAsia" w:ascii="仿宋" w:hAnsi="仿宋" w:eastAsia="仿宋" w:cs="仿宋"/>
                <w:color w:val="auto"/>
                <w:sz w:val="28"/>
                <w:szCs w:val="36"/>
              </w:rPr>
              <w:t>日</w:t>
            </w:r>
          </w:p>
        </w:tc>
        <w:tc>
          <w:tcPr>
            <w:tcW w:w="2715" w:type="dxa"/>
            <w:tcBorders>
              <w:tl2br w:val="nil"/>
              <w:tr2bl w:val="nil"/>
            </w:tcBorders>
            <w:noWrap w:val="0"/>
            <w:vAlign w:val="center"/>
          </w:tcPr>
          <w:p w14:paraId="539014ED">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日</w:t>
            </w:r>
            <w:r>
              <w:rPr>
                <w:rFonts w:hint="eastAsia" w:ascii="仿宋" w:hAnsi="仿宋" w:eastAsia="仿宋" w:cs="仿宋"/>
                <w:color w:val="auto"/>
                <w:sz w:val="28"/>
                <w:szCs w:val="36"/>
                <w:lang w:val="en-US" w:eastAsia="zh-CN"/>
              </w:rPr>
              <w:t xml:space="preserve">   </w:t>
            </w:r>
            <w:r>
              <w:rPr>
                <w:rFonts w:hint="eastAsia" w:ascii="仿宋" w:hAnsi="仿宋" w:eastAsia="仿宋" w:cs="仿宋"/>
                <w:color w:val="auto"/>
                <w:sz w:val="28"/>
                <w:szCs w:val="36"/>
              </w:rPr>
              <w:t>期</w:t>
            </w:r>
            <w:r>
              <w:rPr>
                <w:rFonts w:hint="eastAsia" w:ascii="仿宋" w:hAnsi="仿宋" w:eastAsia="仿宋" w:cs="仿宋"/>
                <w:color w:val="auto"/>
                <w:sz w:val="28"/>
                <w:szCs w:val="36"/>
                <w:lang w:eastAsia="zh-CN"/>
              </w:rPr>
              <w:t>：</w:t>
            </w:r>
          </w:p>
        </w:tc>
        <w:tc>
          <w:tcPr>
            <w:tcW w:w="2164" w:type="dxa"/>
            <w:tcBorders>
              <w:tl2br w:val="nil"/>
              <w:tr2bl w:val="nil"/>
            </w:tcBorders>
            <w:noWrap w:val="0"/>
            <w:vAlign w:val="center"/>
          </w:tcPr>
          <w:p w14:paraId="72A9C83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color w:val="auto"/>
                <w:sz w:val="28"/>
                <w:szCs w:val="36"/>
                <w:vertAlign w:val="baseline"/>
              </w:rPr>
            </w:pPr>
            <w:r>
              <w:rPr>
                <w:rFonts w:hint="eastAsia" w:ascii="仿宋" w:hAnsi="仿宋" w:eastAsia="仿宋" w:cs="仿宋"/>
                <w:color w:val="auto"/>
                <w:sz w:val="28"/>
                <w:szCs w:val="36"/>
              </w:rPr>
              <w:t>年</w:t>
            </w:r>
            <w:r>
              <w:rPr>
                <w:rFonts w:hint="eastAsia" w:ascii="仿宋" w:hAnsi="仿宋" w:eastAsia="仿宋" w:cs="仿宋"/>
                <w:color w:val="auto"/>
                <w:sz w:val="28"/>
                <w:szCs w:val="36"/>
                <w:lang w:val="en-US" w:eastAsia="zh-CN"/>
              </w:rPr>
              <w:t xml:space="preserve"> </w:t>
            </w:r>
            <w:r>
              <w:rPr>
                <w:rFonts w:hint="eastAsia" w:ascii="仿宋" w:hAnsi="仿宋" w:eastAsia="仿宋" w:cs="仿宋"/>
                <w:color w:val="auto"/>
                <w:sz w:val="28"/>
                <w:szCs w:val="36"/>
              </w:rPr>
              <w:t>月</w:t>
            </w:r>
            <w:r>
              <w:rPr>
                <w:rFonts w:hint="eastAsia" w:ascii="仿宋" w:hAnsi="仿宋" w:eastAsia="仿宋" w:cs="仿宋"/>
                <w:color w:val="auto"/>
                <w:sz w:val="28"/>
                <w:szCs w:val="36"/>
                <w:lang w:val="en-US" w:eastAsia="zh-CN"/>
              </w:rPr>
              <w:t xml:space="preserve"> </w:t>
            </w:r>
            <w:r>
              <w:rPr>
                <w:rFonts w:hint="eastAsia" w:ascii="仿宋" w:hAnsi="仿宋" w:eastAsia="仿宋" w:cs="仿宋"/>
                <w:color w:val="auto"/>
                <w:sz w:val="28"/>
                <w:szCs w:val="36"/>
              </w:rPr>
              <w:t>日</w:t>
            </w:r>
          </w:p>
        </w:tc>
      </w:tr>
    </w:tbl>
    <w:p w14:paraId="3A63FD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36"/>
        </w:rPr>
      </w:pP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B6BB2"/>
    <w:rsid w:val="036D2DC2"/>
    <w:rsid w:val="05BA1E72"/>
    <w:rsid w:val="0F7B59C4"/>
    <w:rsid w:val="28444325"/>
    <w:rsid w:val="4C26757B"/>
    <w:rsid w:val="517C3C73"/>
    <w:rsid w:val="539D70D7"/>
    <w:rsid w:val="557B6BB2"/>
    <w:rsid w:val="59720FEA"/>
    <w:rsid w:val="5BA556E4"/>
    <w:rsid w:val="743B53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widowControl w:val="0"/>
      <w:spacing w:before="260" w:after="260" w:line="413" w:lineRule="auto"/>
      <w:jc w:val="both"/>
      <w:outlineLvl w:val="1"/>
    </w:pPr>
    <w:rPr>
      <w:rFonts w:ascii="Calibri" w:hAnsi="Calibri" w:eastAsia="宋体" w:cs="Times New Roman"/>
      <w:kern w:val="2"/>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5682</Words>
  <Characters>5777</Characters>
  <Lines>0</Lines>
  <Paragraphs>0</Paragraphs>
  <TotalTime>2</TotalTime>
  <ScaleCrop>false</ScaleCrop>
  <LinksUpToDate>false</LinksUpToDate>
  <CharactersWithSpaces>5810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2025-07-14T02:34:00Z</dcterms:created>
  <dc:creator>yy123123</dc:creator>
  <cp:lastModifiedBy>yy123123</cp:lastModifiedBy>
  <dcterms:modified xsi:type="dcterms:W3CDTF">2025-09-04T03:50:33Z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BCBE28F780AB463AAE3DA91471C4BBAF_13</vt:lpwstr>
  </property>
  <property fmtid="{D5CDD505-2E9C-101B-9397-08002B2CF9AE}" pid="4" name="KSOTemplateDocerSaveRecord">
    <vt:lpwstr>eyJoZGlkIjoiODA5ZWUyMmZhMjhkZjc1Y2E4ZjIyMTA1NTBlYWNjMDkiLCJ1c2VySWQiOiIzMTQ1MDU4OSJ9</vt:lpwstr>
  </property>
</Properties>
</file>