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75725">
      <w:pPr>
        <w:pStyle w:val="4"/>
        <w:spacing w:line="360" w:lineRule="auto"/>
        <w:rPr>
          <w:rFonts w:hint="eastAsia" w:eastAsia="宋体"/>
          <w:lang w:val="en-US" w:eastAsia="zh-CN"/>
        </w:rPr>
      </w:pPr>
    </w:p>
    <w:p w14:paraId="280A580C">
      <w:pPr>
        <w:pStyle w:val="4"/>
        <w:spacing w:line="360" w:lineRule="auto"/>
        <w:jc w:val="center"/>
        <w:rPr>
          <w:rFonts w:hint="default" w:eastAsia="宋体"/>
          <w:b/>
          <w:bCs/>
          <w:sz w:val="36"/>
          <w:szCs w:val="36"/>
          <w:lang w:val="en-US" w:eastAsia="zh-CN"/>
        </w:rPr>
      </w:pPr>
      <w:r>
        <w:rPr>
          <w:rFonts w:hint="eastAsia" w:eastAsia="宋体"/>
          <w:b/>
          <w:bCs/>
          <w:sz w:val="36"/>
          <w:szCs w:val="36"/>
          <w:lang w:val="en-US" w:eastAsia="zh-CN"/>
        </w:rPr>
        <w:t>合同文本</w:t>
      </w:r>
    </w:p>
    <w:p w14:paraId="4ED90D3E">
      <w:pPr>
        <w:pStyle w:val="4"/>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（具体以实际合同签订为准）</w:t>
      </w:r>
    </w:p>
    <w:p w14:paraId="3AC8F65F">
      <w:pPr>
        <w:keepNext w:val="0"/>
        <w:keepLines w:val="0"/>
        <w:pageBreakBefore w:val="0"/>
        <w:widowControl w:val="0"/>
        <w:kinsoku/>
        <w:wordWrap/>
        <w:overflowPunct/>
        <w:topLinePunct w:val="0"/>
        <w:autoSpaceDE/>
        <w:autoSpaceDN/>
        <w:bidi w:val="0"/>
        <w:jc w:val="center"/>
        <w:rPr>
          <w:rFonts w:hint="eastAsia" w:ascii="仿宋" w:hAnsi="仿宋" w:eastAsia="仿宋" w:cs="仿宋"/>
          <w:b/>
          <w:color w:val="auto"/>
          <w:sz w:val="48"/>
          <w:szCs w:val="48"/>
        </w:rPr>
      </w:pPr>
    </w:p>
    <w:p w14:paraId="2EA7012F">
      <w:pPr>
        <w:keepNext w:val="0"/>
        <w:keepLines w:val="0"/>
        <w:pageBreakBefore w:val="0"/>
        <w:widowControl w:val="0"/>
        <w:kinsoku/>
        <w:wordWrap/>
        <w:overflowPunct/>
        <w:topLinePunct w:val="0"/>
        <w:autoSpaceDE/>
        <w:autoSpaceDN/>
        <w:bidi w:val="0"/>
        <w:jc w:val="center"/>
        <w:rPr>
          <w:rFonts w:hint="eastAsia" w:ascii="仿宋" w:hAnsi="仿宋" w:eastAsia="仿宋" w:cs="仿宋"/>
          <w:b/>
          <w:color w:val="auto"/>
          <w:sz w:val="48"/>
          <w:szCs w:val="48"/>
        </w:rPr>
      </w:pPr>
      <w:r>
        <w:rPr>
          <w:rFonts w:hint="eastAsia" w:ascii="仿宋" w:hAnsi="仿宋" w:eastAsia="仿宋" w:cs="仿宋"/>
          <w:b/>
          <w:color w:val="auto"/>
          <w:sz w:val="48"/>
          <w:szCs w:val="48"/>
        </w:rPr>
        <w:t>医疗设备采购合同</w:t>
      </w:r>
    </w:p>
    <w:p w14:paraId="4D9C0FAD">
      <w:pPr>
        <w:keepNext w:val="0"/>
        <w:keepLines w:val="0"/>
        <w:pageBreakBefore w:val="0"/>
        <w:widowControl w:val="0"/>
        <w:kinsoku/>
        <w:wordWrap/>
        <w:overflowPunct/>
        <w:topLinePunct w:val="0"/>
        <w:autoSpaceDE/>
        <w:autoSpaceDN/>
        <w:bidi w:val="0"/>
        <w:rPr>
          <w:rFonts w:hint="eastAsia" w:ascii="仿宋" w:hAnsi="仿宋" w:eastAsia="仿宋" w:cs="仿宋"/>
          <w:b/>
          <w:color w:val="auto"/>
          <w:sz w:val="36"/>
          <w:szCs w:val="36"/>
        </w:rPr>
      </w:pPr>
    </w:p>
    <w:p w14:paraId="3107C499">
      <w:pPr>
        <w:keepNext w:val="0"/>
        <w:keepLines w:val="0"/>
        <w:pageBreakBefore w:val="0"/>
        <w:widowControl w:val="0"/>
        <w:kinsoku/>
        <w:wordWrap/>
        <w:overflowPunct/>
        <w:topLinePunct w:val="0"/>
        <w:autoSpaceDE/>
        <w:autoSpaceDN/>
        <w:bidi w:val="0"/>
        <w:rPr>
          <w:rFonts w:hint="eastAsia" w:ascii="仿宋" w:hAnsi="仿宋" w:eastAsia="仿宋" w:cs="仿宋"/>
          <w:b/>
          <w:color w:val="auto"/>
          <w:sz w:val="36"/>
          <w:szCs w:val="36"/>
        </w:rPr>
      </w:pPr>
    </w:p>
    <w:p w14:paraId="242F5876">
      <w:pPr>
        <w:keepNext w:val="0"/>
        <w:keepLines w:val="0"/>
        <w:pageBreakBefore w:val="0"/>
        <w:widowControl w:val="0"/>
        <w:kinsoku/>
        <w:wordWrap/>
        <w:overflowPunct/>
        <w:topLinePunct w:val="0"/>
        <w:autoSpaceDE/>
        <w:autoSpaceDN/>
        <w:bidi w:val="0"/>
        <w:spacing w:line="360" w:lineRule="auto"/>
        <w:jc w:val="left"/>
        <w:rPr>
          <w:rFonts w:hint="eastAsia" w:ascii="仿宋" w:hAnsi="仿宋" w:eastAsia="仿宋" w:cs="仿宋"/>
          <w:b/>
          <w:color w:val="auto"/>
          <w:sz w:val="32"/>
          <w:szCs w:val="32"/>
        </w:rPr>
      </w:pPr>
      <w:bookmarkStart w:id="9" w:name="_GoBack"/>
      <w:bookmarkEnd w:id="9"/>
      <w:r>
        <w:rPr>
          <w:rFonts w:hint="eastAsia" w:ascii="仿宋" w:hAnsi="仿宋" w:eastAsia="仿宋" w:cs="仿宋"/>
          <w:b/>
          <w:color w:val="auto"/>
          <w:sz w:val="32"/>
          <w:szCs w:val="32"/>
        </w:rPr>
        <w:t>采购编号：</w:t>
      </w:r>
    </w:p>
    <w:p w14:paraId="775816E1">
      <w:pPr>
        <w:keepNext w:val="0"/>
        <w:keepLines w:val="0"/>
        <w:pageBreakBefore w:val="0"/>
        <w:widowControl w:val="0"/>
        <w:kinsoku/>
        <w:wordWrap/>
        <w:overflowPunct/>
        <w:topLinePunct w:val="0"/>
        <w:autoSpaceDE/>
        <w:autoSpaceDN/>
        <w:bidi w:val="0"/>
        <w:spacing w:line="360" w:lineRule="auto"/>
        <w:jc w:val="left"/>
        <w:rPr>
          <w:rFonts w:hint="eastAsia" w:ascii="仿宋" w:hAnsi="仿宋" w:eastAsia="仿宋" w:cs="仿宋"/>
          <w:b/>
          <w:color w:val="auto"/>
          <w:sz w:val="32"/>
          <w:szCs w:val="32"/>
        </w:rPr>
      </w:pPr>
      <w:r>
        <w:rPr>
          <w:rFonts w:hint="eastAsia" w:ascii="仿宋" w:hAnsi="仿宋" w:eastAsia="仿宋" w:cs="仿宋"/>
          <w:b/>
          <w:color w:val="auto"/>
          <w:sz w:val="32"/>
          <w:szCs w:val="32"/>
        </w:rPr>
        <w:t>项目名称：</w:t>
      </w:r>
      <w:r>
        <w:rPr>
          <w:rFonts w:hint="eastAsia" w:ascii="仿宋" w:hAnsi="仿宋" w:eastAsia="仿宋" w:cs="仿宋"/>
          <w:b/>
          <w:color w:val="auto"/>
          <w:sz w:val="32"/>
          <w:szCs w:val="32"/>
          <w:u w:val="single"/>
        </w:rPr>
        <w:t>三亚市第二人民医院第二批医疗设备采购项目</w:t>
      </w:r>
    </w:p>
    <w:p w14:paraId="5033EC86">
      <w:pPr>
        <w:keepNext w:val="0"/>
        <w:keepLines w:val="0"/>
        <w:pageBreakBefore w:val="0"/>
        <w:widowControl w:val="0"/>
        <w:kinsoku/>
        <w:wordWrap/>
        <w:overflowPunct/>
        <w:topLinePunct w:val="0"/>
        <w:autoSpaceDE/>
        <w:autoSpaceDN/>
        <w:bidi w:val="0"/>
        <w:spacing w:line="360" w:lineRule="auto"/>
        <w:jc w:val="left"/>
        <w:rPr>
          <w:rFonts w:hint="default" w:ascii="仿宋" w:hAnsi="仿宋" w:eastAsia="仿宋" w:cs="仿宋"/>
          <w:b/>
          <w:color w:val="auto"/>
          <w:sz w:val="32"/>
          <w:szCs w:val="32"/>
          <w:u w:val="single"/>
          <w:lang w:val="en-US" w:eastAsia="zh-CN"/>
        </w:rPr>
      </w:pPr>
      <w:r>
        <w:rPr>
          <w:rFonts w:hint="eastAsia" w:ascii="仿宋" w:hAnsi="仿宋" w:eastAsia="仿宋" w:cs="仿宋"/>
          <w:b/>
          <w:color w:val="auto"/>
          <w:sz w:val="32"/>
          <w:szCs w:val="32"/>
        </w:rPr>
        <w:t>甲</w:t>
      </w:r>
      <w:r>
        <w:rPr>
          <w:rFonts w:hint="eastAsia" w:ascii="仿宋" w:hAnsi="仿宋" w:eastAsia="仿宋" w:cs="仿宋"/>
          <w:b/>
          <w:color w:val="auto"/>
          <w:sz w:val="32"/>
          <w:szCs w:val="32"/>
          <w:lang w:val="en-US" w:eastAsia="zh-CN"/>
        </w:rPr>
        <w:t xml:space="preserve">    </w:t>
      </w:r>
      <w:r>
        <w:rPr>
          <w:rFonts w:hint="eastAsia" w:ascii="仿宋" w:hAnsi="仿宋" w:eastAsia="仿宋" w:cs="仿宋"/>
          <w:b/>
          <w:color w:val="auto"/>
          <w:sz w:val="32"/>
          <w:szCs w:val="32"/>
        </w:rPr>
        <w:t>方：</w:t>
      </w:r>
      <w:r>
        <w:rPr>
          <w:rFonts w:hint="eastAsia" w:ascii="仿宋" w:hAnsi="仿宋" w:eastAsia="仿宋" w:cs="仿宋"/>
          <w:b/>
          <w:color w:val="auto"/>
          <w:sz w:val="32"/>
          <w:szCs w:val="32"/>
          <w:u w:val="single"/>
        </w:rPr>
        <w:t>三亚市第二人民医院</w:t>
      </w:r>
      <w:r>
        <w:rPr>
          <w:rFonts w:hint="eastAsia" w:ascii="仿宋" w:hAnsi="仿宋" w:eastAsia="仿宋" w:cs="仿宋"/>
          <w:b/>
          <w:color w:val="auto"/>
          <w:sz w:val="32"/>
          <w:szCs w:val="32"/>
          <w:u w:val="single"/>
          <w:lang w:val="en-US" w:eastAsia="zh-CN"/>
        </w:rPr>
        <w:t xml:space="preserve">                 </w:t>
      </w:r>
    </w:p>
    <w:p w14:paraId="2B147072">
      <w:pPr>
        <w:keepNext w:val="0"/>
        <w:keepLines w:val="0"/>
        <w:pageBreakBefore w:val="0"/>
        <w:widowControl w:val="0"/>
        <w:kinsoku/>
        <w:wordWrap/>
        <w:overflowPunct/>
        <w:topLinePunct w:val="0"/>
        <w:autoSpaceDE/>
        <w:autoSpaceDN/>
        <w:bidi w:val="0"/>
        <w:spacing w:line="360" w:lineRule="auto"/>
        <w:jc w:val="left"/>
        <w:rPr>
          <w:rFonts w:hint="eastAsia" w:ascii="仿宋" w:hAnsi="仿宋" w:eastAsia="仿宋" w:cs="仿宋"/>
          <w:b/>
          <w:color w:val="auto"/>
          <w:sz w:val="32"/>
          <w:szCs w:val="32"/>
          <w:u w:val="single"/>
        </w:rPr>
      </w:pPr>
      <w:r>
        <w:rPr>
          <w:rFonts w:hint="eastAsia" w:ascii="仿宋" w:hAnsi="仿宋" w:eastAsia="仿宋" w:cs="仿宋"/>
          <w:b/>
          <w:color w:val="auto"/>
          <w:sz w:val="32"/>
          <w:szCs w:val="32"/>
        </w:rPr>
        <w:t>乙</w:t>
      </w:r>
      <w:r>
        <w:rPr>
          <w:rFonts w:hint="eastAsia" w:ascii="仿宋" w:hAnsi="仿宋" w:eastAsia="仿宋" w:cs="仿宋"/>
          <w:b/>
          <w:color w:val="auto"/>
          <w:sz w:val="32"/>
          <w:szCs w:val="32"/>
          <w:lang w:val="en-US" w:eastAsia="zh-CN"/>
        </w:rPr>
        <w:t xml:space="preserve">    </w:t>
      </w:r>
      <w:r>
        <w:rPr>
          <w:rFonts w:hint="eastAsia" w:ascii="仿宋" w:hAnsi="仿宋" w:eastAsia="仿宋" w:cs="仿宋"/>
          <w:b/>
          <w:color w:val="auto"/>
          <w:sz w:val="32"/>
          <w:szCs w:val="32"/>
        </w:rPr>
        <w:t>方：</w:t>
      </w:r>
      <w:r>
        <w:rPr>
          <w:rFonts w:hint="eastAsia" w:ascii="仿宋" w:hAnsi="仿宋" w:eastAsia="仿宋" w:cs="仿宋"/>
          <w:b/>
          <w:color w:val="auto"/>
          <w:sz w:val="32"/>
          <w:szCs w:val="32"/>
          <w:u w:val="single"/>
          <w:lang w:val="en-US" w:eastAsia="zh-CN"/>
        </w:rPr>
        <w:t xml:space="preserve">                                  </w:t>
      </w:r>
      <w:r>
        <w:rPr>
          <w:rFonts w:hint="eastAsia" w:ascii="仿宋" w:hAnsi="仿宋" w:eastAsia="仿宋" w:cs="仿宋"/>
          <w:b/>
          <w:color w:val="auto"/>
          <w:sz w:val="32"/>
          <w:szCs w:val="32"/>
          <w:u w:val="single"/>
          <w:lang w:val="zh-CN"/>
        </w:rPr>
        <w:t xml:space="preserve"> </w:t>
      </w:r>
    </w:p>
    <w:p w14:paraId="345B4D02">
      <w:pPr>
        <w:keepNext w:val="0"/>
        <w:keepLines w:val="0"/>
        <w:pageBreakBefore w:val="0"/>
        <w:widowControl w:val="0"/>
        <w:kinsoku/>
        <w:wordWrap/>
        <w:overflowPunct/>
        <w:topLinePunct w:val="0"/>
        <w:autoSpaceDE/>
        <w:autoSpaceDN/>
        <w:bidi w:val="0"/>
        <w:spacing w:line="360" w:lineRule="auto"/>
        <w:ind w:firstLine="1279" w:firstLineChars="398"/>
        <w:jc w:val="left"/>
        <w:rPr>
          <w:rFonts w:hint="eastAsia" w:ascii="仿宋" w:hAnsi="仿宋" w:eastAsia="仿宋" w:cs="仿宋"/>
          <w:b/>
          <w:color w:val="auto"/>
          <w:sz w:val="32"/>
          <w:szCs w:val="32"/>
          <w:u w:val="single"/>
        </w:rPr>
      </w:pPr>
    </w:p>
    <w:p w14:paraId="38415D9C">
      <w:pPr>
        <w:pStyle w:val="12"/>
        <w:keepNext w:val="0"/>
        <w:keepLines w:val="0"/>
        <w:pageBreakBefore w:val="0"/>
        <w:widowControl w:val="0"/>
        <w:kinsoku/>
        <w:wordWrap/>
        <w:overflowPunct/>
        <w:topLinePunct w:val="0"/>
        <w:autoSpaceDE/>
        <w:autoSpaceDN/>
        <w:bidi w:val="0"/>
        <w:spacing w:line="360" w:lineRule="auto"/>
        <w:rPr>
          <w:rFonts w:hint="eastAsia"/>
          <w:color w:val="auto"/>
        </w:rPr>
      </w:pPr>
    </w:p>
    <w:p w14:paraId="59723305">
      <w:pPr>
        <w:keepNext w:val="0"/>
        <w:keepLines w:val="0"/>
        <w:pageBreakBefore w:val="0"/>
        <w:widowControl w:val="0"/>
        <w:kinsoku/>
        <w:wordWrap/>
        <w:overflowPunct/>
        <w:topLinePunct w:val="0"/>
        <w:autoSpaceDE/>
        <w:autoSpaceDN/>
        <w:bidi w:val="0"/>
        <w:spacing w:line="360" w:lineRule="auto"/>
        <w:ind w:firstLine="1279" w:firstLineChars="398"/>
        <w:jc w:val="left"/>
        <w:rPr>
          <w:rFonts w:hint="eastAsia" w:ascii="仿宋" w:hAnsi="仿宋" w:eastAsia="仿宋" w:cs="仿宋"/>
          <w:b/>
          <w:color w:val="auto"/>
          <w:sz w:val="32"/>
          <w:szCs w:val="32"/>
          <w:u w:val="single"/>
        </w:rPr>
      </w:pPr>
      <w:r>
        <w:rPr>
          <w:rFonts w:hint="eastAsia" w:ascii="仿宋" w:hAnsi="仿宋" w:eastAsia="仿宋" w:cs="仿宋"/>
          <w:b/>
          <w:color w:val="auto"/>
          <w:sz w:val="32"/>
          <w:szCs w:val="32"/>
        </w:rPr>
        <w:t>签订日期：</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u w:val="single"/>
          <w:lang w:val="en-US" w:eastAsia="zh-CN"/>
        </w:rPr>
        <w:t xml:space="preserve"> </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年</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月</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日</w:t>
      </w:r>
    </w:p>
    <w:p w14:paraId="764A6BFE">
      <w:pPr>
        <w:keepNext w:val="0"/>
        <w:keepLines w:val="0"/>
        <w:pageBreakBefore w:val="0"/>
        <w:widowControl w:val="0"/>
        <w:kinsoku/>
        <w:wordWrap/>
        <w:overflowPunct/>
        <w:topLinePunct w:val="0"/>
        <w:autoSpaceDE/>
        <w:autoSpaceDN/>
        <w:bidi w:val="0"/>
        <w:spacing w:line="360" w:lineRule="auto"/>
        <w:ind w:firstLine="1279" w:firstLineChars="398"/>
        <w:jc w:val="left"/>
        <w:rPr>
          <w:rFonts w:hint="eastAsia" w:ascii="仿宋" w:hAnsi="仿宋" w:eastAsia="仿宋" w:cs="仿宋"/>
          <w:b/>
          <w:color w:val="auto"/>
          <w:sz w:val="32"/>
          <w:szCs w:val="32"/>
          <w:u w:val="single"/>
        </w:rPr>
      </w:pPr>
      <w:r>
        <w:rPr>
          <w:rFonts w:hint="eastAsia" w:ascii="仿宋" w:hAnsi="仿宋" w:eastAsia="仿宋" w:cs="仿宋"/>
          <w:b/>
          <w:color w:val="auto"/>
          <w:sz w:val="32"/>
          <w:szCs w:val="32"/>
        </w:rPr>
        <w:t>签订地点：</w:t>
      </w:r>
      <w:r>
        <w:rPr>
          <w:rFonts w:hint="eastAsia" w:ascii="仿宋" w:hAnsi="仿宋" w:eastAsia="仿宋" w:cs="仿宋"/>
          <w:b/>
          <w:color w:val="auto"/>
          <w:sz w:val="32"/>
          <w:szCs w:val="32"/>
          <w:u w:val="single"/>
        </w:rPr>
        <w:t xml:space="preserve">     海南三亚      </w:t>
      </w:r>
    </w:p>
    <w:p w14:paraId="2F200CAF">
      <w:pPr>
        <w:keepNext w:val="0"/>
        <w:keepLines w:val="0"/>
        <w:pageBreakBefore w:val="0"/>
        <w:widowControl w:val="0"/>
        <w:kinsoku/>
        <w:wordWrap/>
        <w:overflowPunct/>
        <w:topLinePunct w:val="0"/>
        <w:autoSpaceDE/>
        <w:autoSpaceDN/>
        <w:bidi w:val="0"/>
        <w:ind w:firstLine="736" w:firstLineChars="349"/>
        <w:rPr>
          <w:rFonts w:hint="eastAsia" w:ascii="仿宋" w:hAnsi="仿宋" w:eastAsia="仿宋" w:cs="仿宋"/>
          <w:b/>
          <w:color w:val="auto"/>
        </w:rPr>
      </w:pPr>
    </w:p>
    <w:p w14:paraId="106B1830">
      <w:pPr>
        <w:keepNext w:val="0"/>
        <w:keepLines w:val="0"/>
        <w:pageBreakBefore w:val="0"/>
        <w:widowControl w:val="0"/>
        <w:kinsoku/>
        <w:wordWrap/>
        <w:overflowPunct/>
        <w:topLinePunct w:val="0"/>
        <w:autoSpaceDE/>
        <w:autoSpaceDN/>
        <w:bidi w:val="0"/>
        <w:ind w:firstLine="736" w:firstLineChars="349"/>
        <w:rPr>
          <w:rFonts w:hint="eastAsia" w:ascii="仿宋" w:hAnsi="仿宋" w:eastAsia="仿宋" w:cs="仿宋"/>
          <w:b/>
          <w:color w:val="auto"/>
        </w:rPr>
      </w:pPr>
    </w:p>
    <w:p w14:paraId="2833EC00">
      <w:pPr>
        <w:keepNext w:val="0"/>
        <w:keepLines w:val="0"/>
        <w:pageBreakBefore w:val="0"/>
        <w:widowControl w:val="0"/>
        <w:kinsoku/>
        <w:wordWrap/>
        <w:overflowPunct/>
        <w:topLinePunct w:val="0"/>
        <w:autoSpaceDE/>
        <w:autoSpaceDN/>
        <w:bidi w:val="0"/>
        <w:ind w:firstLine="736" w:firstLineChars="349"/>
        <w:rPr>
          <w:rFonts w:hint="eastAsia" w:ascii="仿宋" w:hAnsi="仿宋" w:eastAsia="仿宋" w:cs="仿宋"/>
          <w:b/>
          <w:color w:val="auto"/>
        </w:rPr>
      </w:pPr>
    </w:p>
    <w:p w14:paraId="305B6117">
      <w:pPr>
        <w:keepNext w:val="0"/>
        <w:keepLines w:val="0"/>
        <w:pageBreakBefore w:val="0"/>
        <w:widowControl w:val="0"/>
        <w:kinsoku/>
        <w:wordWrap/>
        <w:overflowPunct/>
        <w:topLinePunct w:val="0"/>
        <w:autoSpaceDE/>
        <w:autoSpaceDN/>
        <w:bidi w:val="0"/>
        <w:ind w:firstLine="736" w:firstLineChars="349"/>
        <w:rPr>
          <w:rFonts w:hint="eastAsia" w:ascii="仿宋" w:hAnsi="仿宋" w:eastAsia="仿宋" w:cs="仿宋"/>
          <w:b/>
          <w:color w:val="auto"/>
        </w:rPr>
      </w:pPr>
    </w:p>
    <w:p w14:paraId="06F619DD">
      <w:pPr>
        <w:keepNext w:val="0"/>
        <w:keepLines w:val="0"/>
        <w:pageBreakBefore w:val="0"/>
        <w:widowControl w:val="0"/>
        <w:kinsoku/>
        <w:wordWrap/>
        <w:overflowPunct/>
        <w:topLinePunct w:val="0"/>
        <w:autoSpaceDE/>
        <w:autoSpaceDN/>
        <w:bidi w:val="0"/>
        <w:ind w:firstLine="736" w:firstLineChars="349"/>
        <w:rPr>
          <w:rFonts w:hint="eastAsia" w:ascii="仿宋" w:hAnsi="仿宋" w:eastAsia="仿宋" w:cs="仿宋"/>
          <w:b/>
          <w:color w:val="auto"/>
        </w:rPr>
      </w:pPr>
    </w:p>
    <w:p w14:paraId="590881D4">
      <w:pPr>
        <w:keepNext w:val="0"/>
        <w:keepLines w:val="0"/>
        <w:pageBreakBefore w:val="0"/>
        <w:widowControl w:val="0"/>
        <w:kinsoku/>
        <w:wordWrap/>
        <w:overflowPunct/>
        <w:topLinePunct w:val="0"/>
        <w:autoSpaceDE/>
        <w:autoSpaceDN/>
        <w:bidi w:val="0"/>
        <w:ind w:firstLine="736" w:firstLineChars="349"/>
        <w:rPr>
          <w:rFonts w:hint="eastAsia" w:ascii="仿宋" w:hAnsi="仿宋" w:eastAsia="仿宋" w:cs="仿宋"/>
          <w:b/>
          <w:color w:val="auto"/>
        </w:rPr>
      </w:pPr>
    </w:p>
    <w:p w14:paraId="3C9634D1">
      <w:pPr>
        <w:keepNext w:val="0"/>
        <w:keepLines w:val="0"/>
        <w:pageBreakBefore w:val="0"/>
        <w:widowControl w:val="0"/>
        <w:kinsoku/>
        <w:wordWrap/>
        <w:overflowPunct/>
        <w:topLinePunct w:val="0"/>
        <w:autoSpaceDE/>
        <w:autoSpaceDN/>
        <w:bidi w:val="0"/>
        <w:ind w:firstLine="736" w:firstLineChars="349"/>
        <w:rPr>
          <w:rFonts w:hint="eastAsia" w:ascii="仿宋" w:hAnsi="仿宋" w:eastAsia="仿宋" w:cs="仿宋"/>
          <w:b/>
          <w:color w:val="auto"/>
        </w:rPr>
      </w:pPr>
    </w:p>
    <w:p w14:paraId="7D1D750D">
      <w:pPr>
        <w:keepNext w:val="0"/>
        <w:keepLines w:val="0"/>
        <w:pageBreakBefore w:val="0"/>
        <w:widowControl w:val="0"/>
        <w:kinsoku/>
        <w:wordWrap/>
        <w:overflowPunct/>
        <w:topLinePunct w:val="0"/>
        <w:autoSpaceDE/>
        <w:autoSpaceDN/>
        <w:bidi w:val="0"/>
        <w:ind w:firstLine="736" w:firstLineChars="349"/>
        <w:rPr>
          <w:rFonts w:hint="eastAsia" w:ascii="仿宋" w:hAnsi="仿宋" w:eastAsia="仿宋" w:cs="仿宋"/>
          <w:b/>
          <w:color w:val="auto"/>
        </w:rPr>
      </w:pPr>
    </w:p>
    <w:p w14:paraId="663DDCFD">
      <w:pPr>
        <w:keepNext w:val="0"/>
        <w:keepLines w:val="0"/>
        <w:pageBreakBefore w:val="0"/>
        <w:widowControl w:val="0"/>
        <w:kinsoku/>
        <w:wordWrap/>
        <w:overflowPunct/>
        <w:topLinePunct w:val="0"/>
        <w:autoSpaceDE/>
        <w:autoSpaceDN/>
        <w:bidi w:val="0"/>
        <w:jc w:val="center"/>
        <w:rPr>
          <w:rFonts w:hint="eastAsia" w:ascii="仿宋" w:hAnsi="仿宋" w:eastAsia="仿宋" w:cs="仿宋"/>
          <w:b/>
          <w:color w:val="auto"/>
          <w:sz w:val="44"/>
          <w:szCs w:val="44"/>
        </w:rPr>
      </w:pPr>
    </w:p>
    <w:p w14:paraId="38B963AD">
      <w:pPr>
        <w:keepNext w:val="0"/>
        <w:keepLines w:val="0"/>
        <w:pageBreakBefore w:val="0"/>
        <w:widowControl w:val="0"/>
        <w:kinsoku/>
        <w:wordWrap/>
        <w:overflowPunct/>
        <w:topLinePunct w:val="0"/>
        <w:autoSpaceDE/>
        <w:autoSpaceDN/>
        <w:bidi w:val="0"/>
        <w:jc w:val="center"/>
        <w:rPr>
          <w:rFonts w:hint="eastAsia" w:ascii="仿宋" w:hAnsi="仿宋" w:eastAsia="仿宋" w:cs="仿宋"/>
          <w:b/>
          <w:color w:val="auto"/>
          <w:sz w:val="44"/>
          <w:szCs w:val="44"/>
        </w:rPr>
      </w:pPr>
    </w:p>
    <w:p w14:paraId="5B228637">
      <w:pPr>
        <w:keepNext w:val="0"/>
        <w:keepLines w:val="0"/>
        <w:pageBreakBefore w:val="0"/>
        <w:widowControl w:val="0"/>
        <w:kinsoku/>
        <w:wordWrap/>
        <w:overflowPunct/>
        <w:topLinePunct w:val="0"/>
        <w:autoSpaceDE/>
        <w:autoSpaceDN/>
        <w:bidi w:val="0"/>
        <w:jc w:val="center"/>
        <w:rPr>
          <w:rFonts w:hint="eastAsia" w:ascii="仿宋" w:hAnsi="仿宋" w:eastAsia="仿宋" w:cs="仿宋"/>
          <w:b/>
          <w:color w:val="auto"/>
          <w:sz w:val="44"/>
          <w:szCs w:val="44"/>
        </w:rPr>
      </w:pPr>
    </w:p>
    <w:p w14:paraId="4981AB85">
      <w:pPr>
        <w:keepNext w:val="0"/>
        <w:keepLines w:val="0"/>
        <w:pageBreakBefore w:val="0"/>
        <w:widowControl w:val="0"/>
        <w:kinsoku/>
        <w:wordWrap/>
        <w:overflowPunct/>
        <w:topLinePunct w:val="0"/>
        <w:autoSpaceDE/>
        <w:autoSpaceDN/>
        <w:bidi w:val="0"/>
        <w:jc w:val="center"/>
        <w:rPr>
          <w:rFonts w:hint="eastAsia" w:ascii="仿宋" w:hAnsi="仿宋" w:eastAsia="仿宋" w:cs="仿宋"/>
          <w:b/>
          <w:color w:val="auto"/>
          <w:sz w:val="44"/>
          <w:szCs w:val="44"/>
        </w:rPr>
      </w:pPr>
    </w:p>
    <w:p w14:paraId="53FC8F4B">
      <w:pPr>
        <w:keepNext w:val="0"/>
        <w:keepLines w:val="0"/>
        <w:pageBreakBefore w:val="0"/>
        <w:widowControl w:val="0"/>
        <w:kinsoku/>
        <w:wordWrap/>
        <w:overflowPunct/>
        <w:topLinePunct w:val="0"/>
        <w:autoSpaceDE/>
        <w:autoSpaceDN/>
        <w:bidi w:val="0"/>
        <w:jc w:val="center"/>
        <w:rPr>
          <w:rFonts w:hint="eastAsia" w:ascii="仿宋" w:hAnsi="仿宋" w:eastAsia="仿宋" w:cs="仿宋"/>
          <w:b/>
          <w:color w:val="auto"/>
          <w:sz w:val="44"/>
          <w:szCs w:val="44"/>
        </w:rPr>
      </w:pPr>
    </w:p>
    <w:p w14:paraId="1ABA5C9E">
      <w:pPr>
        <w:keepNext w:val="0"/>
        <w:keepLines w:val="0"/>
        <w:pageBreakBefore w:val="0"/>
        <w:widowControl w:val="0"/>
        <w:kinsoku/>
        <w:wordWrap/>
        <w:overflowPunct/>
        <w:topLinePunct w:val="0"/>
        <w:autoSpaceDE/>
        <w:autoSpaceDN/>
        <w:bidi w:val="0"/>
        <w:jc w:val="center"/>
        <w:rPr>
          <w:rFonts w:hint="eastAsia" w:ascii="仿宋" w:hAnsi="仿宋" w:eastAsia="仿宋" w:cs="仿宋"/>
          <w:b/>
          <w:color w:val="auto"/>
          <w:sz w:val="44"/>
          <w:szCs w:val="44"/>
        </w:rPr>
      </w:pPr>
    </w:p>
    <w:p w14:paraId="545D48A3">
      <w:pPr>
        <w:keepNext w:val="0"/>
        <w:keepLines w:val="0"/>
        <w:pageBreakBefore w:val="0"/>
        <w:widowControl w:val="0"/>
        <w:kinsoku/>
        <w:wordWrap/>
        <w:overflowPunct/>
        <w:topLinePunct w:val="0"/>
        <w:autoSpaceDE/>
        <w:autoSpaceDN/>
        <w:bidi w:val="0"/>
        <w:jc w:val="center"/>
        <w:rPr>
          <w:rFonts w:hint="eastAsia" w:ascii="仿宋" w:hAnsi="仿宋" w:eastAsia="仿宋" w:cs="仿宋"/>
          <w:b/>
          <w:color w:val="auto"/>
          <w:sz w:val="44"/>
          <w:szCs w:val="44"/>
        </w:rPr>
      </w:pPr>
      <w:r>
        <w:rPr>
          <w:rFonts w:hint="eastAsia" w:ascii="仿宋" w:hAnsi="仿宋" w:eastAsia="仿宋" w:cs="仿宋"/>
          <w:b/>
          <w:color w:val="auto"/>
          <w:sz w:val="44"/>
          <w:szCs w:val="44"/>
        </w:rPr>
        <w:t>医疗设备采购合同</w:t>
      </w:r>
    </w:p>
    <w:p w14:paraId="4AC520A4">
      <w:pPr>
        <w:keepNext w:val="0"/>
        <w:keepLines w:val="0"/>
        <w:pageBreakBefore w:val="0"/>
        <w:widowControl w:val="0"/>
        <w:kinsoku/>
        <w:wordWrap/>
        <w:overflowPunct/>
        <w:topLinePunct w:val="0"/>
        <w:autoSpaceDE/>
        <w:autoSpaceDN/>
        <w:bidi w:val="0"/>
        <w:rPr>
          <w:rFonts w:hint="eastAsia" w:ascii="仿宋" w:hAnsi="仿宋" w:eastAsia="仿宋" w:cs="仿宋"/>
          <w:color w:val="auto"/>
          <w:sz w:val="24"/>
        </w:rPr>
      </w:pPr>
      <w:r>
        <w:rPr>
          <w:rFonts w:hint="eastAsia" w:ascii="仿宋" w:hAnsi="仿宋" w:eastAsia="仿宋" w:cs="仿宋"/>
          <w:b/>
          <w:color w:val="auto"/>
          <w:sz w:val="36"/>
          <w:szCs w:val="36"/>
        </w:rPr>
        <w:t xml:space="preserve">                          </w:t>
      </w:r>
      <w:r>
        <w:rPr>
          <w:rFonts w:hint="eastAsia" w:ascii="仿宋" w:hAnsi="仿宋" w:eastAsia="仿宋" w:cs="仿宋"/>
          <w:color w:val="auto"/>
          <w:sz w:val="32"/>
          <w:szCs w:val="32"/>
        </w:rPr>
        <w:t xml:space="preserve"> </w:t>
      </w:r>
      <w:r>
        <w:rPr>
          <w:rFonts w:hint="eastAsia" w:ascii="仿宋" w:hAnsi="仿宋" w:eastAsia="仿宋" w:cs="仿宋"/>
          <w:color w:val="auto"/>
          <w:sz w:val="24"/>
        </w:rPr>
        <w:t xml:space="preserve">          </w:t>
      </w:r>
    </w:p>
    <w:p w14:paraId="094271D0">
      <w:pPr>
        <w:keepNext w:val="0"/>
        <w:keepLines w:val="0"/>
        <w:pageBreakBefore w:val="0"/>
        <w:widowControl w:val="0"/>
        <w:kinsoku/>
        <w:wordWrap/>
        <w:overflowPunct/>
        <w:topLinePunct w:val="0"/>
        <w:autoSpaceDE/>
        <w:autoSpaceDN/>
        <w:bidi w:val="0"/>
        <w:spacing w:line="460" w:lineRule="exact"/>
        <w:rPr>
          <w:rFonts w:hint="eastAsia" w:ascii="仿宋" w:hAnsi="仿宋" w:eastAsia="仿宋" w:cs="仿宋"/>
          <w:color w:val="auto"/>
          <w:sz w:val="28"/>
          <w:szCs w:val="28"/>
        </w:rPr>
      </w:pPr>
    </w:p>
    <w:tbl>
      <w:tblPr>
        <w:tblStyle w:val="8"/>
        <w:tblW w:w="0" w:type="auto"/>
        <w:tblInd w:w="0" w:type="dxa"/>
        <w:tblLayout w:type="fixed"/>
        <w:tblCellMar>
          <w:top w:w="0" w:type="dxa"/>
          <w:left w:w="108" w:type="dxa"/>
          <w:bottom w:w="0" w:type="dxa"/>
          <w:right w:w="108" w:type="dxa"/>
        </w:tblCellMar>
      </w:tblPr>
      <w:tblGrid>
        <w:gridCol w:w="4626"/>
        <w:gridCol w:w="4820"/>
      </w:tblGrid>
      <w:tr w14:paraId="04D31F13">
        <w:tblPrEx>
          <w:tblCellMar>
            <w:top w:w="0" w:type="dxa"/>
            <w:left w:w="108" w:type="dxa"/>
            <w:bottom w:w="0" w:type="dxa"/>
            <w:right w:w="108" w:type="dxa"/>
          </w:tblCellMar>
        </w:tblPrEx>
        <w:trPr>
          <w:trHeight w:val="481" w:hRule="atLeast"/>
        </w:trPr>
        <w:tc>
          <w:tcPr>
            <w:tcW w:w="4626" w:type="dxa"/>
            <w:noWrap w:val="0"/>
            <w:vAlign w:val="center"/>
          </w:tcPr>
          <w:p w14:paraId="1B8F16EB">
            <w:pPr>
              <w:keepNext w:val="0"/>
              <w:keepLines w:val="0"/>
              <w:pageBreakBefore w:val="0"/>
              <w:widowControl w:val="0"/>
              <w:kinsoku/>
              <w:wordWrap/>
              <w:overflowPunct/>
              <w:topLinePunct w:val="0"/>
              <w:autoSpaceDE/>
              <w:autoSpaceDN/>
              <w:bidi w:val="0"/>
              <w:rPr>
                <w:rFonts w:hint="default" w:ascii="仿宋" w:hAnsi="仿宋" w:eastAsia="仿宋" w:cs="仿宋"/>
                <w:bCs/>
                <w:color w:val="auto"/>
                <w:kern w:val="0"/>
                <w:sz w:val="28"/>
                <w:szCs w:val="28"/>
                <w:lang w:val="en-US" w:eastAsia="zh-CN"/>
              </w:rPr>
            </w:pPr>
            <w:r>
              <w:rPr>
                <w:rFonts w:hint="eastAsia" w:ascii="仿宋" w:hAnsi="仿宋" w:eastAsia="仿宋" w:cs="仿宋"/>
                <w:bCs/>
                <w:color w:val="auto"/>
                <w:kern w:val="0"/>
                <w:sz w:val="28"/>
                <w:szCs w:val="28"/>
              </w:rPr>
              <w:t>甲方：</w:t>
            </w:r>
            <w:r>
              <w:rPr>
                <w:rFonts w:hint="eastAsia" w:ascii="仿宋" w:hAnsi="仿宋" w:eastAsia="仿宋" w:cs="仿宋"/>
                <w:bCs/>
                <w:color w:val="auto"/>
                <w:sz w:val="28"/>
                <w:szCs w:val="28"/>
                <w:u w:val="single"/>
                <w:lang w:val="en-US" w:eastAsia="zh-CN"/>
              </w:rPr>
              <w:t xml:space="preserve"> 三亚市第二人民医院                         </w:t>
            </w:r>
          </w:p>
        </w:tc>
        <w:tc>
          <w:tcPr>
            <w:tcW w:w="4820" w:type="dxa"/>
            <w:noWrap w:val="0"/>
            <w:vAlign w:val="top"/>
          </w:tcPr>
          <w:p w14:paraId="4B7C5377">
            <w:pPr>
              <w:keepNext w:val="0"/>
              <w:keepLines w:val="0"/>
              <w:pageBreakBefore w:val="0"/>
              <w:widowControl w:val="0"/>
              <w:kinsoku/>
              <w:wordWrap/>
              <w:overflowPunct/>
              <w:topLinePunct w:val="0"/>
              <w:autoSpaceDE/>
              <w:autoSpaceDN/>
              <w:bidi w:val="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乙方:</w:t>
            </w:r>
            <w:r>
              <w:rPr>
                <w:rFonts w:hint="eastAsia" w:ascii="仿宋_GB2312" w:hAnsi="仿宋_GB2312" w:eastAsia="仿宋_GB2312" w:cs="仿宋_GB2312"/>
                <w:bCs/>
                <w:color w:val="auto"/>
                <w:kern w:val="0"/>
                <w:sz w:val="28"/>
                <w:szCs w:val="28"/>
                <w:u w:val="single"/>
                <w:lang w:val="en-US" w:eastAsia="zh-CN"/>
              </w:rPr>
              <w:t xml:space="preserve">                           </w:t>
            </w:r>
            <w:r>
              <w:rPr>
                <w:rFonts w:hint="eastAsia" w:ascii="仿宋" w:hAnsi="仿宋" w:eastAsia="仿宋" w:cs="仿宋"/>
                <w:bCs/>
                <w:color w:val="auto"/>
                <w:kern w:val="0"/>
                <w:sz w:val="28"/>
                <w:szCs w:val="28"/>
                <w:u w:val="single"/>
              </w:rPr>
              <w:t xml:space="preserve"> </w:t>
            </w:r>
          </w:p>
        </w:tc>
      </w:tr>
      <w:tr w14:paraId="4B21882A">
        <w:tblPrEx>
          <w:tblCellMar>
            <w:top w:w="0" w:type="dxa"/>
            <w:left w:w="108" w:type="dxa"/>
            <w:bottom w:w="0" w:type="dxa"/>
            <w:right w:w="108" w:type="dxa"/>
          </w:tblCellMar>
        </w:tblPrEx>
        <w:trPr>
          <w:trHeight w:val="466" w:hRule="atLeast"/>
        </w:trPr>
        <w:tc>
          <w:tcPr>
            <w:tcW w:w="4626" w:type="dxa"/>
            <w:noWrap w:val="0"/>
            <w:vAlign w:val="top"/>
          </w:tcPr>
          <w:p w14:paraId="428533D7">
            <w:pPr>
              <w:keepNext w:val="0"/>
              <w:keepLines w:val="0"/>
              <w:pageBreakBefore w:val="0"/>
              <w:widowControl w:val="0"/>
              <w:kinsoku/>
              <w:wordWrap/>
              <w:overflowPunct/>
              <w:topLinePunct w:val="0"/>
              <w:autoSpaceDE/>
              <w:autoSpaceDN/>
              <w:bidi w:val="0"/>
              <w:rPr>
                <w:rFonts w:hint="default" w:ascii="仿宋" w:hAnsi="仿宋" w:eastAsia="仿宋" w:cs="仿宋"/>
                <w:bCs/>
                <w:color w:val="auto"/>
                <w:kern w:val="0"/>
                <w:sz w:val="28"/>
                <w:szCs w:val="28"/>
                <w:lang w:val="en-US" w:eastAsia="zh-CN"/>
              </w:rPr>
            </w:pPr>
            <w:r>
              <w:rPr>
                <w:rFonts w:hint="eastAsia" w:ascii="仿宋" w:hAnsi="仿宋" w:eastAsia="仿宋" w:cs="仿宋"/>
                <w:bCs/>
                <w:color w:val="auto"/>
                <w:kern w:val="0"/>
                <w:sz w:val="28"/>
                <w:szCs w:val="28"/>
              </w:rPr>
              <w:t>地址：三亚市吉阳区榆红</w:t>
            </w:r>
            <w:r>
              <w:rPr>
                <w:rFonts w:hint="eastAsia" w:ascii="仿宋" w:hAnsi="仿宋" w:eastAsia="仿宋" w:cs="仿宋"/>
                <w:bCs/>
                <w:color w:val="auto"/>
                <w:kern w:val="0"/>
                <w:sz w:val="28"/>
                <w:szCs w:val="28"/>
                <w:lang w:val="en-US" w:eastAsia="zh-CN"/>
              </w:rPr>
              <w:t>路三亚市第二人民医院</w:t>
            </w:r>
          </w:p>
        </w:tc>
        <w:tc>
          <w:tcPr>
            <w:tcW w:w="4820" w:type="dxa"/>
            <w:noWrap w:val="0"/>
            <w:vAlign w:val="top"/>
          </w:tcPr>
          <w:p w14:paraId="5B909C0E">
            <w:pPr>
              <w:keepNext w:val="0"/>
              <w:keepLines w:val="0"/>
              <w:pageBreakBefore w:val="0"/>
              <w:widowControl w:val="0"/>
              <w:kinsoku/>
              <w:wordWrap/>
              <w:overflowPunct/>
              <w:topLinePunct w:val="0"/>
              <w:autoSpaceDE/>
              <w:autoSpaceDN/>
              <w:bidi w:val="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地址</w:t>
            </w:r>
            <w:r>
              <w:rPr>
                <w:rFonts w:hint="eastAsia" w:ascii="仿宋" w:hAnsi="仿宋" w:eastAsia="仿宋" w:cs="仿宋"/>
                <w:bCs/>
                <w:color w:val="auto"/>
                <w:kern w:val="0"/>
                <w:sz w:val="28"/>
                <w:szCs w:val="28"/>
                <w:lang w:val="en-US" w:eastAsia="zh-CN"/>
              </w:rPr>
              <w:t>：</w:t>
            </w:r>
          </w:p>
        </w:tc>
      </w:tr>
      <w:tr w14:paraId="79A32AA4">
        <w:tblPrEx>
          <w:tblCellMar>
            <w:top w:w="0" w:type="dxa"/>
            <w:left w:w="108" w:type="dxa"/>
            <w:bottom w:w="0" w:type="dxa"/>
            <w:right w:w="108" w:type="dxa"/>
          </w:tblCellMar>
        </w:tblPrEx>
        <w:trPr>
          <w:trHeight w:val="466" w:hRule="atLeast"/>
        </w:trPr>
        <w:tc>
          <w:tcPr>
            <w:tcW w:w="4626" w:type="dxa"/>
            <w:noWrap w:val="0"/>
            <w:vAlign w:val="center"/>
          </w:tcPr>
          <w:p w14:paraId="08AA09F1">
            <w:pPr>
              <w:keepNext w:val="0"/>
              <w:keepLines w:val="0"/>
              <w:pageBreakBefore w:val="0"/>
              <w:widowControl w:val="0"/>
              <w:kinsoku/>
              <w:wordWrap/>
              <w:overflowPunct/>
              <w:topLinePunct w:val="0"/>
              <w:autoSpaceDE/>
              <w:autoSpaceDN/>
              <w:bidi w:val="0"/>
              <w:rPr>
                <w:rFonts w:hint="eastAsia" w:ascii="仿宋" w:hAnsi="仿宋" w:eastAsia="仿宋" w:cs="仿宋"/>
                <w:bCs/>
                <w:color w:val="auto"/>
                <w:kern w:val="0"/>
                <w:sz w:val="28"/>
                <w:szCs w:val="28"/>
                <w:lang w:val="en-US" w:eastAsia="zh-CN"/>
              </w:rPr>
            </w:pPr>
            <w:r>
              <w:rPr>
                <w:rFonts w:hint="eastAsia" w:ascii="仿宋" w:hAnsi="仿宋" w:eastAsia="仿宋" w:cs="仿宋"/>
                <w:bCs/>
                <w:color w:val="auto"/>
                <w:kern w:val="0"/>
                <w:sz w:val="28"/>
                <w:szCs w:val="28"/>
              </w:rPr>
              <w:t>法定代表人：</w:t>
            </w:r>
            <w:r>
              <w:rPr>
                <w:rFonts w:hint="eastAsia" w:ascii="仿宋" w:hAnsi="仿宋" w:eastAsia="仿宋" w:cs="仿宋"/>
                <w:bCs/>
                <w:color w:val="auto"/>
                <w:kern w:val="0"/>
                <w:sz w:val="28"/>
                <w:szCs w:val="28"/>
                <w:lang w:val="en-US" w:eastAsia="zh-CN"/>
              </w:rPr>
              <w:t>冯孝志</w:t>
            </w:r>
          </w:p>
        </w:tc>
        <w:tc>
          <w:tcPr>
            <w:tcW w:w="4820" w:type="dxa"/>
            <w:noWrap w:val="0"/>
            <w:vAlign w:val="center"/>
          </w:tcPr>
          <w:p w14:paraId="5DC6D18D">
            <w:pPr>
              <w:keepNext w:val="0"/>
              <w:keepLines w:val="0"/>
              <w:pageBreakBefore w:val="0"/>
              <w:widowControl w:val="0"/>
              <w:kinsoku/>
              <w:wordWrap/>
              <w:overflowPunct/>
              <w:topLinePunct w:val="0"/>
              <w:autoSpaceDE/>
              <w:autoSpaceDN/>
              <w:bidi w:val="0"/>
              <w:rPr>
                <w:rFonts w:hint="default" w:ascii="仿宋" w:hAnsi="仿宋" w:eastAsia="仿宋" w:cs="仿宋"/>
                <w:bCs/>
                <w:color w:val="auto"/>
                <w:kern w:val="0"/>
                <w:sz w:val="28"/>
                <w:szCs w:val="28"/>
                <w:lang w:val="en-US" w:eastAsia="zh-CN"/>
              </w:rPr>
            </w:pPr>
            <w:r>
              <w:rPr>
                <w:rFonts w:hint="eastAsia" w:ascii="仿宋" w:hAnsi="仿宋" w:eastAsia="仿宋" w:cs="仿宋"/>
                <w:bCs/>
                <w:color w:val="auto"/>
                <w:kern w:val="0"/>
                <w:sz w:val="28"/>
                <w:szCs w:val="28"/>
              </w:rPr>
              <w:t>法定代表人：</w:t>
            </w:r>
          </w:p>
        </w:tc>
      </w:tr>
      <w:tr w14:paraId="51EACD62">
        <w:tblPrEx>
          <w:tblCellMar>
            <w:top w:w="0" w:type="dxa"/>
            <w:left w:w="108" w:type="dxa"/>
            <w:bottom w:w="0" w:type="dxa"/>
            <w:right w:w="108" w:type="dxa"/>
          </w:tblCellMar>
        </w:tblPrEx>
        <w:trPr>
          <w:trHeight w:val="639" w:hRule="atLeast"/>
        </w:trPr>
        <w:tc>
          <w:tcPr>
            <w:tcW w:w="4626" w:type="dxa"/>
            <w:noWrap w:val="0"/>
            <w:vAlign w:val="top"/>
          </w:tcPr>
          <w:p w14:paraId="1F6D5456">
            <w:pPr>
              <w:keepNext w:val="0"/>
              <w:keepLines w:val="0"/>
              <w:pageBreakBefore w:val="0"/>
              <w:widowControl w:val="0"/>
              <w:kinsoku/>
              <w:wordWrap/>
              <w:overflowPunct/>
              <w:topLinePunct w:val="0"/>
              <w:autoSpaceDE/>
              <w:autoSpaceDN/>
              <w:bidi w:val="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 xml:space="preserve">电话：0898-88273798 </w:t>
            </w:r>
          </w:p>
        </w:tc>
        <w:tc>
          <w:tcPr>
            <w:tcW w:w="4820" w:type="dxa"/>
            <w:noWrap w:val="0"/>
            <w:vAlign w:val="top"/>
          </w:tcPr>
          <w:p w14:paraId="1BBE9756">
            <w:pPr>
              <w:keepNext w:val="0"/>
              <w:keepLines w:val="0"/>
              <w:pageBreakBefore w:val="0"/>
              <w:widowControl w:val="0"/>
              <w:kinsoku/>
              <w:wordWrap/>
              <w:overflowPunct/>
              <w:topLinePunct w:val="0"/>
              <w:autoSpaceDE/>
              <w:autoSpaceDN/>
              <w:bidi w:val="0"/>
              <w:rPr>
                <w:rFonts w:hint="default" w:ascii="仿宋" w:hAnsi="仿宋" w:eastAsia="仿宋" w:cs="仿宋"/>
                <w:bCs/>
                <w:color w:val="auto"/>
                <w:kern w:val="0"/>
                <w:sz w:val="28"/>
                <w:szCs w:val="28"/>
                <w:lang w:val="en-US" w:eastAsia="zh-CN"/>
              </w:rPr>
            </w:pPr>
            <w:r>
              <w:rPr>
                <w:rFonts w:hint="eastAsia" w:ascii="仿宋" w:hAnsi="仿宋" w:eastAsia="仿宋" w:cs="仿宋"/>
                <w:bCs/>
                <w:color w:val="auto"/>
                <w:kern w:val="0"/>
                <w:sz w:val="28"/>
                <w:szCs w:val="28"/>
              </w:rPr>
              <w:t>电话：</w:t>
            </w:r>
          </w:p>
        </w:tc>
      </w:tr>
      <w:tr w14:paraId="182D6CEF">
        <w:tblPrEx>
          <w:tblCellMar>
            <w:top w:w="0" w:type="dxa"/>
            <w:left w:w="108" w:type="dxa"/>
            <w:bottom w:w="0" w:type="dxa"/>
            <w:right w:w="108" w:type="dxa"/>
          </w:tblCellMar>
        </w:tblPrEx>
        <w:trPr>
          <w:trHeight w:val="505" w:hRule="atLeast"/>
        </w:trPr>
        <w:tc>
          <w:tcPr>
            <w:tcW w:w="4626" w:type="dxa"/>
            <w:noWrap w:val="0"/>
            <w:vAlign w:val="top"/>
          </w:tcPr>
          <w:p w14:paraId="69678D51">
            <w:pPr>
              <w:keepNext w:val="0"/>
              <w:keepLines w:val="0"/>
              <w:pageBreakBefore w:val="0"/>
              <w:widowControl w:val="0"/>
              <w:kinsoku/>
              <w:wordWrap/>
              <w:overflowPunct/>
              <w:topLinePunct w:val="0"/>
              <w:autoSpaceDE/>
              <w:autoSpaceDN/>
              <w:bidi w:val="0"/>
              <w:rPr>
                <w:rFonts w:hint="eastAsia" w:ascii="仿宋" w:hAnsi="仿宋" w:eastAsia="仿宋" w:cs="仿宋"/>
                <w:bCs/>
                <w:color w:val="auto"/>
                <w:kern w:val="0"/>
                <w:sz w:val="28"/>
                <w:szCs w:val="28"/>
                <w:lang w:val="en-US" w:eastAsia="zh-CN"/>
              </w:rPr>
            </w:pPr>
            <w:r>
              <w:rPr>
                <w:rFonts w:hint="eastAsia" w:ascii="仿宋" w:hAnsi="仿宋" w:eastAsia="仿宋" w:cs="仿宋"/>
                <w:bCs/>
                <w:color w:val="auto"/>
                <w:kern w:val="0"/>
                <w:sz w:val="28"/>
                <w:szCs w:val="28"/>
              </w:rPr>
              <w:t>传真：</w:t>
            </w:r>
            <w:r>
              <w:rPr>
                <w:rFonts w:hint="eastAsia" w:ascii="仿宋" w:hAnsi="仿宋" w:eastAsia="仿宋" w:cs="仿宋"/>
                <w:bCs/>
                <w:color w:val="auto"/>
                <w:kern w:val="0"/>
                <w:sz w:val="28"/>
                <w:szCs w:val="28"/>
                <w:lang w:val="en-US" w:eastAsia="zh-CN"/>
              </w:rPr>
              <w:t>/</w:t>
            </w:r>
          </w:p>
        </w:tc>
        <w:tc>
          <w:tcPr>
            <w:tcW w:w="4820" w:type="dxa"/>
            <w:noWrap w:val="0"/>
            <w:vAlign w:val="top"/>
          </w:tcPr>
          <w:p w14:paraId="7245D6BA">
            <w:pPr>
              <w:keepNext w:val="0"/>
              <w:keepLines w:val="0"/>
              <w:pageBreakBefore w:val="0"/>
              <w:widowControl w:val="0"/>
              <w:kinsoku/>
              <w:wordWrap/>
              <w:overflowPunct/>
              <w:topLinePunct w:val="0"/>
              <w:autoSpaceDE/>
              <w:autoSpaceDN/>
              <w:bidi w:val="0"/>
              <w:rPr>
                <w:rFonts w:hint="eastAsia" w:ascii="仿宋" w:hAnsi="仿宋" w:eastAsia="仿宋" w:cs="仿宋"/>
                <w:bCs/>
                <w:color w:val="auto"/>
                <w:kern w:val="0"/>
                <w:sz w:val="28"/>
                <w:szCs w:val="28"/>
                <w:lang w:val="en-US" w:eastAsia="zh-CN"/>
              </w:rPr>
            </w:pPr>
            <w:r>
              <w:rPr>
                <w:rFonts w:hint="eastAsia" w:ascii="仿宋" w:hAnsi="仿宋" w:eastAsia="仿宋" w:cs="仿宋"/>
                <w:bCs/>
                <w:color w:val="auto"/>
                <w:kern w:val="0"/>
                <w:sz w:val="28"/>
                <w:szCs w:val="28"/>
              </w:rPr>
              <w:t>传真：</w:t>
            </w:r>
            <w:r>
              <w:rPr>
                <w:rFonts w:hint="eastAsia" w:ascii="仿宋" w:hAnsi="仿宋" w:eastAsia="仿宋" w:cs="仿宋"/>
                <w:bCs/>
                <w:color w:val="auto"/>
                <w:kern w:val="0"/>
                <w:sz w:val="28"/>
                <w:szCs w:val="28"/>
                <w:lang w:val="en-US" w:eastAsia="zh-CN"/>
              </w:rPr>
              <w:t>/</w:t>
            </w:r>
          </w:p>
        </w:tc>
      </w:tr>
      <w:tr w14:paraId="65D68867">
        <w:tblPrEx>
          <w:tblCellMar>
            <w:top w:w="0" w:type="dxa"/>
            <w:left w:w="108" w:type="dxa"/>
            <w:bottom w:w="0" w:type="dxa"/>
            <w:right w:w="108" w:type="dxa"/>
          </w:tblCellMar>
        </w:tblPrEx>
        <w:trPr>
          <w:trHeight w:val="466" w:hRule="atLeast"/>
        </w:trPr>
        <w:tc>
          <w:tcPr>
            <w:tcW w:w="4626" w:type="dxa"/>
            <w:noWrap w:val="0"/>
            <w:vAlign w:val="center"/>
          </w:tcPr>
          <w:p w14:paraId="0F977039">
            <w:pPr>
              <w:keepNext w:val="0"/>
              <w:keepLines w:val="0"/>
              <w:pageBreakBefore w:val="0"/>
              <w:widowControl w:val="0"/>
              <w:kinsoku/>
              <w:wordWrap/>
              <w:overflowPunct/>
              <w:topLinePunct w:val="0"/>
              <w:autoSpaceDE/>
              <w:autoSpaceDN/>
              <w:bidi w:val="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 xml:space="preserve">开户名称：三亚市第二人民医院    </w:t>
            </w:r>
          </w:p>
        </w:tc>
        <w:tc>
          <w:tcPr>
            <w:tcW w:w="4820" w:type="dxa"/>
            <w:noWrap w:val="0"/>
            <w:vAlign w:val="top"/>
          </w:tcPr>
          <w:p w14:paraId="1E769A56">
            <w:pPr>
              <w:keepNext w:val="0"/>
              <w:keepLines w:val="0"/>
              <w:pageBreakBefore w:val="0"/>
              <w:widowControl w:val="0"/>
              <w:kinsoku/>
              <w:wordWrap/>
              <w:overflowPunct/>
              <w:topLinePunct w:val="0"/>
              <w:autoSpaceDE/>
              <w:autoSpaceDN/>
              <w:bidi w:val="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开户名称：</w:t>
            </w:r>
          </w:p>
        </w:tc>
      </w:tr>
      <w:tr w14:paraId="65D6CB08">
        <w:tblPrEx>
          <w:tblCellMar>
            <w:top w:w="0" w:type="dxa"/>
            <w:left w:w="108" w:type="dxa"/>
            <w:bottom w:w="0" w:type="dxa"/>
            <w:right w:w="108" w:type="dxa"/>
          </w:tblCellMar>
        </w:tblPrEx>
        <w:trPr>
          <w:trHeight w:val="521" w:hRule="atLeast"/>
        </w:trPr>
        <w:tc>
          <w:tcPr>
            <w:tcW w:w="4626" w:type="dxa"/>
            <w:noWrap w:val="0"/>
            <w:vAlign w:val="center"/>
          </w:tcPr>
          <w:p w14:paraId="2A8A5DB8">
            <w:pPr>
              <w:keepNext w:val="0"/>
              <w:keepLines w:val="0"/>
              <w:pageBreakBefore w:val="0"/>
              <w:widowControl w:val="0"/>
              <w:kinsoku/>
              <w:wordWrap/>
              <w:overflowPunct/>
              <w:topLinePunct w:val="0"/>
              <w:autoSpaceDE/>
              <w:autoSpaceDN/>
              <w:bidi w:val="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 xml:space="preserve">开户银行：中国工商银行股份有限公司三亚吉阳支行 </w:t>
            </w:r>
          </w:p>
        </w:tc>
        <w:tc>
          <w:tcPr>
            <w:tcW w:w="4820" w:type="dxa"/>
            <w:noWrap w:val="0"/>
            <w:vAlign w:val="top"/>
          </w:tcPr>
          <w:p w14:paraId="732C5F5C">
            <w:pPr>
              <w:keepNext w:val="0"/>
              <w:keepLines w:val="0"/>
              <w:pageBreakBefore w:val="0"/>
              <w:widowControl w:val="0"/>
              <w:kinsoku/>
              <w:wordWrap/>
              <w:overflowPunct/>
              <w:topLinePunct w:val="0"/>
              <w:autoSpaceDE/>
              <w:autoSpaceDN/>
              <w:bidi w:val="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开户银行：</w:t>
            </w:r>
          </w:p>
        </w:tc>
      </w:tr>
      <w:tr w14:paraId="39F22664">
        <w:tblPrEx>
          <w:tblCellMar>
            <w:top w:w="0" w:type="dxa"/>
            <w:left w:w="108" w:type="dxa"/>
            <w:bottom w:w="0" w:type="dxa"/>
            <w:right w:w="108" w:type="dxa"/>
          </w:tblCellMar>
        </w:tblPrEx>
        <w:trPr>
          <w:trHeight w:val="507" w:hRule="atLeast"/>
        </w:trPr>
        <w:tc>
          <w:tcPr>
            <w:tcW w:w="4626" w:type="dxa"/>
            <w:noWrap w:val="0"/>
            <w:vAlign w:val="center"/>
          </w:tcPr>
          <w:p w14:paraId="33BE9ECE">
            <w:pPr>
              <w:keepNext w:val="0"/>
              <w:keepLines w:val="0"/>
              <w:pageBreakBefore w:val="0"/>
              <w:widowControl w:val="0"/>
              <w:kinsoku/>
              <w:wordWrap/>
              <w:overflowPunct/>
              <w:topLinePunct w:val="0"/>
              <w:autoSpaceDE/>
              <w:autoSpaceDN/>
              <w:bidi w:val="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银行账号：2201029209200225753</w:t>
            </w:r>
          </w:p>
        </w:tc>
        <w:tc>
          <w:tcPr>
            <w:tcW w:w="4820" w:type="dxa"/>
            <w:noWrap w:val="0"/>
            <w:vAlign w:val="center"/>
          </w:tcPr>
          <w:p w14:paraId="42AC99B8">
            <w:pPr>
              <w:keepNext w:val="0"/>
              <w:keepLines w:val="0"/>
              <w:pageBreakBefore w:val="0"/>
              <w:widowControl w:val="0"/>
              <w:kinsoku/>
              <w:wordWrap/>
              <w:overflowPunct/>
              <w:topLinePunct w:val="0"/>
              <w:autoSpaceDE/>
              <w:autoSpaceDN/>
              <w:bidi w:val="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银行账号：</w:t>
            </w:r>
          </w:p>
        </w:tc>
      </w:tr>
      <w:tr w14:paraId="01502B39">
        <w:tblPrEx>
          <w:tblCellMar>
            <w:top w:w="0" w:type="dxa"/>
            <w:left w:w="108" w:type="dxa"/>
            <w:bottom w:w="0" w:type="dxa"/>
            <w:right w:w="108" w:type="dxa"/>
          </w:tblCellMar>
        </w:tblPrEx>
        <w:trPr>
          <w:trHeight w:val="507" w:hRule="atLeast"/>
        </w:trPr>
        <w:tc>
          <w:tcPr>
            <w:tcW w:w="4626" w:type="dxa"/>
            <w:noWrap w:val="0"/>
            <w:vAlign w:val="center"/>
          </w:tcPr>
          <w:p w14:paraId="5CD74DD9">
            <w:pPr>
              <w:keepNext w:val="0"/>
              <w:keepLines w:val="0"/>
              <w:pageBreakBefore w:val="0"/>
              <w:widowControl w:val="0"/>
              <w:kinsoku/>
              <w:wordWrap/>
              <w:overflowPunct/>
              <w:topLinePunct w:val="0"/>
              <w:autoSpaceDE/>
              <w:autoSpaceDN/>
              <w:bidi w:val="0"/>
              <w:jc w:val="left"/>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 xml:space="preserve">税号：12460200MB0895887M </w:t>
            </w:r>
          </w:p>
        </w:tc>
        <w:tc>
          <w:tcPr>
            <w:tcW w:w="4820" w:type="dxa"/>
            <w:noWrap w:val="0"/>
            <w:vAlign w:val="center"/>
          </w:tcPr>
          <w:p w14:paraId="5CF8CA75">
            <w:pPr>
              <w:keepNext w:val="0"/>
              <w:keepLines w:val="0"/>
              <w:pageBreakBefore w:val="0"/>
              <w:widowControl w:val="0"/>
              <w:kinsoku/>
              <w:wordWrap/>
              <w:overflowPunct/>
              <w:topLinePunct w:val="0"/>
              <w:autoSpaceDE/>
              <w:autoSpaceDN/>
              <w:bidi w:val="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税号：</w:t>
            </w:r>
          </w:p>
        </w:tc>
      </w:tr>
    </w:tbl>
    <w:p w14:paraId="478AF5EC">
      <w:pPr>
        <w:keepNext w:val="0"/>
        <w:keepLines w:val="0"/>
        <w:pageBreakBefore w:val="0"/>
        <w:widowControl w:val="0"/>
        <w:kinsoku/>
        <w:wordWrap/>
        <w:overflowPunct/>
        <w:topLinePunct w:val="0"/>
        <w:autoSpaceDE/>
        <w:autoSpaceDN/>
        <w:bidi w:val="0"/>
        <w:spacing w:line="360" w:lineRule="auto"/>
        <w:ind w:firstLine="560" w:firstLineChars="200"/>
        <w:rPr>
          <w:rFonts w:hint="eastAsia"/>
          <w:color w:val="auto"/>
        </w:rPr>
      </w:pPr>
      <w:r>
        <w:rPr>
          <w:rFonts w:hint="eastAsia" w:ascii="仿宋" w:hAnsi="仿宋" w:eastAsia="仿宋" w:cs="仿宋"/>
          <w:color w:val="auto"/>
          <w:sz w:val="28"/>
          <w:szCs w:val="28"/>
        </w:rPr>
        <w:t>甲乙双方经协商一致,达成如下货物购销合同:</w:t>
      </w:r>
    </w:p>
    <w:p w14:paraId="490112B3">
      <w:pPr>
        <w:keepNext w:val="0"/>
        <w:keepLines w:val="0"/>
        <w:pageBreakBefore w:val="0"/>
        <w:widowControl w:val="0"/>
        <w:numPr>
          <w:ilvl w:val="0"/>
          <w:numId w:val="0"/>
        </w:numPr>
        <w:kinsoku/>
        <w:wordWrap/>
        <w:overflowPunct/>
        <w:topLinePunct w:val="0"/>
        <w:autoSpaceDE/>
        <w:autoSpaceDN/>
        <w:bidi w:val="0"/>
        <w:spacing w:line="52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一、</w:t>
      </w:r>
      <w:r>
        <w:rPr>
          <w:rFonts w:hint="eastAsia" w:ascii="仿宋" w:hAnsi="仿宋" w:eastAsia="仿宋" w:cs="仿宋"/>
          <w:b/>
          <w:bCs/>
          <w:color w:val="auto"/>
          <w:sz w:val="28"/>
          <w:szCs w:val="28"/>
        </w:rPr>
        <w:t>货物及其数量、金额等</w:t>
      </w:r>
      <w:r>
        <w:rPr>
          <w:rFonts w:hint="eastAsia" w:ascii="仿宋" w:hAnsi="仿宋" w:eastAsia="仿宋" w:cs="仿宋"/>
          <w:b/>
          <w:bCs/>
          <w:color w:val="auto"/>
          <w:sz w:val="28"/>
          <w:szCs w:val="28"/>
          <w:lang w:eastAsia="zh-CN"/>
        </w:rPr>
        <w:t>（</w:t>
      </w:r>
      <w:r>
        <w:rPr>
          <w:rFonts w:hint="eastAsia" w:ascii="仿宋" w:hAnsi="仿宋" w:eastAsia="仿宋" w:cs="仿宋"/>
          <w:b/>
          <w:bCs/>
          <w:color w:val="auto"/>
          <w:sz w:val="28"/>
          <w:szCs w:val="28"/>
          <w:lang w:val="en-US" w:eastAsia="zh-CN"/>
        </w:rPr>
        <w:t>详见采购清单</w:t>
      </w:r>
      <w:r>
        <w:rPr>
          <w:rFonts w:hint="eastAsia" w:ascii="仿宋" w:hAnsi="仿宋" w:eastAsia="仿宋" w:cs="仿宋"/>
          <w:b/>
          <w:bCs/>
          <w:color w:val="auto"/>
          <w:sz w:val="28"/>
          <w:szCs w:val="28"/>
          <w:lang w:eastAsia="zh-CN"/>
        </w:rPr>
        <w:t>）</w:t>
      </w:r>
    </w:p>
    <w:tbl>
      <w:tblPr>
        <w:tblStyle w:val="10"/>
        <w:tblpPr w:leftFromText="180" w:rightFromText="180" w:vertAnchor="text" w:horzAnchor="page" w:tblpX="671" w:tblpY="163"/>
        <w:tblOverlap w:val="never"/>
        <w:tblW w:w="1057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7"/>
        <w:gridCol w:w="2121"/>
        <w:gridCol w:w="1556"/>
        <w:gridCol w:w="1202"/>
        <w:gridCol w:w="791"/>
        <w:gridCol w:w="854"/>
        <w:gridCol w:w="854"/>
        <w:gridCol w:w="854"/>
        <w:gridCol w:w="1179"/>
        <w:gridCol w:w="517"/>
      </w:tblGrid>
      <w:tr w14:paraId="4F0D7B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365" w:hRule="atLeast"/>
        </w:trPr>
        <w:tc>
          <w:tcPr>
            <w:tcW w:w="647" w:type="dxa"/>
            <w:noWrap w:val="0"/>
            <w:vAlign w:val="center"/>
          </w:tcPr>
          <w:p w14:paraId="4A337AEF">
            <w:pPr>
              <w:keepNext w:val="0"/>
              <w:keepLines w:val="0"/>
              <w:pageBreakBefore w:val="0"/>
              <w:widowControl w:val="0"/>
              <w:numPr>
                <w:ilvl w:val="0"/>
                <w:numId w:val="0"/>
              </w:numPr>
              <w:kinsoku/>
              <w:wordWrap/>
              <w:overflowPunct/>
              <w:topLinePunct w:val="0"/>
              <w:autoSpaceDE/>
              <w:autoSpaceDN/>
              <w:bidi w:val="0"/>
              <w:spacing w:line="520" w:lineRule="exact"/>
              <w:textAlignment w:val="auto"/>
              <w:rPr>
                <w:rFonts w:hint="eastAsia" w:ascii="仿宋" w:hAnsi="仿宋" w:eastAsia="仿宋" w:cs="仿宋"/>
                <w:b/>
                <w:bCs/>
                <w:snapToGrid w:val="0"/>
                <w:color w:val="000000"/>
                <w:kern w:val="0"/>
                <w:sz w:val="24"/>
                <w:szCs w:val="24"/>
                <w:lang w:val="en-US" w:eastAsia="en-US" w:bidi="ar-SA"/>
              </w:rPr>
            </w:pP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sz w:val="24"/>
                <w:szCs w:val="24"/>
              </w:rPr>
              <w:t>序号</w:t>
            </w:r>
          </w:p>
        </w:tc>
        <w:tc>
          <w:tcPr>
            <w:tcW w:w="2121" w:type="dxa"/>
            <w:noWrap w:val="0"/>
            <w:vAlign w:val="center"/>
          </w:tcPr>
          <w:p w14:paraId="36F05CAC">
            <w:pPr>
              <w:keepNext w:val="0"/>
              <w:keepLines w:val="0"/>
              <w:pageBreakBefore w:val="0"/>
              <w:widowControl w:val="0"/>
              <w:kinsoku/>
              <w:wordWrap/>
              <w:overflowPunct/>
              <w:topLinePunct w:val="0"/>
              <w:autoSpaceDE/>
              <w:autoSpaceDN/>
              <w:bidi w:val="0"/>
              <w:spacing w:after="0" w:line="240" w:lineRule="auto"/>
              <w:ind w:left="65" w:leftChars="0" w:right="0" w:rightChars="0" w:firstLine="0" w:firstLineChars="0"/>
              <w:jc w:val="center"/>
              <w:rPr>
                <w:rFonts w:hint="eastAsia" w:ascii="仿宋" w:hAnsi="仿宋" w:eastAsia="仿宋" w:cs="仿宋"/>
                <w:b/>
                <w:bCs/>
                <w:snapToGrid w:val="0"/>
                <w:color w:val="000000"/>
                <w:kern w:val="0"/>
                <w:sz w:val="24"/>
                <w:szCs w:val="24"/>
                <w:lang w:val="en-US" w:eastAsia="en-US" w:bidi="ar-SA"/>
              </w:rPr>
            </w:pPr>
            <w:r>
              <w:rPr>
                <w:rFonts w:hint="eastAsia" w:ascii="仿宋" w:hAnsi="仿宋" w:eastAsia="仿宋" w:cs="仿宋"/>
                <w:b/>
                <w:bCs/>
                <w:sz w:val="24"/>
                <w:szCs w:val="24"/>
              </w:rPr>
              <w:t>品名名称</w:t>
            </w:r>
          </w:p>
        </w:tc>
        <w:tc>
          <w:tcPr>
            <w:tcW w:w="1556" w:type="dxa"/>
            <w:noWrap w:val="0"/>
            <w:vAlign w:val="center"/>
          </w:tcPr>
          <w:p w14:paraId="56DA351D">
            <w:pPr>
              <w:keepNext w:val="0"/>
              <w:keepLines w:val="0"/>
              <w:pageBreakBefore w:val="0"/>
              <w:widowControl w:val="0"/>
              <w:kinsoku/>
              <w:wordWrap/>
              <w:overflowPunct/>
              <w:topLinePunct w:val="0"/>
              <w:autoSpaceDE/>
              <w:autoSpaceDN/>
              <w:bidi w:val="0"/>
              <w:spacing w:after="0" w:line="240" w:lineRule="auto"/>
              <w:ind w:right="0" w:rightChars="0"/>
              <w:jc w:val="center"/>
              <w:rPr>
                <w:rFonts w:hint="eastAsia" w:ascii="仿宋" w:hAnsi="仿宋" w:eastAsia="仿宋" w:cs="仿宋"/>
                <w:b/>
                <w:bCs/>
                <w:snapToGrid w:val="0"/>
                <w:color w:val="000000"/>
                <w:kern w:val="0"/>
                <w:sz w:val="24"/>
                <w:szCs w:val="24"/>
                <w:lang w:val="en-US" w:eastAsia="en-US" w:bidi="ar-SA"/>
              </w:rPr>
            </w:pPr>
            <w:r>
              <w:rPr>
                <w:rFonts w:hint="eastAsia" w:ascii="仿宋" w:hAnsi="仿宋" w:eastAsia="仿宋" w:cs="仿宋"/>
                <w:b/>
                <w:bCs/>
                <w:sz w:val="24"/>
                <w:szCs w:val="24"/>
              </w:rPr>
              <w:t>厂商</w:t>
            </w:r>
          </w:p>
        </w:tc>
        <w:tc>
          <w:tcPr>
            <w:tcW w:w="1202" w:type="dxa"/>
            <w:noWrap w:val="0"/>
            <w:vAlign w:val="center"/>
          </w:tcPr>
          <w:p w14:paraId="770D1595">
            <w:pPr>
              <w:keepNext w:val="0"/>
              <w:keepLines w:val="0"/>
              <w:pageBreakBefore w:val="0"/>
              <w:widowControl w:val="0"/>
              <w:kinsoku/>
              <w:wordWrap/>
              <w:overflowPunct/>
              <w:topLinePunct w:val="0"/>
              <w:autoSpaceDE/>
              <w:autoSpaceDN/>
              <w:bidi w:val="0"/>
              <w:spacing w:after="0" w:line="240" w:lineRule="auto"/>
              <w:ind w:left="0" w:leftChars="0" w:right="68" w:rightChars="0" w:firstLine="0" w:firstLineChars="0"/>
              <w:jc w:val="center"/>
              <w:rPr>
                <w:rFonts w:hint="eastAsia" w:ascii="仿宋" w:hAnsi="仿宋" w:eastAsia="仿宋" w:cs="仿宋"/>
                <w:b/>
                <w:bCs/>
                <w:snapToGrid w:val="0"/>
                <w:color w:val="000000"/>
                <w:kern w:val="0"/>
                <w:sz w:val="24"/>
                <w:szCs w:val="24"/>
                <w:lang w:val="en-US" w:eastAsia="en-US" w:bidi="ar-SA"/>
              </w:rPr>
            </w:pPr>
            <w:r>
              <w:rPr>
                <w:rFonts w:hint="eastAsia" w:ascii="仿宋" w:hAnsi="仿宋" w:eastAsia="仿宋" w:cs="仿宋"/>
                <w:b/>
                <w:bCs/>
                <w:sz w:val="24"/>
                <w:szCs w:val="24"/>
              </w:rPr>
              <w:t>品牌规格型号</w:t>
            </w:r>
          </w:p>
        </w:tc>
        <w:tc>
          <w:tcPr>
            <w:tcW w:w="791" w:type="dxa"/>
            <w:noWrap w:val="0"/>
            <w:vAlign w:val="center"/>
          </w:tcPr>
          <w:p w14:paraId="303E71F8">
            <w:pPr>
              <w:keepNext w:val="0"/>
              <w:keepLines w:val="0"/>
              <w:pageBreakBefore w:val="0"/>
              <w:widowControl w:val="0"/>
              <w:kinsoku/>
              <w:wordWrap/>
              <w:overflowPunct/>
              <w:topLinePunct w:val="0"/>
              <w:autoSpaceDE/>
              <w:autoSpaceDN/>
              <w:bidi w:val="0"/>
              <w:spacing w:after="0" w:line="240" w:lineRule="auto"/>
              <w:ind w:left="0" w:leftChars="0" w:right="98" w:rightChars="0" w:firstLine="0" w:firstLineChars="0"/>
              <w:jc w:val="center"/>
              <w:rPr>
                <w:rFonts w:hint="eastAsia" w:ascii="仿宋" w:hAnsi="仿宋" w:eastAsia="仿宋" w:cs="仿宋"/>
                <w:b/>
                <w:bCs/>
                <w:snapToGrid w:val="0"/>
                <w:color w:val="000000"/>
                <w:kern w:val="0"/>
                <w:sz w:val="24"/>
                <w:szCs w:val="24"/>
                <w:lang w:val="en-US" w:eastAsia="en-US" w:bidi="ar-SA"/>
              </w:rPr>
            </w:pPr>
            <w:r>
              <w:rPr>
                <w:rFonts w:hint="eastAsia" w:ascii="仿宋" w:hAnsi="仿宋" w:eastAsia="仿宋" w:cs="仿宋"/>
                <w:b/>
                <w:bCs/>
                <w:sz w:val="24"/>
                <w:szCs w:val="24"/>
              </w:rPr>
              <w:t>数量/单位</w:t>
            </w:r>
          </w:p>
        </w:tc>
        <w:tc>
          <w:tcPr>
            <w:tcW w:w="854" w:type="dxa"/>
            <w:noWrap w:val="0"/>
            <w:vAlign w:val="center"/>
          </w:tcPr>
          <w:p w14:paraId="76D64096">
            <w:pPr>
              <w:keepNext w:val="0"/>
              <w:keepLines w:val="0"/>
              <w:pageBreakBefore w:val="0"/>
              <w:widowControl w:val="0"/>
              <w:kinsoku/>
              <w:wordWrap/>
              <w:overflowPunct/>
              <w:topLinePunct w:val="0"/>
              <w:autoSpaceDE/>
              <w:autoSpaceDN/>
              <w:bidi w:val="0"/>
              <w:spacing w:after="0" w:line="240" w:lineRule="auto"/>
              <w:ind w:left="0" w:leftChars="0" w:right="106" w:rightChars="0" w:firstLine="0" w:firstLineChars="0"/>
              <w:jc w:val="center"/>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含税单价（元）</w:t>
            </w:r>
          </w:p>
        </w:tc>
        <w:tc>
          <w:tcPr>
            <w:tcW w:w="854" w:type="dxa"/>
            <w:noWrap w:val="0"/>
            <w:vAlign w:val="center"/>
          </w:tcPr>
          <w:p w14:paraId="49FCD435">
            <w:pPr>
              <w:keepNext w:val="0"/>
              <w:keepLines w:val="0"/>
              <w:pageBreakBefore w:val="0"/>
              <w:widowControl w:val="0"/>
              <w:kinsoku/>
              <w:wordWrap/>
              <w:overflowPunct/>
              <w:topLinePunct w:val="0"/>
              <w:autoSpaceDE/>
              <w:autoSpaceDN/>
              <w:bidi w:val="0"/>
              <w:spacing w:after="0" w:line="240" w:lineRule="auto"/>
              <w:ind w:left="0" w:leftChars="0" w:right="106" w:rightChars="0" w:firstLine="0" w:firstLineChars="0"/>
              <w:jc w:val="center"/>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未含税价（元）</w:t>
            </w:r>
          </w:p>
        </w:tc>
        <w:tc>
          <w:tcPr>
            <w:tcW w:w="854" w:type="dxa"/>
            <w:noWrap w:val="0"/>
            <w:vAlign w:val="center"/>
          </w:tcPr>
          <w:p w14:paraId="2CC50A9F">
            <w:pPr>
              <w:keepNext w:val="0"/>
              <w:keepLines w:val="0"/>
              <w:pageBreakBefore w:val="0"/>
              <w:widowControl w:val="0"/>
              <w:kinsoku/>
              <w:wordWrap/>
              <w:overflowPunct/>
              <w:topLinePunct w:val="0"/>
              <w:autoSpaceDE/>
              <w:autoSpaceDN/>
              <w:bidi w:val="0"/>
              <w:spacing w:after="0" w:line="240" w:lineRule="auto"/>
              <w:ind w:left="0" w:leftChars="0" w:right="106" w:rightChars="0" w:firstLine="0" w:firstLineChars="0"/>
              <w:jc w:val="center"/>
              <w:rPr>
                <w:rFonts w:hint="eastAsia" w:ascii="仿宋" w:hAnsi="仿宋" w:eastAsia="仿宋" w:cs="仿宋"/>
                <w:b/>
                <w:bCs/>
                <w:snapToGrid w:val="0"/>
                <w:color w:val="000000"/>
                <w:kern w:val="0"/>
                <w:sz w:val="24"/>
                <w:szCs w:val="24"/>
                <w:lang w:val="en-US" w:eastAsia="zh-CN" w:bidi="ar-SA"/>
              </w:rPr>
            </w:pPr>
            <w:r>
              <w:rPr>
                <w:rFonts w:hint="eastAsia" w:ascii="仿宋" w:hAnsi="仿宋" w:eastAsia="仿宋" w:cs="仿宋"/>
                <w:b/>
                <w:bCs/>
                <w:sz w:val="24"/>
                <w:szCs w:val="24"/>
                <w:lang w:val="en-US" w:eastAsia="zh-CN"/>
              </w:rPr>
              <w:t>含税总价</w:t>
            </w:r>
            <w:r>
              <w:rPr>
                <w:rFonts w:hint="eastAsia" w:ascii="仿宋" w:hAnsi="仿宋" w:eastAsia="仿宋" w:cs="仿宋"/>
                <w:b/>
                <w:bCs/>
                <w:sz w:val="24"/>
                <w:szCs w:val="24"/>
                <w:lang w:eastAsia="zh-CN"/>
              </w:rPr>
              <w:t>（</w:t>
            </w:r>
            <w:r>
              <w:rPr>
                <w:rFonts w:hint="eastAsia" w:ascii="仿宋" w:hAnsi="仿宋" w:eastAsia="仿宋" w:cs="仿宋"/>
                <w:b/>
                <w:bCs/>
                <w:sz w:val="24"/>
                <w:szCs w:val="24"/>
                <w:lang w:val="en-US" w:eastAsia="zh-CN"/>
              </w:rPr>
              <w:t>元</w:t>
            </w:r>
            <w:r>
              <w:rPr>
                <w:rFonts w:hint="eastAsia" w:ascii="仿宋" w:hAnsi="仿宋" w:eastAsia="仿宋" w:cs="仿宋"/>
                <w:b/>
                <w:bCs/>
                <w:sz w:val="24"/>
                <w:szCs w:val="24"/>
                <w:lang w:eastAsia="zh-CN"/>
              </w:rPr>
              <w:t>）</w:t>
            </w:r>
          </w:p>
        </w:tc>
        <w:tc>
          <w:tcPr>
            <w:tcW w:w="1179" w:type="dxa"/>
            <w:noWrap w:val="0"/>
            <w:vAlign w:val="center"/>
          </w:tcPr>
          <w:p w14:paraId="5C73D689">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eastAsia" w:ascii="仿宋" w:hAnsi="仿宋" w:eastAsia="仿宋" w:cs="仿宋"/>
                <w:b/>
                <w:bCs/>
                <w:snapToGrid w:val="0"/>
                <w:color w:val="000000"/>
                <w:kern w:val="0"/>
                <w:sz w:val="24"/>
                <w:szCs w:val="24"/>
                <w:lang w:val="en-US" w:eastAsia="zh-CN" w:bidi="ar-SA"/>
              </w:rPr>
            </w:pPr>
            <w:r>
              <w:rPr>
                <w:rFonts w:hint="eastAsia" w:ascii="仿宋" w:hAnsi="仿宋" w:eastAsia="仿宋" w:cs="仿宋"/>
                <w:b/>
                <w:bCs/>
                <w:sz w:val="24"/>
                <w:szCs w:val="24"/>
                <w:lang w:val="en-US" w:eastAsia="zh-CN"/>
              </w:rPr>
              <w:t>未含税</w:t>
            </w:r>
            <w:r>
              <w:rPr>
                <w:rFonts w:hint="eastAsia" w:ascii="仿宋" w:hAnsi="仿宋" w:eastAsia="仿宋" w:cs="仿宋"/>
                <w:b/>
                <w:bCs/>
                <w:sz w:val="24"/>
                <w:szCs w:val="24"/>
              </w:rPr>
              <w:t>总价</w:t>
            </w:r>
            <w:r>
              <w:rPr>
                <w:rFonts w:hint="eastAsia" w:ascii="仿宋" w:hAnsi="仿宋" w:eastAsia="仿宋" w:cs="仿宋"/>
                <w:b/>
                <w:bCs/>
                <w:sz w:val="24"/>
                <w:szCs w:val="24"/>
                <w:lang w:eastAsia="zh-CN"/>
              </w:rPr>
              <w:t>（</w:t>
            </w:r>
            <w:r>
              <w:rPr>
                <w:rFonts w:hint="eastAsia" w:ascii="仿宋" w:hAnsi="仿宋" w:eastAsia="仿宋" w:cs="仿宋"/>
                <w:b/>
                <w:bCs/>
                <w:sz w:val="24"/>
                <w:szCs w:val="24"/>
                <w:lang w:val="en-US" w:eastAsia="zh-CN"/>
              </w:rPr>
              <w:t>元</w:t>
            </w:r>
            <w:r>
              <w:rPr>
                <w:rFonts w:hint="eastAsia" w:ascii="仿宋" w:hAnsi="仿宋" w:eastAsia="仿宋" w:cs="仿宋"/>
                <w:b/>
                <w:bCs/>
                <w:sz w:val="24"/>
                <w:szCs w:val="24"/>
                <w:lang w:eastAsia="zh-CN"/>
              </w:rPr>
              <w:t>）</w:t>
            </w:r>
          </w:p>
        </w:tc>
        <w:tc>
          <w:tcPr>
            <w:tcW w:w="517" w:type="dxa"/>
            <w:noWrap w:val="0"/>
            <w:vAlign w:val="center"/>
          </w:tcPr>
          <w:p w14:paraId="5B676B7A">
            <w:pPr>
              <w:keepNext w:val="0"/>
              <w:keepLines w:val="0"/>
              <w:pageBreakBefore w:val="0"/>
              <w:widowControl w:val="0"/>
              <w:kinsoku/>
              <w:wordWrap/>
              <w:overflowPunct/>
              <w:topLinePunct w:val="0"/>
              <w:autoSpaceDE/>
              <w:autoSpaceDN/>
              <w:bidi w:val="0"/>
              <w:spacing w:after="0" w:line="240" w:lineRule="auto"/>
              <w:ind w:left="34" w:leftChars="0" w:right="0" w:rightChars="0" w:firstLine="0" w:firstLineChars="0"/>
              <w:jc w:val="center"/>
              <w:rPr>
                <w:rFonts w:hint="eastAsia" w:ascii="仿宋" w:hAnsi="仿宋" w:eastAsia="仿宋" w:cs="仿宋"/>
                <w:b/>
                <w:bCs/>
                <w:snapToGrid w:val="0"/>
                <w:color w:val="000000"/>
                <w:kern w:val="0"/>
                <w:sz w:val="24"/>
                <w:szCs w:val="24"/>
                <w:lang w:val="en-US" w:eastAsia="en-US" w:bidi="ar-SA"/>
              </w:rPr>
            </w:pPr>
            <w:r>
              <w:rPr>
                <w:rFonts w:hint="eastAsia" w:ascii="仿宋" w:hAnsi="仿宋" w:eastAsia="仿宋" w:cs="仿宋"/>
                <w:b/>
                <w:bCs/>
                <w:sz w:val="24"/>
                <w:szCs w:val="24"/>
              </w:rPr>
              <w:t>备注</w:t>
            </w:r>
          </w:p>
        </w:tc>
      </w:tr>
      <w:tr w14:paraId="5112FA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65" w:hRule="atLeast"/>
        </w:trPr>
        <w:tc>
          <w:tcPr>
            <w:tcW w:w="647" w:type="dxa"/>
            <w:noWrap w:val="0"/>
            <w:vAlign w:val="center"/>
          </w:tcPr>
          <w:p w14:paraId="40362913">
            <w:pPr>
              <w:keepNext w:val="0"/>
              <w:keepLines w:val="0"/>
              <w:pageBreakBefore w:val="0"/>
              <w:widowControl w:val="0"/>
              <w:numPr>
                <w:ilvl w:val="0"/>
                <w:numId w:val="0"/>
              </w:numPr>
              <w:kinsoku/>
              <w:wordWrap/>
              <w:overflowPunct/>
              <w:topLinePunct w:val="0"/>
              <w:autoSpaceDE/>
              <w:autoSpaceDN/>
              <w:bidi w:val="0"/>
              <w:spacing w:line="520" w:lineRule="exact"/>
              <w:jc w:val="center"/>
              <w:textAlignment w:val="auto"/>
              <w:rPr>
                <w:rFonts w:hint="default"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1</w:t>
            </w:r>
          </w:p>
        </w:tc>
        <w:tc>
          <w:tcPr>
            <w:tcW w:w="2121" w:type="dxa"/>
            <w:noWrap w:val="0"/>
            <w:vAlign w:val="center"/>
          </w:tcPr>
          <w:p w14:paraId="48AE36A9">
            <w:pPr>
              <w:keepNext w:val="0"/>
              <w:keepLines w:val="0"/>
              <w:pageBreakBefore w:val="0"/>
              <w:widowControl w:val="0"/>
              <w:kinsoku/>
              <w:wordWrap/>
              <w:overflowPunct/>
              <w:topLinePunct w:val="0"/>
              <w:autoSpaceDE/>
              <w:autoSpaceDN/>
              <w:bidi w:val="0"/>
              <w:spacing w:after="0" w:line="240" w:lineRule="auto"/>
              <w:ind w:left="65" w:leftChars="0" w:right="0" w:rightChars="0" w:firstLine="0" w:firstLineChars="0"/>
              <w:jc w:val="center"/>
              <w:rPr>
                <w:rFonts w:hint="eastAsia" w:ascii="仿宋" w:hAnsi="仿宋" w:eastAsia="仿宋" w:cs="仿宋"/>
                <w:b/>
                <w:bCs/>
                <w:sz w:val="24"/>
                <w:szCs w:val="24"/>
              </w:rPr>
            </w:pPr>
          </w:p>
        </w:tc>
        <w:tc>
          <w:tcPr>
            <w:tcW w:w="1556" w:type="dxa"/>
            <w:noWrap w:val="0"/>
            <w:vAlign w:val="center"/>
          </w:tcPr>
          <w:p w14:paraId="76C87859">
            <w:pPr>
              <w:keepNext w:val="0"/>
              <w:keepLines w:val="0"/>
              <w:pageBreakBefore w:val="0"/>
              <w:widowControl w:val="0"/>
              <w:kinsoku/>
              <w:wordWrap/>
              <w:overflowPunct/>
              <w:topLinePunct w:val="0"/>
              <w:autoSpaceDE/>
              <w:autoSpaceDN/>
              <w:bidi w:val="0"/>
              <w:spacing w:after="0" w:line="240" w:lineRule="auto"/>
              <w:ind w:right="0" w:rightChars="0"/>
              <w:jc w:val="center"/>
              <w:rPr>
                <w:rFonts w:hint="eastAsia" w:ascii="仿宋" w:hAnsi="仿宋" w:eastAsia="仿宋" w:cs="仿宋"/>
                <w:b/>
                <w:bCs/>
                <w:sz w:val="24"/>
                <w:szCs w:val="24"/>
              </w:rPr>
            </w:pPr>
          </w:p>
        </w:tc>
        <w:tc>
          <w:tcPr>
            <w:tcW w:w="1202" w:type="dxa"/>
            <w:noWrap w:val="0"/>
            <w:vAlign w:val="center"/>
          </w:tcPr>
          <w:p w14:paraId="55F6EC67">
            <w:pPr>
              <w:keepNext w:val="0"/>
              <w:keepLines w:val="0"/>
              <w:pageBreakBefore w:val="0"/>
              <w:widowControl w:val="0"/>
              <w:kinsoku/>
              <w:wordWrap/>
              <w:overflowPunct/>
              <w:topLinePunct w:val="0"/>
              <w:autoSpaceDE/>
              <w:autoSpaceDN/>
              <w:bidi w:val="0"/>
              <w:spacing w:after="0" w:line="240" w:lineRule="auto"/>
              <w:ind w:left="0" w:leftChars="0" w:right="68" w:rightChars="0" w:firstLine="0" w:firstLineChars="0"/>
              <w:jc w:val="center"/>
              <w:rPr>
                <w:rFonts w:hint="eastAsia" w:ascii="仿宋" w:hAnsi="仿宋" w:eastAsia="仿宋" w:cs="仿宋"/>
                <w:b/>
                <w:bCs/>
                <w:sz w:val="24"/>
                <w:szCs w:val="24"/>
              </w:rPr>
            </w:pPr>
          </w:p>
        </w:tc>
        <w:tc>
          <w:tcPr>
            <w:tcW w:w="791" w:type="dxa"/>
            <w:noWrap w:val="0"/>
            <w:vAlign w:val="center"/>
          </w:tcPr>
          <w:p w14:paraId="20D88521">
            <w:pPr>
              <w:keepNext w:val="0"/>
              <w:keepLines w:val="0"/>
              <w:pageBreakBefore w:val="0"/>
              <w:widowControl w:val="0"/>
              <w:kinsoku/>
              <w:wordWrap/>
              <w:overflowPunct/>
              <w:topLinePunct w:val="0"/>
              <w:autoSpaceDE/>
              <w:autoSpaceDN/>
              <w:bidi w:val="0"/>
              <w:spacing w:after="0" w:line="240" w:lineRule="auto"/>
              <w:ind w:left="0" w:leftChars="0" w:right="98" w:rightChars="0" w:firstLine="0" w:firstLineChars="0"/>
              <w:jc w:val="center"/>
              <w:rPr>
                <w:rFonts w:hint="eastAsia" w:ascii="仿宋" w:hAnsi="仿宋" w:eastAsia="仿宋" w:cs="仿宋"/>
                <w:b/>
                <w:bCs/>
                <w:sz w:val="24"/>
                <w:szCs w:val="24"/>
              </w:rPr>
            </w:pPr>
          </w:p>
        </w:tc>
        <w:tc>
          <w:tcPr>
            <w:tcW w:w="854" w:type="dxa"/>
            <w:noWrap w:val="0"/>
            <w:vAlign w:val="center"/>
          </w:tcPr>
          <w:p w14:paraId="26808C3E">
            <w:pPr>
              <w:keepNext w:val="0"/>
              <w:keepLines w:val="0"/>
              <w:pageBreakBefore w:val="0"/>
              <w:widowControl w:val="0"/>
              <w:kinsoku/>
              <w:wordWrap/>
              <w:overflowPunct/>
              <w:topLinePunct w:val="0"/>
              <w:autoSpaceDE/>
              <w:autoSpaceDN/>
              <w:bidi w:val="0"/>
              <w:spacing w:after="0" w:line="240" w:lineRule="auto"/>
              <w:ind w:left="0" w:leftChars="0" w:right="106" w:rightChars="0" w:firstLine="0" w:firstLineChars="0"/>
              <w:jc w:val="center"/>
              <w:rPr>
                <w:rFonts w:hint="eastAsia" w:ascii="仿宋" w:hAnsi="仿宋" w:eastAsia="仿宋" w:cs="仿宋"/>
                <w:b/>
                <w:bCs/>
                <w:sz w:val="24"/>
                <w:szCs w:val="24"/>
                <w:lang w:eastAsia="zh-CN"/>
              </w:rPr>
            </w:pPr>
          </w:p>
        </w:tc>
        <w:tc>
          <w:tcPr>
            <w:tcW w:w="854" w:type="dxa"/>
            <w:noWrap w:val="0"/>
            <w:vAlign w:val="center"/>
          </w:tcPr>
          <w:p w14:paraId="17DBDEAA">
            <w:pPr>
              <w:keepNext w:val="0"/>
              <w:keepLines w:val="0"/>
              <w:pageBreakBefore w:val="0"/>
              <w:widowControl w:val="0"/>
              <w:kinsoku/>
              <w:wordWrap/>
              <w:overflowPunct/>
              <w:topLinePunct w:val="0"/>
              <w:autoSpaceDE/>
              <w:autoSpaceDN/>
              <w:bidi w:val="0"/>
              <w:spacing w:after="0" w:line="240" w:lineRule="auto"/>
              <w:ind w:left="0" w:leftChars="0" w:right="106" w:rightChars="0" w:firstLine="0" w:firstLineChars="0"/>
              <w:jc w:val="center"/>
              <w:rPr>
                <w:rFonts w:hint="eastAsia" w:ascii="仿宋" w:hAnsi="仿宋" w:eastAsia="仿宋" w:cs="仿宋"/>
                <w:b/>
                <w:bCs/>
                <w:sz w:val="24"/>
                <w:szCs w:val="24"/>
                <w:lang w:eastAsia="zh-CN"/>
              </w:rPr>
            </w:pPr>
          </w:p>
        </w:tc>
        <w:tc>
          <w:tcPr>
            <w:tcW w:w="854" w:type="dxa"/>
            <w:noWrap w:val="0"/>
            <w:vAlign w:val="center"/>
          </w:tcPr>
          <w:p w14:paraId="0A065F8B">
            <w:pPr>
              <w:keepNext w:val="0"/>
              <w:keepLines w:val="0"/>
              <w:pageBreakBefore w:val="0"/>
              <w:widowControl w:val="0"/>
              <w:kinsoku/>
              <w:wordWrap/>
              <w:overflowPunct/>
              <w:topLinePunct w:val="0"/>
              <w:autoSpaceDE/>
              <w:autoSpaceDN/>
              <w:bidi w:val="0"/>
              <w:spacing w:after="0" w:line="240" w:lineRule="auto"/>
              <w:ind w:left="0" w:leftChars="0" w:right="106" w:rightChars="0" w:firstLine="0" w:firstLineChars="0"/>
              <w:jc w:val="center"/>
              <w:rPr>
                <w:rFonts w:hint="eastAsia" w:ascii="仿宋" w:hAnsi="仿宋" w:eastAsia="仿宋" w:cs="仿宋"/>
                <w:b/>
                <w:bCs/>
                <w:sz w:val="24"/>
                <w:szCs w:val="24"/>
                <w:lang w:eastAsia="zh-CN"/>
              </w:rPr>
            </w:pPr>
          </w:p>
        </w:tc>
        <w:tc>
          <w:tcPr>
            <w:tcW w:w="1179" w:type="dxa"/>
            <w:noWrap w:val="0"/>
            <w:vAlign w:val="center"/>
          </w:tcPr>
          <w:p w14:paraId="4260A647">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eastAsia" w:ascii="仿宋" w:hAnsi="仿宋" w:eastAsia="仿宋" w:cs="仿宋"/>
                <w:b/>
                <w:bCs/>
                <w:sz w:val="24"/>
                <w:szCs w:val="24"/>
                <w:lang w:eastAsia="zh-CN"/>
              </w:rPr>
            </w:pPr>
          </w:p>
        </w:tc>
        <w:tc>
          <w:tcPr>
            <w:tcW w:w="517" w:type="dxa"/>
            <w:noWrap w:val="0"/>
            <w:vAlign w:val="center"/>
          </w:tcPr>
          <w:p w14:paraId="3AE17629">
            <w:pPr>
              <w:keepNext w:val="0"/>
              <w:keepLines w:val="0"/>
              <w:pageBreakBefore w:val="0"/>
              <w:widowControl w:val="0"/>
              <w:kinsoku/>
              <w:wordWrap/>
              <w:overflowPunct/>
              <w:topLinePunct w:val="0"/>
              <w:autoSpaceDE/>
              <w:autoSpaceDN/>
              <w:bidi w:val="0"/>
              <w:spacing w:after="0" w:line="240" w:lineRule="auto"/>
              <w:ind w:left="34" w:leftChars="0" w:right="0" w:rightChars="0" w:firstLine="0" w:firstLineChars="0"/>
              <w:jc w:val="center"/>
              <w:rPr>
                <w:rFonts w:hint="eastAsia" w:ascii="仿宋" w:hAnsi="仿宋" w:eastAsia="仿宋" w:cs="仿宋"/>
                <w:b/>
                <w:bCs/>
                <w:sz w:val="24"/>
                <w:szCs w:val="24"/>
              </w:rPr>
            </w:pPr>
          </w:p>
        </w:tc>
      </w:tr>
      <w:tr w14:paraId="7327DE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15" w:hRule="atLeast"/>
        </w:trPr>
        <w:tc>
          <w:tcPr>
            <w:tcW w:w="10575" w:type="dxa"/>
            <w:gridSpan w:val="10"/>
            <w:noWrap w:val="0"/>
            <w:vAlign w:val="center"/>
          </w:tcPr>
          <w:p w14:paraId="61B364B5">
            <w:pPr>
              <w:keepNext w:val="0"/>
              <w:keepLines w:val="0"/>
              <w:pageBreakBefore w:val="0"/>
              <w:widowControl w:val="0"/>
              <w:kinsoku/>
              <w:wordWrap/>
              <w:overflowPunct/>
              <w:topLinePunct w:val="0"/>
              <w:autoSpaceDE/>
              <w:autoSpaceDN/>
              <w:bidi w:val="0"/>
              <w:adjustRightInd/>
              <w:snapToGrid/>
              <w:spacing w:before="273" w:line="220" w:lineRule="auto"/>
              <w:ind w:left="117" w:firstLine="458" w:firstLineChars="200"/>
              <w:jc w:val="both"/>
              <w:rPr>
                <w:rFonts w:hint="eastAsia" w:ascii="仿宋" w:hAnsi="仿宋" w:eastAsia="仿宋" w:cs="仿宋"/>
                <w:b/>
                <w:bCs/>
                <w:color w:val="auto"/>
                <w:sz w:val="24"/>
                <w:szCs w:val="24"/>
              </w:rPr>
            </w:pPr>
            <w:r>
              <w:rPr>
                <w:rFonts w:hint="eastAsia" w:ascii="仿宋" w:hAnsi="仿宋" w:eastAsia="仿宋" w:cs="仿宋"/>
                <w:b/>
                <w:bCs/>
                <w:color w:val="auto"/>
                <w:spacing w:val="-6"/>
                <w:sz w:val="24"/>
                <w:szCs w:val="24"/>
              </w:rPr>
              <w:t>合计</w:t>
            </w:r>
            <w:r>
              <w:rPr>
                <w:rFonts w:hint="eastAsia" w:ascii="仿宋" w:hAnsi="仿宋" w:eastAsia="仿宋" w:cs="仿宋"/>
                <w:b/>
                <w:bCs/>
                <w:color w:val="auto"/>
                <w:spacing w:val="-6"/>
                <w:sz w:val="24"/>
                <w:szCs w:val="24"/>
                <w:lang w:eastAsia="zh-CN"/>
              </w:rPr>
              <w:t>（</w:t>
            </w:r>
            <w:r>
              <w:rPr>
                <w:rFonts w:hint="eastAsia" w:ascii="仿宋" w:hAnsi="仿宋" w:eastAsia="仿宋" w:cs="仿宋"/>
                <w:b/>
                <w:bCs/>
                <w:color w:val="auto"/>
                <w:spacing w:val="-6"/>
                <w:sz w:val="24"/>
                <w:szCs w:val="24"/>
                <w:lang w:val="en-US" w:eastAsia="zh-CN"/>
              </w:rPr>
              <w:t>含税</w:t>
            </w:r>
            <w:r>
              <w:rPr>
                <w:rFonts w:hint="eastAsia" w:ascii="仿宋" w:hAnsi="仿宋" w:eastAsia="仿宋" w:cs="仿宋"/>
                <w:b/>
                <w:bCs/>
                <w:color w:val="auto"/>
                <w:spacing w:val="-6"/>
                <w:sz w:val="24"/>
                <w:szCs w:val="24"/>
                <w:lang w:eastAsia="zh-CN"/>
              </w:rPr>
              <w:t>）</w:t>
            </w:r>
            <w:r>
              <w:rPr>
                <w:rFonts w:hint="eastAsia" w:ascii="仿宋" w:hAnsi="仿宋" w:eastAsia="仿宋" w:cs="仿宋"/>
                <w:b/>
                <w:bCs/>
                <w:color w:val="auto"/>
                <w:spacing w:val="-6"/>
                <w:sz w:val="24"/>
                <w:szCs w:val="24"/>
              </w:rPr>
              <w:t>小写：</w:t>
            </w:r>
          </w:p>
          <w:p w14:paraId="75131CB6">
            <w:pPr>
              <w:keepNext w:val="0"/>
              <w:keepLines w:val="0"/>
              <w:pageBreakBefore w:val="0"/>
              <w:widowControl w:val="0"/>
              <w:kinsoku/>
              <w:wordWrap/>
              <w:overflowPunct/>
              <w:topLinePunct w:val="0"/>
              <w:autoSpaceDE/>
              <w:autoSpaceDN/>
              <w:bidi w:val="0"/>
              <w:adjustRightInd/>
              <w:snapToGrid/>
              <w:spacing w:before="273" w:line="220" w:lineRule="auto"/>
              <w:ind w:left="117" w:leftChars="0" w:right="0" w:rightChars="0" w:firstLine="466" w:firstLineChars="200"/>
              <w:jc w:val="both"/>
              <w:rPr>
                <w:rFonts w:hint="eastAsia" w:ascii="仿宋" w:hAnsi="仿宋" w:eastAsia="仿宋" w:cs="仿宋"/>
                <w:b/>
                <w:bCs/>
                <w:color w:val="auto"/>
                <w:spacing w:val="-4"/>
                <w:sz w:val="24"/>
                <w:szCs w:val="24"/>
                <w:u w:val="single" w:color="auto"/>
              </w:rPr>
            </w:pPr>
            <w:r>
              <w:rPr>
                <w:rFonts w:hint="eastAsia" w:ascii="仿宋" w:hAnsi="仿宋" w:eastAsia="仿宋" w:cs="仿宋"/>
                <w:b/>
                <w:bCs/>
                <w:color w:val="auto"/>
                <w:spacing w:val="-4"/>
                <w:sz w:val="24"/>
                <w:szCs w:val="24"/>
              </w:rPr>
              <w:t>合计</w:t>
            </w:r>
            <w:r>
              <w:rPr>
                <w:rFonts w:hint="eastAsia" w:ascii="仿宋" w:hAnsi="仿宋" w:eastAsia="仿宋" w:cs="仿宋"/>
                <w:b/>
                <w:bCs/>
                <w:color w:val="auto"/>
                <w:spacing w:val="-4"/>
                <w:sz w:val="24"/>
                <w:szCs w:val="24"/>
                <w:lang w:eastAsia="zh-CN"/>
              </w:rPr>
              <w:t>（</w:t>
            </w:r>
            <w:r>
              <w:rPr>
                <w:rFonts w:hint="eastAsia" w:ascii="仿宋" w:hAnsi="仿宋" w:eastAsia="仿宋" w:cs="仿宋"/>
                <w:b/>
                <w:bCs/>
                <w:color w:val="auto"/>
                <w:spacing w:val="-4"/>
                <w:sz w:val="24"/>
                <w:szCs w:val="24"/>
                <w:lang w:val="en-US" w:eastAsia="zh-CN"/>
              </w:rPr>
              <w:t>含税</w:t>
            </w:r>
            <w:r>
              <w:rPr>
                <w:rFonts w:hint="eastAsia" w:ascii="仿宋" w:hAnsi="仿宋" w:eastAsia="仿宋" w:cs="仿宋"/>
                <w:b/>
                <w:bCs/>
                <w:color w:val="auto"/>
                <w:spacing w:val="-4"/>
                <w:sz w:val="24"/>
                <w:szCs w:val="24"/>
                <w:lang w:eastAsia="zh-CN"/>
              </w:rPr>
              <w:t>）</w:t>
            </w:r>
            <w:r>
              <w:rPr>
                <w:rFonts w:hint="eastAsia" w:ascii="仿宋" w:hAnsi="仿宋" w:eastAsia="仿宋" w:cs="仿宋"/>
                <w:b/>
                <w:bCs/>
                <w:color w:val="auto"/>
                <w:spacing w:val="-4"/>
                <w:sz w:val="24"/>
                <w:szCs w:val="24"/>
              </w:rPr>
              <w:t>大写：</w:t>
            </w:r>
          </w:p>
          <w:p w14:paraId="47056423">
            <w:pPr>
              <w:keepNext w:val="0"/>
              <w:keepLines w:val="0"/>
              <w:pageBreakBefore w:val="0"/>
              <w:widowControl w:val="0"/>
              <w:kinsoku/>
              <w:wordWrap/>
              <w:overflowPunct/>
              <w:topLinePunct w:val="0"/>
              <w:autoSpaceDE/>
              <w:autoSpaceDN/>
              <w:bidi w:val="0"/>
              <w:adjustRightInd/>
              <w:snapToGrid/>
              <w:spacing w:before="273" w:line="220" w:lineRule="auto"/>
              <w:ind w:left="0" w:leftChars="0" w:right="0" w:rightChars="0" w:firstLine="0" w:firstLineChars="0"/>
              <w:jc w:val="both"/>
              <w:rPr>
                <w:rFonts w:hint="eastAsia" w:ascii="仿宋" w:hAnsi="仿宋" w:eastAsia="仿宋" w:cs="仿宋"/>
                <w:spacing w:val="-4"/>
                <w:sz w:val="24"/>
                <w:szCs w:val="24"/>
                <w:u w:val="single" w:color="auto"/>
                <w:lang w:val="en-US" w:eastAsia="zh-CN"/>
              </w:rPr>
            </w:pPr>
          </w:p>
        </w:tc>
      </w:tr>
    </w:tbl>
    <w:p w14:paraId="735103CA">
      <w:pPr>
        <w:keepNext w:val="0"/>
        <w:keepLines w:val="0"/>
        <w:pageBreakBefore w:val="0"/>
        <w:widowControl w:val="0"/>
        <w:numPr>
          <w:ilvl w:val="0"/>
          <w:numId w:val="0"/>
        </w:numPr>
        <w:kinsoku/>
        <w:wordWrap/>
        <w:overflowPunct/>
        <w:topLinePunct w:val="0"/>
        <w:autoSpaceDE/>
        <w:autoSpaceDN/>
        <w:bidi w:val="0"/>
        <w:spacing w:line="520" w:lineRule="exact"/>
        <w:textAlignment w:val="auto"/>
        <w:rPr>
          <w:rFonts w:hint="eastAsia" w:ascii="仿宋" w:hAnsi="仿宋" w:eastAsia="仿宋" w:cs="仿宋"/>
          <w:b/>
          <w:bCs/>
          <w:color w:val="auto"/>
          <w:sz w:val="28"/>
          <w:szCs w:val="28"/>
          <w:lang w:val="en-US" w:eastAsia="zh-CN"/>
        </w:rPr>
      </w:pPr>
    </w:p>
    <w:p w14:paraId="32897B53">
      <w:pPr>
        <w:keepNext w:val="0"/>
        <w:keepLines w:val="0"/>
        <w:pageBreakBefore w:val="0"/>
        <w:widowControl w:val="0"/>
        <w:numPr>
          <w:ilvl w:val="0"/>
          <w:numId w:val="0"/>
        </w:numPr>
        <w:kinsoku/>
        <w:wordWrap/>
        <w:overflowPunct/>
        <w:topLinePunct w:val="0"/>
        <w:autoSpaceDE/>
        <w:autoSpaceDN/>
        <w:bidi w:val="0"/>
        <w:spacing w:line="52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二、</w:t>
      </w:r>
      <w:r>
        <w:rPr>
          <w:rFonts w:hint="eastAsia" w:ascii="仿宋" w:hAnsi="仿宋" w:eastAsia="仿宋" w:cs="仿宋"/>
          <w:b/>
          <w:bCs/>
          <w:color w:val="auto"/>
          <w:sz w:val="28"/>
          <w:szCs w:val="28"/>
        </w:rPr>
        <w:t>交货方式</w:t>
      </w:r>
    </w:p>
    <w:p w14:paraId="25B7F96E">
      <w:pPr>
        <w:keepNext w:val="0"/>
        <w:keepLines w:val="0"/>
        <w:pageBreakBefore w:val="0"/>
        <w:widowControl w:val="0"/>
        <w:tabs>
          <w:tab w:val="left" w:pos="1980"/>
        </w:tabs>
        <w:kinsoku/>
        <w:wordWrap/>
        <w:overflowPunct/>
        <w:topLinePunct w:val="0"/>
        <w:autoSpaceDE/>
        <w:autoSpaceDN/>
        <w:bidi w:val="0"/>
        <w:snapToGrid w:val="0"/>
        <w:spacing w:line="52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1、乙方确保</w:t>
      </w:r>
      <w:r>
        <w:rPr>
          <w:rFonts w:hint="eastAsia" w:ascii="仿宋" w:hAnsi="仿宋" w:eastAsia="仿宋" w:cs="仿宋"/>
          <w:color w:val="auto"/>
          <w:sz w:val="28"/>
          <w:szCs w:val="28"/>
          <w:lang w:val="en-US" w:eastAsia="zh-CN"/>
        </w:rPr>
        <w:t>在签订合同后</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lang w:val="en-US" w:eastAsia="zh-CN"/>
        </w:rPr>
        <w:t>日内将</w:t>
      </w:r>
      <w:r>
        <w:rPr>
          <w:rFonts w:hint="eastAsia" w:ascii="仿宋" w:hAnsi="仿宋" w:eastAsia="仿宋" w:cs="仿宋"/>
          <w:color w:val="auto"/>
          <w:sz w:val="28"/>
          <w:szCs w:val="28"/>
        </w:rPr>
        <w:t>甲方采购的设备安全无损地运抵甲方指定现场，并承担</w:t>
      </w:r>
      <w:r>
        <w:rPr>
          <w:rFonts w:hint="eastAsia" w:ascii="仿宋" w:hAnsi="仿宋" w:eastAsia="仿宋" w:cs="仿宋"/>
          <w:color w:val="auto"/>
          <w:sz w:val="28"/>
          <w:szCs w:val="28"/>
          <w:lang w:val="en-US" w:eastAsia="zh-CN"/>
        </w:rPr>
        <w:t>包括但不限于：</w:t>
      </w:r>
      <w:r>
        <w:rPr>
          <w:rFonts w:hint="eastAsia" w:ascii="仿宋" w:hAnsi="仿宋" w:eastAsia="仿宋" w:cs="仿宋"/>
          <w:color w:val="auto"/>
          <w:sz w:val="28"/>
          <w:szCs w:val="28"/>
        </w:rPr>
        <w:t>设备的运输费、保险费、装卸费</w:t>
      </w:r>
      <w:r>
        <w:rPr>
          <w:rFonts w:hint="eastAsia" w:ascii="仿宋" w:hAnsi="仿宋" w:eastAsia="仿宋" w:cs="仿宋"/>
          <w:color w:val="auto"/>
          <w:sz w:val="28"/>
          <w:szCs w:val="28"/>
          <w:lang w:eastAsia="zh-CN"/>
        </w:rPr>
        <w:t>、包装费、安装调试费、培训费、售后服务费、税费</w:t>
      </w:r>
      <w:r>
        <w:rPr>
          <w:rFonts w:hint="eastAsia" w:ascii="仿宋" w:hAnsi="仿宋" w:eastAsia="仿宋" w:cs="仿宋"/>
          <w:color w:val="auto"/>
          <w:sz w:val="28"/>
          <w:szCs w:val="28"/>
        </w:rPr>
        <w:t>等乙方妥善履行本合同项下义务所需的任何费用。除本合同另有约定外，甲方无需就本合同履行向乙方或第三方支付其他任何费用。</w:t>
      </w:r>
      <w:r>
        <w:rPr>
          <w:rFonts w:hint="eastAsia" w:ascii="仿宋" w:hAnsi="仿宋" w:eastAsia="仿宋" w:cs="仿宋"/>
          <w:color w:val="auto"/>
          <w:sz w:val="28"/>
          <w:szCs w:val="28"/>
          <w:lang w:val="en-US" w:eastAsia="zh-CN"/>
        </w:rPr>
        <w:t>如甲方需要提前交货，应提前15个工作日通知乙方。</w:t>
      </w:r>
    </w:p>
    <w:p w14:paraId="68CB8EAB">
      <w:pPr>
        <w:keepNext w:val="0"/>
        <w:keepLines w:val="0"/>
        <w:pageBreakBefore w:val="0"/>
        <w:widowControl w:val="0"/>
        <w:tabs>
          <w:tab w:val="left" w:pos="1980"/>
        </w:tabs>
        <w:kinsoku/>
        <w:wordWrap/>
        <w:overflowPunct/>
        <w:topLinePunct w:val="0"/>
        <w:autoSpaceDE/>
        <w:autoSpaceDN/>
        <w:bidi w:val="0"/>
        <w:snapToGrid w:val="0"/>
        <w:spacing w:line="52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2、设备送到甲方指定现场后，乙方应到现场安排</w:t>
      </w:r>
      <w:r>
        <w:rPr>
          <w:rFonts w:hint="eastAsia" w:ascii="仿宋" w:hAnsi="仿宋" w:eastAsia="仿宋" w:cs="仿宋"/>
          <w:color w:val="auto"/>
          <w:sz w:val="28"/>
          <w:szCs w:val="28"/>
          <w:lang w:val="en-US" w:eastAsia="zh-CN"/>
        </w:rPr>
        <w:t>专业</w:t>
      </w:r>
      <w:r>
        <w:rPr>
          <w:rFonts w:hint="eastAsia" w:ascii="仿宋" w:hAnsi="仿宋" w:eastAsia="仿宋" w:cs="仿宋"/>
          <w:color w:val="auto"/>
          <w:sz w:val="28"/>
          <w:szCs w:val="28"/>
        </w:rPr>
        <w:t>人员对设备进行卸车并搬运到甲方指定地点。</w:t>
      </w:r>
    </w:p>
    <w:p w14:paraId="64F45136">
      <w:pPr>
        <w:keepNext w:val="0"/>
        <w:keepLines w:val="0"/>
        <w:pageBreakBefore w:val="0"/>
        <w:widowControl w:val="0"/>
        <w:tabs>
          <w:tab w:val="left" w:pos="1980"/>
        </w:tabs>
        <w:kinsoku/>
        <w:wordWrap/>
        <w:overflowPunct/>
        <w:topLinePunct w:val="0"/>
        <w:autoSpaceDE/>
        <w:autoSpaceDN/>
        <w:bidi w:val="0"/>
        <w:snapToGrid w:val="0"/>
        <w:spacing w:line="52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3、设备运送到甲方指定地点后，甲方只对设备包装箱数量进行签收，不对设备质量、规格等进行签收。对于不符合合同约定的产品，要求乙方予以补足、更换或退货，同时乙方承担由此产生的一切费用。</w:t>
      </w:r>
    </w:p>
    <w:p w14:paraId="56C7105B">
      <w:pPr>
        <w:pStyle w:val="4"/>
        <w:keepNext w:val="0"/>
        <w:keepLines w:val="0"/>
        <w:pageBreakBefore w:val="0"/>
        <w:widowControl w:val="0"/>
        <w:kinsoku/>
        <w:wordWrap/>
        <w:overflowPunct/>
        <w:topLinePunct w:val="0"/>
        <w:autoSpaceDE/>
        <w:autoSpaceDN/>
        <w:bidi w:val="0"/>
        <w:spacing w:line="520" w:lineRule="exact"/>
        <w:ind w:firstLine="560" w:firstLineChars="200"/>
        <w:textAlignment w:val="auto"/>
        <w:rPr>
          <w:rFonts w:hint="eastAsia" w:ascii="仿宋" w:hAnsi="仿宋" w:eastAsia="仿宋" w:cs="仿宋"/>
          <w:color w:val="auto"/>
          <w:sz w:val="28"/>
          <w:szCs w:val="28"/>
        </w:rPr>
      </w:pPr>
      <w:r>
        <w:rPr>
          <w:rFonts w:ascii="仿宋" w:hAnsi="仿宋" w:eastAsia="仿宋"/>
          <w:color w:val="auto"/>
          <w:sz w:val="28"/>
          <w:szCs w:val="28"/>
        </w:rPr>
        <w:t>4</w:t>
      </w:r>
      <w:r>
        <w:rPr>
          <w:rFonts w:hint="eastAsia" w:ascii="仿宋" w:hAnsi="仿宋" w:eastAsia="仿宋"/>
          <w:color w:val="auto"/>
          <w:sz w:val="28"/>
          <w:szCs w:val="28"/>
        </w:rPr>
        <w:t>、</w:t>
      </w:r>
      <w:r>
        <w:rPr>
          <w:rFonts w:hint="eastAsia" w:ascii="仿宋" w:hAnsi="仿宋" w:eastAsia="仿宋" w:cs="仿宋"/>
          <w:color w:val="auto"/>
          <w:sz w:val="28"/>
          <w:szCs w:val="28"/>
        </w:rPr>
        <w:t>乙方完成产品供货后，乙方产品即便通过交货验收确认，也不排除乙方对产品质量应承担的责任，甲方在收到产品如有异议，如确属产品质量问题，乙方应当按照甲方要求进行退换，同时乙方承担由此产生的一切费用（包括甲方因设备故障导致的业务损失）。</w:t>
      </w:r>
    </w:p>
    <w:p w14:paraId="2A0A7188">
      <w:pPr>
        <w:keepNext w:val="0"/>
        <w:keepLines w:val="0"/>
        <w:pageBreakBefore w:val="0"/>
        <w:widowControl w:val="0"/>
        <w:kinsoku/>
        <w:wordWrap/>
        <w:overflowPunct/>
        <w:topLinePunct w:val="0"/>
        <w:autoSpaceDE/>
        <w:autoSpaceDN/>
        <w:bidi w:val="0"/>
        <w:spacing w:line="520" w:lineRule="exact"/>
        <w:ind w:firstLine="560" w:firstLineChars="200"/>
        <w:textAlignment w:val="auto"/>
        <w:rPr>
          <w:color w:val="auto"/>
        </w:rPr>
      </w:pPr>
      <w:r>
        <w:rPr>
          <w:rFonts w:ascii="仿宋" w:hAnsi="仿宋" w:eastAsia="仿宋"/>
          <w:color w:val="auto"/>
          <w:sz w:val="28"/>
          <w:szCs w:val="28"/>
        </w:rPr>
        <w:t>5</w:t>
      </w:r>
      <w:r>
        <w:rPr>
          <w:rFonts w:hint="eastAsia" w:ascii="仿宋" w:hAnsi="仿宋" w:eastAsia="仿宋"/>
          <w:color w:val="auto"/>
          <w:sz w:val="28"/>
          <w:szCs w:val="28"/>
        </w:rPr>
        <w:t>、</w:t>
      </w:r>
      <w:r>
        <w:rPr>
          <w:rFonts w:hint="eastAsia" w:ascii="仿宋" w:hAnsi="仿宋" w:eastAsia="仿宋" w:cs="仿宋"/>
          <w:color w:val="auto"/>
          <w:kern w:val="0"/>
          <w:sz w:val="28"/>
          <w:szCs w:val="28"/>
          <w:lang w:bidi="ar"/>
        </w:rPr>
        <w:t>乙方在提供产品本身时，还应附随提供该产品的有效的商品标签、合格证书、出产检测报告、生产许可证及产品品牌、商标、规格、型号、相关的技术质量资料</w:t>
      </w:r>
      <w:r>
        <w:rPr>
          <w:rFonts w:hint="eastAsia" w:ascii="仿宋" w:hAnsi="仿宋" w:eastAsia="仿宋" w:cs="仿宋"/>
          <w:color w:val="auto"/>
          <w:kern w:val="0"/>
          <w:sz w:val="28"/>
          <w:szCs w:val="28"/>
          <w:lang w:eastAsia="zh-CN" w:bidi="ar"/>
        </w:rPr>
        <w:t>（</w:t>
      </w:r>
      <w:r>
        <w:rPr>
          <w:rFonts w:hint="eastAsia" w:ascii="仿宋" w:hAnsi="仿宋" w:eastAsia="仿宋" w:cs="仿宋"/>
          <w:color w:val="auto"/>
          <w:kern w:val="0"/>
          <w:sz w:val="28"/>
          <w:szCs w:val="28"/>
          <w:lang w:bidi="ar"/>
        </w:rPr>
        <w:t>含中文版本</w:t>
      </w:r>
      <w:r>
        <w:rPr>
          <w:rFonts w:hint="eastAsia" w:ascii="仿宋" w:hAnsi="仿宋" w:eastAsia="仿宋" w:cs="仿宋"/>
          <w:color w:val="auto"/>
          <w:kern w:val="0"/>
          <w:sz w:val="28"/>
          <w:szCs w:val="28"/>
          <w:lang w:eastAsia="zh-CN" w:bidi="ar"/>
        </w:rPr>
        <w:t>）</w:t>
      </w:r>
      <w:r>
        <w:rPr>
          <w:rFonts w:hint="eastAsia" w:ascii="仿宋" w:hAnsi="仿宋" w:eastAsia="仿宋" w:cs="仿宋"/>
          <w:color w:val="auto"/>
          <w:kern w:val="0"/>
          <w:sz w:val="28"/>
          <w:szCs w:val="28"/>
          <w:lang w:bidi="ar"/>
        </w:rPr>
        <w:t>。</w:t>
      </w:r>
    </w:p>
    <w:p w14:paraId="3B8161E6">
      <w:pPr>
        <w:keepNext w:val="0"/>
        <w:keepLines w:val="0"/>
        <w:pageBreakBefore w:val="0"/>
        <w:widowControl w:val="0"/>
        <w:tabs>
          <w:tab w:val="left" w:pos="1980"/>
        </w:tabs>
        <w:kinsoku/>
        <w:wordWrap/>
        <w:overflowPunct/>
        <w:topLinePunct w:val="0"/>
        <w:autoSpaceDE/>
        <w:autoSpaceDN/>
        <w:bidi w:val="0"/>
        <w:snapToGrid w:val="0"/>
        <w:spacing w:line="52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三、安装验收</w:t>
      </w:r>
    </w:p>
    <w:p w14:paraId="706D983D">
      <w:pPr>
        <w:keepNext w:val="0"/>
        <w:keepLines w:val="0"/>
        <w:pageBreakBefore w:val="0"/>
        <w:widowControl w:val="0"/>
        <w:kinsoku/>
        <w:wordWrap/>
        <w:overflowPunct/>
        <w:topLinePunct w:val="0"/>
        <w:autoSpaceDE/>
        <w:autoSpaceDN/>
        <w:bidi w:val="0"/>
        <w:spacing w:line="52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1、设备送到指定地点后</w:t>
      </w:r>
      <w:r>
        <w:rPr>
          <w:rFonts w:hint="eastAsia" w:ascii="仿宋" w:hAnsi="仿宋" w:eastAsia="仿宋" w:cs="仿宋"/>
          <w:color w:val="auto"/>
          <w:sz w:val="28"/>
          <w:szCs w:val="28"/>
          <w:lang w:val="en-US" w:eastAsia="zh-CN"/>
        </w:rPr>
        <w:t>30工作日内，由甲乙双方组织相关人员按设备配置清单、合同约定技术参数及国家相关标准进行</w:t>
      </w:r>
      <w:r>
        <w:rPr>
          <w:rFonts w:hint="eastAsia" w:ascii="仿宋" w:hAnsi="仿宋" w:eastAsia="仿宋" w:cs="仿宋"/>
          <w:color w:val="auto"/>
          <w:sz w:val="28"/>
          <w:szCs w:val="28"/>
        </w:rPr>
        <w:t>开箱验收。</w:t>
      </w:r>
      <w:bookmarkStart w:id="0" w:name="_Hlk115333105"/>
      <w:bookmarkStart w:id="1" w:name="_Hlk115331410"/>
      <w:r>
        <w:rPr>
          <w:rFonts w:hint="eastAsia" w:ascii="仿宋" w:hAnsi="仿宋" w:eastAsia="仿宋" w:cs="仿宋"/>
          <w:color w:val="auto"/>
          <w:kern w:val="0"/>
          <w:sz w:val="28"/>
          <w:szCs w:val="28"/>
          <w:lang w:bidi="ar"/>
        </w:rPr>
        <w:t>验收标准：国家相关质量标准、企业标准以及甲方要</w:t>
      </w:r>
      <w:r>
        <w:rPr>
          <w:rFonts w:hint="eastAsia" w:ascii="仿宋" w:hAnsi="仿宋" w:eastAsia="仿宋" w:cs="仿宋"/>
          <w:color w:val="auto"/>
          <w:sz w:val="28"/>
          <w:szCs w:val="28"/>
        </w:rPr>
        <w:t>求。</w:t>
      </w:r>
      <w:bookmarkEnd w:id="0"/>
      <w:bookmarkEnd w:id="1"/>
    </w:p>
    <w:p w14:paraId="6094BE9D">
      <w:pPr>
        <w:keepNext w:val="0"/>
        <w:keepLines w:val="0"/>
        <w:pageBreakBefore w:val="0"/>
        <w:widowControl w:val="0"/>
        <w:kinsoku/>
        <w:wordWrap/>
        <w:overflowPunct/>
        <w:topLinePunct w:val="0"/>
        <w:autoSpaceDE/>
        <w:autoSpaceDN/>
        <w:bidi w:val="0"/>
        <w:spacing w:line="52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w:t>
      </w:r>
      <w:bookmarkStart w:id="2" w:name="_Hlk115331430"/>
      <w:r>
        <w:rPr>
          <w:rFonts w:hint="eastAsia" w:ascii="仿宋_GB2312" w:hAnsi="仿宋_GB2312" w:eastAsia="仿宋_GB2312" w:cs="仿宋_GB2312"/>
          <w:color w:val="auto"/>
          <w:sz w:val="28"/>
          <w:szCs w:val="28"/>
        </w:rPr>
        <w:t>乙方</w:t>
      </w:r>
      <w:bookmarkEnd w:id="2"/>
      <w:r>
        <w:rPr>
          <w:rFonts w:hint="eastAsia" w:ascii="仿宋" w:hAnsi="仿宋" w:eastAsia="仿宋" w:cs="仿宋"/>
          <w:color w:val="auto"/>
          <w:sz w:val="28"/>
          <w:szCs w:val="28"/>
        </w:rPr>
        <w:t>设备经安装调试并试运行正常并对甲方使用人员操作及维护保养培训合格后，由甲乙双方组织相关人员对设备性能验收。</w:t>
      </w:r>
    </w:p>
    <w:p w14:paraId="7C3C33EE">
      <w:pPr>
        <w:keepNext w:val="0"/>
        <w:keepLines w:val="0"/>
        <w:pageBreakBefore w:val="0"/>
        <w:widowControl w:val="0"/>
        <w:kinsoku/>
        <w:wordWrap/>
        <w:overflowPunct/>
        <w:topLinePunct w:val="0"/>
        <w:autoSpaceDE/>
        <w:autoSpaceDN/>
        <w:bidi w:val="0"/>
        <w:spacing w:line="520" w:lineRule="exact"/>
        <w:ind w:firstLine="560" w:firstLineChars="200"/>
        <w:textAlignment w:val="auto"/>
        <w:rPr>
          <w:rFonts w:hint="eastAsia" w:ascii="仿宋" w:hAnsi="仿宋" w:eastAsia="仿宋" w:cs="仿宋"/>
          <w:color w:val="auto"/>
          <w:kern w:val="0"/>
          <w:sz w:val="28"/>
          <w:szCs w:val="28"/>
          <w:lang w:bidi="ar"/>
        </w:rPr>
      </w:pPr>
      <w:r>
        <w:rPr>
          <w:rFonts w:hint="eastAsia" w:ascii="仿宋" w:hAnsi="仿宋" w:eastAsia="仿宋" w:cs="仿宋"/>
          <w:color w:val="auto"/>
          <w:sz w:val="28"/>
          <w:szCs w:val="28"/>
        </w:rPr>
        <w:t>3、乙方必须提供维护手册、维修手册、软件备份、故障代码表、备件清单、零部件、维修密码、设备中文使用说明书、简易操作流程卡、日常使用注意事项卡等维护维修必</w:t>
      </w:r>
      <w:r>
        <w:rPr>
          <w:rFonts w:hint="eastAsia" w:ascii="仿宋" w:hAnsi="仿宋" w:eastAsia="仿宋" w:cs="仿宋"/>
          <w:color w:val="auto"/>
          <w:kern w:val="0"/>
          <w:sz w:val="28"/>
          <w:szCs w:val="28"/>
          <w:lang w:bidi="ar"/>
        </w:rPr>
        <w:t>需的材料纸质版及电子版。</w:t>
      </w:r>
    </w:p>
    <w:p w14:paraId="65B29C23">
      <w:pPr>
        <w:keepNext w:val="0"/>
        <w:keepLines w:val="0"/>
        <w:pageBreakBefore w:val="0"/>
        <w:widowControl w:val="0"/>
        <w:kinsoku/>
        <w:wordWrap/>
        <w:overflowPunct/>
        <w:topLinePunct w:val="0"/>
        <w:autoSpaceDE/>
        <w:autoSpaceDN/>
        <w:bidi w:val="0"/>
        <w:spacing w:line="520" w:lineRule="exact"/>
        <w:ind w:firstLine="560" w:firstLineChars="200"/>
        <w:textAlignment w:val="auto"/>
        <w:rPr>
          <w:rFonts w:hint="eastAsia" w:ascii="仿宋" w:hAnsi="仿宋" w:eastAsia="仿宋" w:cs="仿宋"/>
          <w:color w:val="auto"/>
          <w:kern w:val="0"/>
          <w:sz w:val="28"/>
          <w:szCs w:val="28"/>
          <w:lang w:bidi="ar"/>
        </w:rPr>
      </w:pPr>
      <w:r>
        <w:rPr>
          <w:rFonts w:hint="eastAsia" w:ascii="仿宋" w:hAnsi="仿宋" w:eastAsia="仿宋" w:cs="仿宋"/>
          <w:color w:val="auto"/>
          <w:kern w:val="0"/>
          <w:sz w:val="28"/>
          <w:szCs w:val="28"/>
          <w:lang w:bidi="ar"/>
        </w:rPr>
        <w:t>4、乙方必须提供医疗设备生产厂家《医疗器械生产许可证》、《医疗器械注册许可证》、产品合格证、保修卡及本公司资质证明材料复印件（加盖乙方公章及生产厂家公章）。</w:t>
      </w:r>
    </w:p>
    <w:p w14:paraId="294D48E8">
      <w:pPr>
        <w:keepNext w:val="0"/>
        <w:keepLines w:val="0"/>
        <w:pageBreakBefore w:val="0"/>
        <w:widowControl w:val="0"/>
        <w:kinsoku/>
        <w:wordWrap/>
        <w:overflowPunct/>
        <w:topLinePunct w:val="0"/>
        <w:autoSpaceDE/>
        <w:autoSpaceDN/>
        <w:bidi w:val="0"/>
        <w:spacing w:line="520" w:lineRule="exact"/>
        <w:ind w:firstLine="560" w:firstLineChars="200"/>
        <w:textAlignment w:val="auto"/>
        <w:rPr>
          <w:rFonts w:hint="eastAsia" w:ascii="仿宋" w:hAnsi="仿宋" w:eastAsia="仿宋" w:cs="仿宋"/>
          <w:color w:val="auto"/>
          <w:kern w:val="0"/>
          <w:sz w:val="28"/>
          <w:szCs w:val="28"/>
          <w:lang w:bidi="ar"/>
        </w:rPr>
      </w:pPr>
      <w:r>
        <w:rPr>
          <w:rFonts w:hint="eastAsia" w:ascii="仿宋" w:hAnsi="仿宋" w:eastAsia="仿宋" w:cs="仿宋"/>
          <w:color w:val="auto"/>
          <w:kern w:val="0"/>
          <w:sz w:val="28"/>
          <w:szCs w:val="28"/>
          <w:lang w:bidi="ar"/>
        </w:rPr>
        <w:t>5、进口产品需提供产品报关证明及商检合格证明材料</w:t>
      </w:r>
      <w:r>
        <w:rPr>
          <w:rFonts w:hint="eastAsia" w:ascii="仿宋" w:hAnsi="仿宋" w:eastAsia="仿宋" w:cs="仿宋"/>
          <w:color w:val="auto"/>
          <w:kern w:val="0"/>
          <w:sz w:val="28"/>
          <w:szCs w:val="28"/>
          <w:lang w:eastAsia="zh-CN" w:bidi="ar"/>
        </w:rPr>
        <w:t>、</w:t>
      </w:r>
      <w:r>
        <w:rPr>
          <w:rFonts w:hint="eastAsia" w:ascii="仿宋" w:hAnsi="仿宋" w:eastAsia="仿宋" w:cs="仿宋"/>
          <w:color w:val="auto"/>
          <w:kern w:val="0"/>
          <w:sz w:val="28"/>
          <w:szCs w:val="28"/>
          <w:lang w:bidi="ar"/>
        </w:rPr>
        <w:t>关税缴纳凭证及商检合格证明（均加盖乙方公章）</w:t>
      </w:r>
    </w:p>
    <w:p w14:paraId="5BFEE21D">
      <w:pPr>
        <w:keepNext w:val="0"/>
        <w:keepLines w:val="0"/>
        <w:pageBreakBefore w:val="0"/>
        <w:widowControl w:val="0"/>
        <w:kinsoku/>
        <w:wordWrap/>
        <w:overflowPunct/>
        <w:topLinePunct w:val="0"/>
        <w:autoSpaceDE/>
        <w:autoSpaceDN/>
        <w:bidi w:val="0"/>
        <w:spacing w:line="520" w:lineRule="exact"/>
        <w:ind w:firstLine="560" w:firstLineChars="200"/>
        <w:textAlignment w:val="auto"/>
        <w:rPr>
          <w:rFonts w:hint="eastAsia" w:ascii="仿宋" w:hAnsi="仿宋" w:eastAsia="仿宋" w:cs="仿宋"/>
          <w:color w:val="auto"/>
          <w:kern w:val="0"/>
          <w:sz w:val="28"/>
          <w:szCs w:val="28"/>
          <w:lang w:bidi="ar"/>
        </w:rPr>
      </w:pPr>
      <w:r>
        <w:rPr>
          <w:rFonts w:hint="eastAsia" w:ascii="仿宋" w:hAnsi="仿宋" w:eastAsia="仿宋" w:cs="仿宋"/>
          <w:color w:val="auto"/>
          <w:kern w:val="0"/>
          <w:sz w:val="28"/>
          <w:szCs w:val="28"/>
          <w:lang w:bidi="ar"/>
        </w:rPr>
        <w:t>6、设备安装、培训完毕投入正常使用后20天内进行最终验收，出具验收报告。</w:t>
      </w:r>
    </w:p>
    <w:p w14:paraId="54092F08">
      <w:pPr>
        <w:keepNext w:val="0"/>
        <w:keepLines w:val="0"/>
        <w:pageBreakBefore w:val="0"/>
        <w:widowControl w:val="0"/>
        <w:kinsoku/>
        <w:wordWrap/>
        <w:overflowPunct/>
        <w:topLinePunct w:val="0"/>
        <w:autoSpaceDE/>
        <w:autoSpaceDN/>
        <w:bidi w:val="0"/>
        <w:spacing w:line="520" w:lineRule="exact"/>
        <w:ind w:firstLine="560" w:firstLineChars="200"/>
        <w:textAlignment w:val="auto"/>
        <w:rPr>
          <w:rFonts w:hint="eastAsia" w:ascii="仿宋" w:hAnsi="仿宋" w:eastAsia="仿宋" w:cs="仿宋"/>
          <w:color w:val="auto"/>
          <w:kern w:val="0"/>
          <w:sz w:val="28"/>
          <w:szCs w:val="28"/>
          <w:lang w:bidi="ar"/>
        </w:rPr>
      </w:pPr>
      <w:bookmarkStart w:id="3" w:name="_Hlk115331455"/>
      <w:r>
        <w:rPr>
          <w:rFonts w:hint="eastAsia" w:ascii="仿宋" w:hAnsi="仿宋" w:eastAsia="仿宋" w:cs="仿宋"/>
          <w:color w:val="auto"/>
          <w:kern w:val="0"/>
          <w:sz w:val="28"/>
          <w:szCs w:val="28"/>
          <w:lang w:bidi="ar"/>
        </w:rPr>
        <w:t>7、乙方为执行本合同而提供的技术资料归甲方所有的约定。</w:t>
      </w:r>
      <w:bookmarkEnd w:id="3"/>
      <w:r>
        <w:rPr>
          <w:rFonts w:hint="eastAsia" w:ascii="仿宋" w:hAnsi="仿宋" w:eastAsia="仿宋" w:cs="仿宋"/>
          <w:color w:val="auto"/>
          <w:kern w:val="0"/>
          <w:sz w:val="28"/>
          <w:szCs w:val="28"/>
          <w:lang w:bidi="ar"/>
        </w:rPr>
        <w:t>乙方应当在交付设备时一并提供本条第3-5款材料，该提供材料义务亦是乙方的合同主义务，不是附随义务；如乙方未按甲方要求及时提供的，甲方有权延迟付款或解除合同，并适用第六条第（一）款追究乙方的违约责任。</w:t>
      </w:r>
    </w:p>
    <w:p w14:paraId="12B5195F">
      <w:pPr>
        <w:keepNext w:val="0"/>
        <w:keepLines w:val="0"/>
        <w:pageBreakBefore w:val="0"/>
        <w:widowControl w:val="0"/>
        <w:kinsoku/>
        <w:wordWrap/>
        <w:overflowPunct/>
        <w:topLinePunct w:val="0"/>
        <w:autoSpaceDE/>
        <w:autoSpaceDN/>
        <w:bidi w:val="0"/>
        <w:spacing w:line="520" w:lineRule="exact"/>
        <w:ind w:firstLine="560" w:firstLineChars="200"/>
        <w:textAlignment w:val="auto"/>
        <w:rPr>
          <w:rFonts w:hint="eastAsia" w:ascii="仿宋" w:hAnsi="仿宋" w:eastAsia="仿宋" w:cs="仿宋"/>
          <w:color w:val="auto"/>
          <w:kern w:val="0"/>
          <w:sz w:val="28"/>
          <w:szCs w:val="28"/>
          <w:lang w:eastAsia="zh-CN" w:bidi="ar"/>
        </w:rPr>
      </w:pPr>
      <w:r>
        <w:rPr>
          <w:rFonts w:hint="eastAsia" w:ascii="仿宋" w:hAnsi="仿宋" w:eastAsia="仿宋" w:cs="仿宋"/>
          <w:color w:val="auto"/>
          <w:kern w:val="0"/>
          <w:sz w:val="28"/>
          <w:szCs w:val="28"/>
          <w:lang w:val="en-US" w:eastAsia="zh-CN" w:bidi="ar"/>
        </w:rPr>
        <w:t>8、</w:t>
      </w:r>
      <w:r>
        <w:rPr>
          <w:rFonts w:hint="eastAsia" w:ascii="仿宋" w:hAnsi="仿宋" w:eastAsia="仿宋" w:cs="仿宋"/>
          <w:color w:val="auto"/>
          <w:kern w:val="0"/>
          <w:sz w:val="28"/>
          <w:szCs w:val="28"/>
          <w:lang w:bidi="ar"/>
        </w:rPr>
        <w:t>设备包装箱等废弃物由乙方负责清理并运离甲方现场，确保 “工完场净”，否则甲方有权委托第三方处理，费用从乙方款项中扣除</w:t>
      </w:r>
      <w:r>
        <w:rPr>
          <w:rFonts w:hint="eastAsia" w:ascii="仿宋" w:hAnsi="仿宋" w:eastAsia="仿宋" w:cs="仿宋"/>
          <w:color w:val="auto"/>
          <w:kern w:val="0"/>
          <w:sz w:val="28"/>
          <w:szCs w:val="28"/>
          <w:lang w:eastAsia="zh-CN" w:bidi="ar"/>
        </w:rPr>
        <w:t>。</w:t>
      </w:r>
    </w:p>
    <w:p w14:paraId="174997ED">
      <w:pPr>
        <w:keepNext w:val="0"/>
        <w:keepLines w:val="0"/>
        <w:pageBreakBefore w:val="0"/>
        <w:widowControl w:val="0"/>
        <w:kinsoku/>
        <w:wordWrap/>
        <w:overflowPunct/>
        <w:topLinePunct w:val="0"/>
        <w:autoSpaceDE/>
        <w:autoSpaceDN/>
        <w:bidi w:val="0"/>
        <w:spacing w:line="520" w:lineRule="exact"/>
        <w:ind w:firstLine="560" w:firstLineChars="200"/>
        <w:textAlignment w:val="auto"/>
        <w:rPr>
          <w:rFonts w:hint="eastAsia" w:ascii="仿宋" w:hAnsi="仿宋" w:eastAsia="仿宋" w:cs="仿宋"/>
          <w:color w:val="auto"/>
          <w:kern w:val="0"/>
          <w:sz w:val="28"/>
          <w:szCs w:val="28"/>
          <w:lang w:eastAsia="zh-CN" w:bidi="ar"/>
        </w:rPr>
      </w:pPr>
      <w:r>
        <w:rPr>
          <w:rFonts w:hint="eastAsia" w:ascii="仿宋" w:hAnsi="仿宋" w:eastAsia="仿宋" w:cs="仿宋"/>
          <w:color w:val="auto"/>
          <w:kern w:val="0"/>
          <w:sz w:val="28"/>
          <w:szCs w:val="28"/>
          <w:lang w:val="en-US" w:eastAsia="zh-CN" w:bidi="ar"/>
        </w:rPr>
        <w:t>9、</w:t>
      </w:r>
      <w:r>
        <w:rPr>
          <w:rFonts w:hint="eastAsia" w:ascii="仿宋" w:hAnsi="仿宋" w:eastAsia="仿宋" w:cs="仿宋"/>
          <w:color w:val="auto"/>
          <w:kern w:val="0"/>
          <w:sz w:val="28"/>
          <w:szCs w:val="28"/>
          <w:lang w:bidi="ar"/>
        </w:rPr>
        <w:t>乙方应制定专项成品保护措施，确保设备在安装、调试期间不受损坏；若因保护不当导致设备损坏，乙方需无偿更换或维修</w:t>
      </w:r>
      <w:r>
        <w:rPr>
          <w:rFonts w:hint="eastAsia" w:ascii="仿宋" w:hAnsi="仿宋" w:eastAsia="仿宋" w:cs="仿宋"/>
          <w:color w:val="auto"/>
          <w:kern w:val="0"/>
          <w:sz w:val="28"/>
          <w:szCs w:val="28"/>
          <w:lang w:eastAsia="zh-CN" w:bidi="ar"/>
        </w:rPr>
        <w:t>。</w:t>
      </w:r>
    </w:p>
    <w:p w14:paraId="22BFF2E5">
      <w:pPr>
        <w:keepNext w:val="0"/>
        <w:keepLines w:val="0"/>
        <w:pageBreakBefore w:val="0"/>
        <w:widowControl w:val="0"/>
        <w:kinsoku/>
        <w:wordWrap/>
        <w:overflowPunct/>
        <w:topLinePunct w:val="0"/>
        <w:autoSpaceDE/>
        <w:autoSpaceDN/>
        <w:bidi w:val="0"/>
        <w:spacing w:line="520" w:lineRule="exact"/>
        <w:ind w:firstLine="560" w:firstLineChars="200"/>
        <w:textAlignment w:val="auto"/>
        <w:rPr>
          <w:rFonts w:hint="default" w:ascii="仿宋" w:hAnsi="仿宋" w:eastAsia="仿宋" w:cs="仿宋"/>
          <w:color w:val="auto"/>
          <w:kern w:val="0"/>
          <w:sz w:val="28"/>
          <w:szCs w:val="28"/>
          <w:lang w:val="en-US" w:eastAsia="zh-CN" w:bidi="ar"/>
        </w:rPr>
      </w:pPr>
      <w:r>
        <w:rPr>
          <w:rFonts w:hint="eastAsia" w:ascii="仿宋" w:hAnsi="仿宋" w:eastAsia="仿宋" w:cs="仿宋"/>
          <w:color w:val="auto"/>
          <w:kern w:val="0"/>
          <w:sz w:val="28"/>
          <w:szCs w:val="28"/>
          <w:lang w:val="en-US" w:eastAsia="zh-CN" w:bidi="ar"/>
        </w:rPr>
        <w:t>10</w:t>
      </w:r>
      <w:r>
        <w:rPr>
          <w:rFonts w:hint="eastAsia" w:ascii="仿宋" w:hAnsi="仿宋" w:eastAsia="仿宋" w:cs="仿宋"/>
          <w:color w:val="auto"/>
          <w:kern w:val="0"/>
          <w:sz w:val="28"/>
          <w:szCs w:val="28"/>
          <w:lang w:bidi="ar"/>
        </w:rPr>
        <w:t>、货物到达交货地点</w:t>
      </w:r>
      <w:r>
        <w:rPr>
          <w:rFonts w:hint="eastAsia" w:ascii="仿宋" w:hAnsi="仿宋" w:eastAsia="仿宋" w:cs="仿宋"/>
          <w:color w:val="auto"/>
          <w:kern w:val="0"/>
          <w:sz w:val="28"/>
          <w:szCs w:val="28"/>
          <w:lang w:eastAsia="zh-CN" w:bidi="ar"/>
        </w:rPr>
        <w:t>、</w:t>
      </w:r>
      <w:r>
        <w:rPr>
          <w:rFonts w:hint="eastAsia" w:ascii="仿宋" w:hAnsi="仿宋" w:eastAsia="仿宋" w:cs="仿宋"/>
          <w:color w:val="auto"/>
          <w:kern w:val="0"/>
          <w:sz w:val="28"/>
          <w:szCs w:val="28"/>
          <w:lang w:val="en-US" w:eastAsia="zh-CN" w:bidi="ar"/>
        </w:rPr>
        <w:t>交付且经甲方验收合格</w:t>
      </w:r>
      <w:r>
        <w:rPr>
          <w:rFonts w:hint="eastAsia" w:ascii="仿宋" w:hAnsi="仿宋" w:eastAsia="仿宋" w:cs="仿宋"/>
          <w:color w:val="auto"/>
          <w:kern w:val="0"/>
          <w:sz w:val="28"/>
          <w:szCs w:val="28"/>
          <w:lang w:bidi="ar"/>
        </w:rPr>
        <w:t>前的损失由乙方负责。</w:t>
      </w:r>
    </w:p>
    <w:p w14:paraId="316D6F4B">
      <w:pPr>
        <w:keepNext w:val="0"/>
        <w:keepLines w:val="0"/>
        <w:pageBreakBefore w:val="0"/>
        <w:widowControl w:val="0"/>
        <w:tabs>
          <w:tab w:val="left" w:pos="1980"/>
        </w:tabs>
        <w:kinsoku/>
        <w:wordWrap/>
        <w:overflowPunct/>
        <w:topLinePunct w:val="0"/>
        <w:autoSpaceDE/>
        <w:autoSpaceDN/>
        <w:bidi w:val="0"/>
        <w:snapToGrid w:val="0"/>
        <w:spacing w:line="52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四、质量保证和售后服务</w:t>
      </w:r>
    </w:p>
    <w:p w14:paraId="54317FDD">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highlight w:val="none"/>
        </w:rPr>
        <w:t>质量保证期内(简称“质保期”)按生产厂家的标准执行，</w:t>
      </w:r>
      <w:r>
        <w:rPr>
          <w:rFonts w:hint="eastAsia" w:ascii="仿宋" w:hAnsi="仿宋" w:eastAsia="仿宋" w:cs="仿宋"/>
          <w:color w:val="auto"/>
          <w:sz w:val="28"/>
          <w:szCs w:val="28"/>
          <w:highlight w:val="none"/>
          <w:lang w:val="en-US" w:eastAsia="zh-CN"/>
        </w:rPr>
        <w:t>具体质保期限以招标文件要求为准</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lang w:val="en-US" w:eastAsia="zh-CN"/>
        </w:rPr>
        <w:t>自甲方验收通过之日起算</w:t>
      </w:r>
      <w:r>
        <w:rPr>
          <w:rFonts w:hint="eastAsia" w:ascii="仿宋" w:hAnsi="仿宋" w:eastAsia="仿宋" w:cs="仿宋"/>
          <w:color w:val="auto"/>
          <w:sz w:val="28"/>
          <w:szCs w:val="28"/>
        </w:rPr>
        <w:t>。质保期内非人为原因，出现产品质量及安装问题，乙方负责对所提供的设备实行“四包”，即包修、包换、包退、包维护保养</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包括免费更换故障零部件、提供维修服务、承担往返运输费用及因维修产生的其他直接费用。</w:t>
      </w:r>
    </w:p>
    <w:p w14:paraId="19B44FC1">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2、质保期内，如货物或零部件非人为因素出现故障造成短期（24小时）内停用时，则质保期和免费维修期应相应顺延。如货物因自身故障停用时间累计超过20天时，则质保期在设备恢复正常使用之日起</w:t>
      </w:r>
      <w:r>
        <w:rPr>
          <w:rFonts w:hint="eastAsia" w:ascii="仿宋" w:hAnsi="仿宋" w:eastAsia="仿宋" w:cs="仿宋"/>
          <w:color w:val="auto"/>
          <w:sz w:val="28"/>
          <w:szCs w:val="28"/>
          <w:lang w:val="en-US" w:eastAsia="zh-CN"/>
        </w:rPr>
        <w:t>重新计算</w:t>
      </w:r>
      <w:r>
        <w:rPr>
          <w:rFonts w:hint="eastAsia" w:ascii="仿宋" w:hAnsi="仿宋" w:eastAsia="仿宋" w:cs="仿宋"/>
          <w:color w:val="auto"/>
          <w:sz w:val="28"/>
          <w:szCs w:val="28"/>
        </w:rPr>
        <w:t>。</w:t>
      </w:r>
    </w:p>
    <w:p w14:paraId="186EBEA9">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3、质保期内须提供周期上门免费服务：</w:t>
      </w:r>
      <w:r>
        <w:rPr>
          <w:rFonts w:hint="eastAsia" w:ascii="仿宋" w:hAnsi="仿宋" w:eastAsia="仿宋" w:cs="仿宋"/>
          <w:color w:val="auto"/>
          <w:sz w:val="28"/>
          <w:szCs w:val="28"/>
          <w:highlight w:val="none"/>
        </w:rPr>
        <w:t>周期为至少每</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个月一次</w:t>
      </w:r>
      <w:r>
        <w:rPr>
          <w:rFonts w:hint="eastAsia" w:ascii="仿宋" w:hAnsi="仿宋" w:eastAsia="仿宋" w:cs="仿宋"/>
          <w:color w:val="auto"/>
          <w:sz w:val="28"/>
          <w:szCs w:val="28"/>
        </w:rPr>
        <w:t>；形式为</w:t>
      </w:r>
      <w:r>
        <w:rPr>
          <w:rFonts w:hint="eastAsia" w:ascii="仿宋" w:hAnsi="仿宋" w:eastAsia="仿宋" w:cs="仿宋"/>
          <w:color w:val="auto"/>
          <w:sz w:val="28"/>
          <w:szCs w:val="28"/>
          <w:lang w:val="en-US" w:eastAsia="zh-CN"/>
        </w:rPr>
        <w:t>乙方提前向甲方</w:t>
      </w:r>
      <w:r>
        <w:rPr>
          <w:rFonts w:hint="eastAsia" w:ascii="仿宋" w:hAnsi="仿宋" w:eastAsia="仿宋" w:cs="仿宋"/>
          <w:color w:val="auto"/>
          <w:sz w:val="28"/>
          <w:szCs w:val="28"/>
        </w:rPr>
        <w:t>预约上门，服务内容为周期保养检修、检测系统运行状况、处理使用过程中出现的问题</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系统运行检测、部件损耗检查、日常维护指导等，并形成书面服务报告由甲方签字确认。如果乙方未按周期提供服务，应当按照</w:t>
      </w:r>
      <w:r>
        <w:rPr>
          <w:rFonts w:hint="eastAsia" w:ascii="仿宋" w:hAnsi="仿宋" w:eastAsia="仿宋" w:cs="仿宋"/>
          <w:color w:val="auto"/>
          <w:sz w:val="28"/>
          <w:szCs w:val="28"/>
          <w:lang w:val="en-US" w:eastAsia="zh-CN"/>
        </w:rPr>
        <w:t>1000元/次</w:t>
      </w:r>
      <w:r>
        <w:rPr>
          <w:rFonts w:hint="eastAsia" w:ascii="仿宋" w:hAnsi="仿宋" w:eastAsia="仿宋" w:cs="仿宋"/>
          <w:color w:val="auto"/>
          <w:sz w:val="28"/>
          <w:szCs w:val="28"/>
        </w:rPr>
        <w:t>向甲方支付违约金</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累计违约金可从质保金中扣除。</w:t>
      </w:r>
    </w:p>
    <w:p w14:paraId="1262F026">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4、乙方负责向甲方提供至少 3 次现场安全操作及必要的维护保养培训。</w:t>
      </w:r>
    </w:p>
    <w:p w14:paraId="2C405AFA">
      <w:pPr>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rPr>
        <w:t>5、乙方须提供常设24小时（含节假日）热线服务和长期的免费技术支持。对</w:t>
      </w:r>
      <w:r>
        <w:rPr>
          <w:rFonts w:hint="eastAsia" w:ascii="仿宋" w:hAnsi="仿宋" w:eastAsia="仿宋" w:cs="仿宋"/>
          <w:color w:val="auto"/>
          <w:sz w:val="28"/>
          <w:szCs w:val="28"/>
          <w:lang w:val="en-US" w:eastAsia="zh-CN"/>
        </w:rPr>
        <w:t>甲方</w:t>
      </w:r>
      <w:r>
        <w:rPr>
          <w:rFonts w:hint="eastAsia" w:ascii="仿宋" w:hAnsi="仿宋" w:eastAsia="仿宋" w:cs="仿宋"/>
          <w:color w:val="auto"/>
          <w:sz w:val="28"/>
          <w:szCs w:val="28"/>
        </w:rPr>
        <w:t>的售后服务通知，</w:t>
      </w:r>
      <w:r>
        <w:rPr>
          <w:rFonts w:hint="eastAsia" w:ascii="仿宋" w:hAnsi="仿宋" w:eastAsia="仿宋" w:cs="仿宋"/>
          <w:color w:val="auto"/>
          <w:sz w:val="28"/>
          <w:szCs w:val="28"/>
          <w:lang w:val="en-US" w:eastAsia="zh-CN"/>
        </w:rPr>
        <w:t>乙方</w:t>
      </w:r>
      <w:r>
        <w:rPr>
          <w:rFonts w:hint="eastAsia" w:ascii="仿宋" w:hAnsi="仿宋" w:eastAsia="仿宋" w:cs="仿宋"/>
          <w:color w:val="auto"/>
          <w:sz w:val="28"/>
          <w:szCs w:val="28"/>
        </w:rPr>
        <w:t>在报</w:t>
      </w:r>
      <w:r>
        <w:rPr>
          <w:rFonts w:hint="eastAsia" w:ascii="仿宋" w:hAnsi="仿宋" w:eastAsia="仿宋" w:cs="仿宋"/>
          <w:color w:val="auto"/>
          <w:sz w:val="28"/>
          <w:szCs w:val="28"/>
          <w:lang w:val="en-US" w:eastAsia="zh-CN"/>
        </w:rPr>
        <w:t>告</w:t>
      </w:r>
      <w:r>
        <w:rPr>
          <w:rFonts w:hint="eastAsia" w:ascii="仿宋" w:hAnsi="仿宋" w:eastAsia="仿宋" w:cs="仿宋"/>
          <w:color w:val="auto"/>
          <w:sz w:val="28"/>
          <w:szCs w:val="28"/>
        </w:rPr>
        <w:t>后6小时内响应，24小时内到达现场，48小时内处理完毕，不得影响甲方的正常工作业务。若 48 小时内无法修复，乙方需提供备用设备供甲方临时使用，否则按设备停用天数向甲方支付违约金（每日按合同总价的 0.1% 计算）</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highlight w:val="none"/>
        </w:rPr>
        <w:t>若因设备自身原因导致连续停机维修超过15日仍未修复的，甲方有权要求乙方免费更换全新同型号设备，或选择解除合同并由乙方退还全部已付款项，同时承担合同总金额20%的违约金及甲方因此产生的全部损失</w:t>
      </w:r>
      <w:r>
        <w:rPr>
          <w:rFonts w:hint="eastAsia" w:ascii="仿宋" w:hAnsi="仿宋" w:eastAsia="仿宋" w:cs="仿宋"/>
          <w:color w:val="auto"/>
          <w:sz w:val="28"/>
          <w:szCs w:val="28"/>
          <w:highlight w:val="none"/>
          <w:lang w:eastAsia="zh-CN"/>
        </w:rPr>
        <w:t>。</w:t>
      </w:r>
    </w:p>
    <w:p w14:paraId="0FAED85E">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设备到达指定地点后，乙方应指派工程技术员进行安装、并对甲方操作人员及维修人员进行设备使用操作、常见故障诊断及日常维护培训，直至甲方操作人员能熟练操作为止、培训产生的全部费用由乙方承担。</w:t>
      </w:r>
    </w:p>
    <w:p w14:paraId="7E6B597F">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7、乙方承诺所提供的货物为自合同生效之日起12个月内原厂制造的全新的合格产品，无污染、无侵权行为、无任何缺陷隐患，在中国境内可依常规合法、安全使用。</w:t>
      </w:r>
    </w:p>
    <w:p w14:paraId="3D3619E0">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FF"/>
          <w:sz w:val="28"/>
          <w:szCs w:val="28"/>
        </w:rPr>
      </w:pPr>
      <w:r>
        <w:rPr>
          <w:rFonts w:hint="eastAsia" w:ascii="仿宋" w:hAnsi="仿宋" w:eastAsia="仿宋" w:cs="仿宋"/>
          <w:color w:val="auto"/>
          <w:sz w:val="28"/>
          <w:szCs w:val="28"/>
        </w:rPr>
        <w:t>8、在货物验收期或质量保证期内，如果货物的数量、规格、质量或性能与合同或标书不符，或证实货物有缺陷的，包括潜在的缺陷或使用不符合要求的材料等，以及货物出现某种或某部件出现经常性故障，甲方有权</w:t>
      </w:r>
      <w:r>
        <w:rPr>
          <w:rFonts w:hint="eastAsia" w:ascii="仿宋" w:hAnsi="仿宋" w:eastAsia="仿宋" w:cs="仿宋"/>
          <w:color w:val="auto"/>
          <w:sz w:val="28"/>
          <w:szCs w:val="28"/>
          <w:lang w:val="en-US" w:eastAsia="zh-CN"/>
        </w:rPr>
        <w:t>解除合同或</w:t>
      </w:r>
      <w:r>
        <w:rPr>
          <w:rFonts w:hint="eastAsia" w:ascii="仿宋" w:hAnsi="仿宋" w:eastAsia="仿宋" w:cs="仿宋"/>
          <w:color w:val="auto"/>
          <w:sz w:val="28"/>
          <w:szCs w:val="28"/>
        </w:rPr>
        <w:t>要求乙采取相应补救措施，</w:t>
      </w:r>
      <w:r>
        <w:rPr>
          <w:rFonts w:hint="eastAsia" w:ascii="仿宋" w:hAnsi="仿宋" w:eastAsia="仿宋" w:cs="仿宋"/>
          <w:color w:val="auto"/>
          <w:sz w:val="28"/>
          <w:szCs w:val="28"/>
          <w:lang w:val="en-US" w:eastAsia="zh-CN"/>
        </w:rPr>
        <w:t>同时</w:t>
      </w:r>
      <w:r>
        <w:rPr>
          <w:rFonts w:hint="eastAsia" w:ascii="仿宋" w:hAnsi="仿宋" w:eastAsia="仿宋" w:cs="仿宋"/>
          <w:color w:val="auto"/>
          <w:sz w:val="28"/>
          <w:szCs w:val="28"/>
        </w:rPr>
        <w:t>有权要求乙方</w:t>
      </w:r>
      <w:r>
        <w:rPr>
          <w:rFonts w:hint="eastAsia" w:ascii="仿宋" w:hAnsi="仿宋" w:eastAsia="仿宋" w:cs="仿宋"/>
          <w:color w:val="auto"/>
          <w:sz w:val="28"/>
          <w:szCs w:val="28"/>
          <w:lang w:val="en-US" w:eastAsia="zh-CN"/>
        </w:rPr>
        <w:t>按合同总金额的20%向甲方支付违约金，同时赔偿甲方全部损失（包括但不限于甲方另行采购的差价损失），并承担因此产生的所有成本和费用。解除合同后，乙方应于5个工作日内退还甲方已支付的款项。</w:t>
      </w:r>
    </w:p>
    <w:p w14:paraId="3D599102">
      <w:pPr>
        <w:keepNext w:val="0"/>
        <w:keepLines w:val="0"/>
        <w:pageBreakBefore w:val="0"/>
        <w:widowControl w:val="0"/>
        <w:kinsoku/>
        <w:wordWrap/>
        <w:overflowPunct/>
        <w:topLinePunct w:val="0"/>
        <w:autoSpaceDE/>
        <w:autoSpaceDN/>
        <w:bidi w:val="0"/>
        <w:spacing w:line="520" w:lineRule="exact"/>
        <w:ind w:firstLine="560" w:firstLineChars="200"/>
        <w:jc w:val="left"/>
        <w:textAlignment w:val="auto"/>
        <w:rPr>
          <w:rFonts w:ascii="仿宋" w:hAnsi="仿宋" w:eastAsia="仿宋" w:cs="仿宋"/>
          <w:color w:val="auto"/>
          <w:kern w:val="0"/>
          <w:sz w:val="28"/>
          <w:szCs w:val="28"/>
          <w:lang w:bidi="ar"/>
        </w:rPr>
      </w:pPr>
      <w:bookmarkStart w:id="4" w:name="_Hlk115333396"/>
      <w:r>
        <w:rPr>
          <w:rFonts w:hint="eastAsia" w:ascii="仿宋" w:hAnsi="仿宋" w:eastAsia="仿宋"/>
          <w:color w:val="auto"/>
          <w:sz w:val="28"/>
          <w:szCs w:val="28"/>
          <w:lang w:val="en-US" w:eastAsia="zh-CN"/>
        </w:rPr>
        <w:t>9</w:t>
      </w:r>
      <w:r>
        <w:rPr>
          <w:rFonts w:hint="eastAsia" w:ascii="仿宋" w:hAnsi="仿宋" w:eastAsia="仿宋"/>
          <w:color w:val="auto"/>
          <w:sz w:val="28"/>
          <w:szCs w:val="28"/>
        </w:rPr>
        <w:t>、</w:t>
      </w:r>
      <w:r>
        <w:rPr>
          <w:rFonts w:hint="eastAsia" w:ascii="仿宋" w:hAnsi="仿宋" w:eastAsia="仿宋" w:cs="仿宋"/>
          <w:color w:val="auto"/>
          <w:kern w:val="0"/>
          <w:sz w:val="28"/>
          <w:szCs w:val="28"/>
          <w:lang w:bidi="ar"/>
        </w:rPr>
        <w:t>乙方提供的产品均应符合国家相关质量标准、企业标准，均为全新未使用过的产品。质量标准：本合同所指的货物及服务应符合合同载明的技术规格和标准；如果没有提及适用标准，则应符合中华人民共和国国家标准或行业标准；如果中华人民共和国没有相关标准的，则采用货物来源国适用的官方标准。上述标准必须是有关机构发布的最新版本的标准。</w:t>
      </w:r>
    </w:p>
    <w:p w14:paraId="54706116">
      <w:pPr>
        <w:keepNext w:val="0"/>
        <w:keepLines w:val="0"/>
        <w:pageBreakBefore w:val="0"/>
        <w:widowControl w:val="0"/>
        <w:kinsoku/>
        <w:wordWrap/>
        <w:overflowPunct/>
        <w:topLinePunct w:val="0"/>
        <w:autoSpaceDE/>
        <w:autoSpaceDN/>
        <w:bidi w:val="0"/>
        <w:spacing w:line="520" w:lineRule="exact"/>
        <w:ind w:firstLine="560" w:firstLineChars="200"/>
        <w:textAlignment w:val="auto"/>
        <w:rPr>
          <w:rFonts w:ascii="仿宋" w:hAnsi="仿宋" w:eastAsia="仿宋" w:cs="仿宋"/>
          <w:color w:val="auto"/>
          <w:kern w:val="0"/>
          <w:sz w:val="28"/>
          <w:szCs w:val="28"/>
          <w:lang w:bidi="ar"/>
        </w:rPr>
      </w:pPr>
      <w:r>
        <w:rPr>
          <w:rFonts w:ascii="仿宋" w:hAnsi="仿宋" w:eastAsia="仿宋"/>
          <w:color w:val="auto"/>
          <w:sz w:val="28"/>
          <w:szCs w:val="28"/>
          <w:lang w:bidi="ar"/>
        </w:rPr>
        <w:t>1</w:t>
      </w:r>
      <w:r>
        <w:rPr>
          <w:rFonts w:hint="eastAsia" w:ascii="仿宋" w:hAnsi="仿宋" w:eastAsia="仿宋"/>
          <w:color w:val="auto"/>
          <w:sz w:val="28"/>
          <w:szCs w:val="28"/>
          <w:lang w:val="en-US" w:eastAsia="zh-CN" w:bidi="ar"/>
        </w:rPr>
        <w:t>0</w:t>
      </w:r>
      <w:r>
        <w:rPr>
          <w:rFonts w:hint="eastAsia" w:ascii="仿宋" w:hAnsi="仿宋" w:eastAsia="仿宋"/>
          <w:color w:val="auto"/>
          <w:sz w:val="28"/>
          <w:szCs w:val="28"/>
          <w:lang w:bidi="ar"/>
        </w:rPr>
        <w:t>、</w:t>
      </w:r>
      <w:r>
        <w:rPr>
          <w:rFonts w:hint="eastAsia" w:ascii="仿宋" w:hAnsi="仿宋" w:eastAsia="仿宋" w:cs="仿宋"/>
          <w:color w:val="auto"/>
          <w:kern w:val="0"/>
          <w:sz w:val="28"/>
          <w:szCs w:val="28"/>
          <w:lang w:bidi="ar"/>
        </w:rPr>
        <w:t>本合同产品的包装应为原厂包装。产品的包装由乙方按现行国家规定标准和行业标准执行；没有国家标准和行业标准的，按有利于保护产品的方式进行包装，若因乙方包装不当导致</w:t>
      </w:r>
      <w:r>
        <w:rPr>
          <w:rFonts w:hint="eastAsia" w:ascii="仿宋" w:hAnsi="仿宋" w:eastAsia="仿宋" w:cs="仿宋"/>
          <w:color w:val="auto"/>
          <w:kern w:val="0"/>
          <w:sz w:val="28"/>
          <w:szCs w:val="28"/>
          <w:lang w:val="en-US" w:eastAsia="zh-CN" w:bidi="ar"/>
        </w:rPr>
        <w:t>设备</w:t>
      </w:r>
      <w:r>
        <w:rPr>
          <w:rFonts w:hint="eastAsia" w:ascii="仿宋" w:hAnsi="仿宋" w:eastAsia="仿宋" w:cs="仿宋"/>
          <w:color w:val="auto"/>
          <w:kern w:val="0"/>
          <w:sz w:val="28"/>
          <w:szCs w:val="28"/>
          <w:lang w:bidi="ar"/>
        </w:rPr>
        <w:t>损坏的乙方需无偿更换并承担甲方损失。</w:t>
      </w:r>
    </w:p>
    <w:p w14:paraId="17929AF0">
      <w:pPr>
        <w:pStyle w:val="5"/>
        <w:keepNext w:val="0"/>
        <w:keepLines w:val="0"/>
        <w:pageBreakBefore w:val="0"/>
        <w:widowControl w:val="0"/>
        <w:kinsoku/>
        <w:wordWrap/>
        <w:overflowPunct/>
        <w:topLinePunct w:val="0"/>
        <w:autoSpaceDE/>
        <w:autoSpaceDN/>
        <w:bidi w:val="0"/>
        <w:spacing w:line="520" w:lineRule="exact"/>
        <w:ind w:firstLine="560" w:firstLineChars="200"/>
        <w:textAlignment w:val="auto"/>
        <w:rPr>
          <w:rFonts w:ascii="仿宋" w:hAnsi="仿宋" w:eastAsia="仿宋" w:cs="仿宋"/>
          <w:b/>
          <w:bCs/>
          <w:color w:val="auto"/>
          <w:sz w:val="28"/>
          <w:szCs w:val="28"/>
        </w:rPr>
      </w:pPr>
      <w:r>
        <w:rPr>
          <w:rFonts w:ascii="仿宋" w:hAnsi="仿宋" w:eastAsia="仿宋"/>
          <w:color w:val="auto"/>
          <w:sz w:val="28"/>
          <w:szCs w:val="28"/>
          <w:lang w:bidi="ar"/>
        </w:rPr>
        <w:t>1</w:t>
      </w:r>
      <w:r>
        <w:rPr>
          <w:rFonts w:hint="eastAsia" w:ascii="仿宋" w:hAnsi="仿宋" w:eastAsia="仿宋"/>
          <w:color w:val="auto"/>
          <w:sz w:val="28"/>
          <w:szCs w:val="28"/>
          <w:lang w:val="en-US" w:eastAsia="zh-CN" w:bidi="ar"/>
        </w:rPr>
        <w:t>1</w:t>
      </w:r>
      <w:r>
        <w:rPr>
          <w:rFonts w:hint="eastAsia" w:ascii="仿宋" w:hAnsi="仿宋" w:eastAsia="仿宋"/>
          <w:color w:val="auto"/>
          <w:sz w:val="28"/>
          <w:szCs w:val="28"/>
          <w:lang w:bidi="ar"/>
        </w:rPr>
        <w:t>、</w:t>
      </w:r>
      <w:r>
        <w:rPr>
          <w:rFonts w:hint="eastAsia" w:ascii="仿宋" w:hAnsi="仿宋" w:eastAsia="仿宋" w:cs="仿宋"/>
          <w:color w:val="auto"/>
          <w:sz w:val="28"/>
          <w:szCs w:val="28"/>
        </w:rPr>
        <w:t>全部产品应具有原生产厂商的合法版权。因乙方所供应产品，涉及第三方的产品专利引起的法律纠纷由乙方自行承担。由此给甲方造成的损失（包括但不限于双方因此承担的赔偿、补偿、其他利益损失，以及诉讼费、保全费、律师费、保险费、差旅费等全部费用），也由乙方全部承担。</w:t>
      </w:r>
      <w:bookmarkEnd w:id="4"/>
    </w:p>
    <w:p w14:paraId="1D4124FE">
      <w:pPr>
        <w:keepNext w:val="0"/>
        <w:keepLines w:val="0"/>
        <w:pageBreakBefore w:val="0"/>
        <w:widowControl w:val="0"/>
        <w:tabs>
          <w:tab w:val="left" w:pos="1980"/>
        </w:tabs>
        <w:kinsoku/>
        <w:wordWrap/>
        <w:overflowPunct/>
        <w:topLinePunct w:val="0"/>
        <w:autoSpaceDE/>
        <w:autoSpaceDN/>
        <w:bidi w:val="0"/>
        <w:snapToGrid w:val="0"/>
        <w:spacing w:line="520" w:lineRule="exact"/>
        <w:ind w:firstLine="551" w:firstLineChars="196"/>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五、付款方式：</w:t>
      </w:r>
    </w:p>
    <w:p w14:paraId="5C8268CE">
      <w:pPr>
        <w:pStyle w:val="3"/>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（1）签订合同后且财政资金到账后 3个工作日内，甲方收到合同总金额30%的发票，甲方向乙方支付合同总价的30%作为预付款，即：￥    （大写：）；</w:t>
      </w:r>
    </w:p>
    <w:p w14:paraId="4644CA75">
      <w:pPr>
        <w:pStyle w:val="3"/>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（2）器械、耗材到货、安装调试培训结束，提交器械、耗材使用说明书、维修手册、合格证、保修单、安装验收报告和正规的全额税务发票等全部材料，通过正式验收合格且安装调试合格之日起 10 个工作日内,甲方支付合同剩余款(总价的70%)，即：￥    （大写：）；</w:t>
      </w:r>
    </w:p>
    <w:p w14:paraId="2A19A622">
      <w:pPr>
        <w:pStyle w:val="3"/>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（3）乙方在合同签订前向甲方提交履约保证金，金额为合同总价的5%，即：￥    （大写：），履约保证金在质保期结束后退还，履约保证金可自主选择以支票、汇票、本票、或者金融机构、担保机构、保险公司出具的保函等非现金形式缴纳履约保证金。</w:t>
      </w:r>
    </w:p>
    <w:p w14:paraId="64CEF2E7">
      <w:pPr>
        <w:pStyle w:val="3"/>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（4）待全部设备质保期届满且无质量及服务纠纷后【】日内统一一次性无息退还履约保证金。</w:t>
      </w:r>
    </w:p>
    <w:p w14:paraId="5A77CC75">
      <w:pPr>
        <w:pStyle w:val="3"/>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（5）甲方通过转账的方式向乙方支付货款，乙方应向甲方准确提供转账支付货款用的户名、开户银行、账号等信息，账户信息变更需提前 15 日书面通知甲方并附证明文件，否则由此导致的付款延误责任由乙方承担。</w:t>
      </w:r>
    </w:p>
    <w:p w14:paraId="20FD75B9">
      <w:pPr>
        <w:pStyle w:val="3"/>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（6）甲方每次付款前，乙方应按甲方要求提供与付款金额相等的正式有效发票等材料给甲方。因乙方未提供材料或提供材料不合格的，甲方有权延期付款且不承担任何责任。</w:t>
      </w:r>
    </w:p>
    <w:p w14:paraId="25AED477">
      <w:pPr>
        <w:pStyle w:val="3"/>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（7）因财政资金拨付程序、财政预算不足或内部审批等非甲方可控原因导致甲方付款迟延的，乙方表示理解并保证不向甲方主张任何违约付款责任。</w:t>
      </w:r>
    </w:p>
    <w:p w14:paraId="2D49FBF5">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六、违约责任</w:t>
      </w:r>
      <w:r>
        <w:rPr>
          <w:rFonts w:hint="eastAsia" w:ascii="仿宋" w:hAnsi="仿宋" w:eastAsia="仿宋" w:cs="仿宋"/>
          <w:b/>
          <w:bCs/>
          <w:color w:val="auto"/>
          <w:sz w:val="28"/>
          <w:szCs w:val="28"/>
          <w:lang w:val="en-US" w:eastAsia="zh-CN"/>
        </w:rPr>
        <w:t>:</w:t>
      </w:r>
    </w:p>
    <w:p w14:paraId="6FBD59A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1、如</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无正当理由而</w:t>
      </w:r>
      <w:r>
        <w:rPr>
          <w:rFonts w:hint="eastAsia" w:ascii="仿宋" w:hAnsi="仿宋" w:eastAsia="仿宋" w:cs="仿宋"/>
          <w:color w:val="auto"/>
          <w:sz w:val="28"/>
          <w:szCs w:val="28"/>
          <w:lang w:val="en-US" w:eastAsia="zh-CN"/>
        </w:rPr>
        <w:t>逾期</w:t>
      </w:r>
      <w:r>
        <w:rPr>
          <w:rFonts w:hint="eastAsia" w:ascii="仿宋" w:hAnsi="仿宋" w:eastAsia="仿宋" w:cs="仿宋"/>
          <w:color w:val="auto"/>
          <w:sz w:val="28"/>
          <w:szCs w:val="28"/>
        </w:rPr>
        <w:t>交货</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安装</w:t>
      </w:r>
      <w:r>
        <w:rPr>
          <w:rFonts w:hint="eastAsia" w:ascii="仿宋" w:hAnsi="仿宋" w:eastAsia="仿宋" w:cs="仿宋"/>
          <w:color w:val="auto"/>
          <w:sz w:val="28"/>
          <w:szCs w:val="28"/>
        </w:rPr>
        <w:t>（含因验收不合格整改造成的延期交货），违约金每日按合同总价的万分之三计收，延期超过七天的，</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lang w:val="en-US" w:eastAsia="zh-CN"/>
        </w:rPr>
        <w:t>有权</w:t>
      </w:r>
      <w:r>
        <w:rPr>
          <w:rFonts w:hint="eastAsia" w:ascii="仿宋" w:hAnsi="仿宋" w:eastAsia="仿宋" w:cs="仿宋"/>
          <w:color w:val="auto"/>
          <w:sz w:val="28"/>
          <w:szCs w:val="28"/>
        </w:rPr>
        <w:t>解除合同，</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应返还</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已付全部款项并承担合同</w:t>
      </w:r>
      <w:r>
        <w:rPr>
          <w:rFonts w:hint="eastAsia" w:ascii="仿宋" w:hAnsi="仿宋" w:eastAsia="仿宋" w:cs="仿宋"/>
          <w:color w:val="auto"/>
          <w:sz w:val="28"/>
          <w:szCs w:val="28"/>
          <w:lang w:val="en-US" w:eastAsia="zh-CN"/>
        </w:rPr>
        <w:t>总金额2</w:t>
      </w:r>
      <w:r>
        <w:rPr>
          <w:rFonts w:hint="eastAsia" w:ascii="仿宋" w:hAnsi="仿宋" w:eastAsia="仿宋" w:cs="仿宋"/>
          <w:color w:val="auto"/>
          <w:sz w:val="28"/>
          <w:szCs w:val="28"/>
        </w:rPr>
        <w:t>0%的违约金；如因逾期给</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造成损失，</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lang w:val="en-US" w:eastAsia="zh-CN"/>
        </w:rPr>
        <w:t>还应</w:t>
      </w:r>
      <w:r>
        <w:rPr>
          <w:rFonts w:hint="eastAsia" w:ascii="仿宋" w:hAnsi="仿宋" w:eastAsia="仿宋" w:cs="仿宋"/>
          <w:color w:val="auto"/>
          <w:sz w:val="28"/>
          <w:szCs w:val="28"/>
        </w:rPr>
        <w:t>赔偿</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全部损失（包括但不限于甲方另行采购的差价损失）。</w:t>
      </w:r>
    </w:p>
    <w:p w14:paraId="0A01FD23">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ascii="仿宋" w:hAnsi="仿宋" w:eastAsia="仿宋" w:cs="仿宋"/>
          <w:color w:val="auto"/>
          <w:sz w:val="28"/>
          <w:szCs w:val="28"/>
        </w:rPr>
      </w:pPr>
      <w:r>
        <w:rPr>
          <w:rFonts w:hint="eastAsia" w:ascii="仿宋" w:hAnsi="仿宋" w:eastAsia="仿宋" w:cs="仿宋"/>
          <w:color w:val="auto"/>
          <w:sz w:val="28"/>
          <w:szCs w:val="28"/>
        </w:rPr>
        <w:t>2、根据《国家卫生计生委关于建立医药购销领域商业贿赂不良记录的规定》（国卫法制发【2013】50号）相关规定，在合同</w:t>
      </w:r>
      <w:r>
        <w:rPr>
          <w:rFonts w:hint="eastAsia" w:ascii="仿宋" w:hAnsi="仿宋" w:eastAsia="仿宋" w:cs="仿宋"/>
          <w:color w:val="auto"/>
          <w:sz w:val="28"/>
          <w:szCs w:val="28"/>
          <w:lang w:val="en-US" w:eastAsia="zh-CN"/>
        </w:rPr>
        <w:t>履</w:t>
      </w:r>
      <w:r>
        <w:rPr>
          <w:rFonts w:hint="eastAsia" w:ascii="仿宋" w:hAnsi="仿宋" w:eastAsia="仿宋" w:cs="仿宋"/>
          <w:color w:val="auto"/>
          <w:sz w:val="28"/>
          <w:szCs w:val="28"/>
        </w:rPr>
        <w:t>行过程中，如乙方被列入商业贿赂不良记录名单，甲方有权无条件中止</w:t>
      </w:r>
      <w:r>
        <w:rPr>
          <w:rFonts w:hint="eastAsia" w:ascii="仿宋" w:hAnsi="仿宋" w:eastAsia="仿宋" w:cs="仿宋"/>
          <w:color w:val="auto"/>
          <w:sz w:val="28"/>
          <w:szCs w:val="28"/>
          <w:lang w:val="en-US" w:eastAsia="zh-CN"/>
        </w:rPr>
        <w:t>/解除</w:t>
      </w:r>
      <w:r>
        <w:rPr>
          <w:rFonts w:hint="eastAsia" w:ascii="仿宋" w:hAnsi="仿宋" w:eastAsia="仿宋" w:cs="仿宋"/>
          <w:color w:val="auto"/>
          <w:sz w:val="28"/>
          <w:szCs w:val="28"/>
        </w:rPr>
        <w:t>本合同，</w:t>
      </w:r>
      <w:r>
        <w:rPr>
          <w:rFonts w:hint="eastAsia" w:ascii="仿宋" w:hAnsi="仿宋" w:eastAsia="仿宋" w:cs="仿宋"/>
          <w:b w:val="0"/>
          <w:bCs/>
          <w:color w:val="auto"/>
          <w:sz w:val="28"/>
          <w:szCs w:val="28"/>
          <w:lang w:val="en-US" w:eastAsia="zh-CN"/>
        </w:rPr>
        <w:t>甲方选择中止的，可中止</w:t>
      </w:r>
      <w:r>
        <w:rPr>
          <w:rFonts w:hint="eastAsia" w:ascii="仿宋" w:hAnsi="仿宋" w:eastAsia="仿宋" w:cs="仿宋"/>
          <w:color w:val="auto"/>
          <w:sz w:val="28"/>
          <w:szCs w:val="28"/>
        </w:rPr>
        <w:t>直至乙方不良记录消除为止。</w:t>
      </w:r>
      <w:r>
        <w:rPr>
          <w:rFonts w:hint="eastAsia" w:ascii="仿宋" w:hAnsi="仿宋" w:eastAsia="仿宋" w:cs="仿宋"/>
          <w:b w:val="0"/>
          <w:bCs/>
          <w:color w:val="auto"/>
          <w:sz w:val="28"/>
          <w:szCs w:val="28"/>
          <w:lang w:val="en-US" w:eastAsia="zh-CN"/>
        </w:rPr>
        <w:t>甲方选择解除合同（或先中止后根据情况决定解除合同）的，合同于甲方通知乙方当日解除。无论是中止还是解除合同，给甲方造成损失的，乙方均应赔偿，且因乙方被列入商业贿赂不良记录名单而中止/解除合同而未履行合同义务（包括但不限于逾期/未交货、安装调试、培训及提供售后服务等）的均属乙方违约，应按照/参照本合同违约金计算方式承担违约责任。</w:t>
      </w:r>
    </w:p>
    <w:p w14:paraId="573F19B4">
      <w:pPr>
        <w:pStyle w:val="12"/>
        <w:keepNext w:val="0"/>
        <w:keepLines w:val="0"/>
        <w:pageBreakBefore w:val="0"/>
        <w:widowControl w:val="0"/>
        <w:kinsoku/>
        <w:wordWrap/>
        <w:overflowPunct/>
        <w:topLinePunct w:val="0"/>
        <w:autoSpaceDE/>
        <w:autoSpaceDN/>
        <w:bidi w:val="0"/>
        <w:spacing w:line="520" w:lineRule="exact"/>
        <w:jc w:val="both"/>
        <w:textAlignment w:val="auto"/>
        <w:rPr>
          <w:rFonts w:hint="eastAsia" w:ascii="仿宋" w:hAnsi="仿宋" w:eastAsia="仿宋" w:cs="仿宋"/>
          <w:color w:val="auto"/>
          <w:sz w:val="28"/>
          <w:szCs w:val="28"/>
        </w:rPr>
      </w:pPr>
      <w:r>
        <w:rPr>
          <w:rFonts w:hint="eastAsia"/>
          <w:color w:val="auto"/>
        </w:rPr>
        <w:t xml:space="preserve"> </w:t>
      </w:r>
      <w:r>
        <w:rPr>
          <w:color w:val="auto"/>
        </w:rPr>
        <w:t xml:space="preserve">   </w:t>
      </w:r>
      <w:r>
        <w:rPr>
          <w:rFonts w:ascii="仿宋" w:hAnsi="仿宋" w:eastAsia="仿宋"/>
          <w:color w:val="auto"/>
          <w:sz w:val="28"/>
          <w:szCs w:val="28"/>
        </w:rPr>
        <w:t xml:space="preserve"> </w:t>
      </w:r>
      <w:bookmarkStart w:id="5" w:name="_Hlk115331593"/>
      <w:bookmarkStart w:id="6" w:name="_Hlk115333477"/>
      <w:r>
        <w:rPr>
          <w:rFonts w:hint="eastAsia" w:ascii="仿宋" w:hAnsi="仿宋" w:eastAsia="仿宋"/>
          <w:color w:val="auto"/>
          <w:sz w:val="28"/>
          <w:szCs w:val="28"/>
          <w:lang w:val="en-US" w:eastAsia="zh-CN"/>
        </w:rPr>
        <w:t>3</w:t>
      </w:r>
      <w:r>
        <w:rPr>
          <w:rFonts w:hint="eastAsia" w:ascii="仿宋" w:hAnsi="仿宋" w:eastAsia="仿宋"/>
          <w:color w:val="auto"/>
          <w:sz w:val="28"/>
          <w:szCs w:val="28"/>
        </w:rPr>
        <w:t>、</w:t>
      </w:r>
      <w:r>
        <w:rPr>
          <w:rFonts w:hint="eastAsia" w:ascii="仿宋" w:hAnsi="仿宋" w:eastAsia="仿宋" w:cs="仿宋"/>
          <w:color w:val="auto"/>
          <w:sz w:val="28"/>
          <w:szCs w:val="28"/>
        </w:rPr>
        <w:t>若乙方违约，必须承担甲方</w:t>
      </w:r>
      <w:r>
        <w:rPr>
          <w:rFonts w:hint="eastAsia" w:ascii="仿宋" w:hAnsi="仿宋" w:eastAsia="仿宋" w:cs="仿宋"/>
          <w:color w:val="auto"/>
          <w:sz w:val="28"/>
          <w:szCs w:val="28"/>
          <w:lang w:val="en-US" w:eastAsia="zh-CN"/>
        </w:rPr>
        <w:t>的损失（包括但不限于甲方的直接损失、甲方向第三方的赔付、甲方</w:t>
      </w:r>
      <w:r>
        <w:rPr>
          <w:rFonts w:hint="eastAsia" w:ascii="仿宋" w:hAnsi="仿宋" w:eastAsia="仿宋" w:cs="仿宋"/>
          <w:color w:val="auto"/>
          <w:sz w:val="28"/>
          <w:szCs w:val="28"/>
        </w:rPr>
        <w:t>产生律师费的业务费、交通费、差旅费</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保全费、保险费、诉讼费</w:t>
      </w:r>
      <w:r>
        <w:rPr>
          <w:rFonts w:hint="eastAsia" w:ascii="仿宋" w:hAnsi="仿宋" w:eastAsia="仿宋" w:cs="仿宋"/>
          <w:color w:val="auto"/>
          <w:sz w:val="28"/>
          <w:szCs w:val="28"/>
        </w:rPr>
        <w:t>等所有费用</w:t>
      </w:r>
      <w:bookmarkEnd w:id="5"/>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w:t>
      </w:r>
      <w:bookmarkEnd w:id="6"/>
    </w:p>
    <w:p w14:paraId="2D0E535F">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4、未经甲方书面同意，</w:t>
      </w:r>
      <w:r>
        <w:rPr>
          <w:rFonts w:hint="eastAsia" w:ascii="仿宋" w:hAnsi="仿宋" w:eastAsia="仿宋" w:cs="仿宋"/>
          <w:color w:val="auto"/>
          <w:sz w:val="28"/>
          <w:szCs w:val="28"/>
        </w:rPr>
        <w:t>乙方</w:t>
      </w:r>
      <w:r>
        <w:rPr>
          <w:rFonts w:hint="eastAsia" w:ascii="仿宋" w:hAnsi="仿宋" w:eastAsia="仿宋" w:cs="仿宋"/>
          <w:color w:val="auto"/>
          <w:sz w:val="28"/>
          <w:szCs w:val="28"/>
          <w:lang w:val="en-US" w:eastAsia="zh-CN"/>
        </w:rPr>
        <w:t>擅自将本合同项下义务</w:t>
      </w:r>
      <w:r>
        <w:rPr>
          <w:rFonts w:hint="eastAsia" w:ascii="仿宋" w:hAnsi="仿宋" w:eastAsia="仿宋" w:cs="仿宋"/>
          <w:color w:val="auto"/>
          <w:sz w:val="28"/>
          <w:szCs w:val="28"/>
        </w:rPr>
        <w:t>以任何形式部分或全部转让</w:t>
      </w:r>
      <w:r>
        <w:rPr>
          <w:rFonts w:hint="eastAsia" w:ascii="仿宋" w:hAnsi="仿宋" w:eastAsia="仿宋" w:cs="仿宋"/>
          <w:color w:val="auto"/>
          <w:sz w:val="28"/>
          <w:szCs w:val="28"/>
          <w:lang w:val="en-US" w:eastAsia="zh-CN"/>
        </w:rPr>
        <w:t>，经甲方书面通知仍不改正的，甲方有权选择解除合同或者使用第三方成果，但乙方均须按照合同总金额的</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30%</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向甲方支付违约金，并且就转让部分继续向甲方承担责任。</w:t>
      </w:r>
    </w:p>
    <w:p w14:paraId="418FDDD3">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5、质保期内，乙方拒绝服务或者服务不及时、不尽责的，经甲方书面通知仍不改正的，甲方有权委托第三方，因此发生费用由乙方承担，并且乙方应当按照合同总金额【1】%/次的标准向甲方支付违约金</w:t>
      </w:r>
      <w:r>
        <w:rPr>
          <w:rFonts w:hint="eastAsia" w:ascii="仿宋" w:hAnsi="仿宋" w:eastAsia="仿宋" w:cs="仿宋"/>
          <w:color w:val="auto"/>
          <w:sz w:val="28"/>
          <w:szCs w:val="28"/>
        </w:rPr>
        <w:t>（累计不超过合同总金额 10%）</w:t>
      </w:r>
      <w:r>
        <w:rPr>
          <w:rFonts w:hint="eastAsia" w:ascii="仿宋" w:hAnsi="仿宋" w:eastAsia="仿宋" w:cs="仿宋"/>
          <w:color w:val="auto"/>
          <w:sz w:val="28"/>
          <w:szCs w:val="28"/>
          <w:lang w:val="en-US" w:eastAsia="zh-CN"/>
        </w:rPr>
        <w:t>。</w:t>
      </w:r>
    </w:p>
    <w:p w14:paraId="5A71AF5E">
      <w:pPr>
        <w:snapToGrid w:val="0"/>
        <w:spacing w:line="520" w:lineRule="exact"/>
        <w:ind w:firstLine="560" w:firstLineChars="200"/>
        <w:rPr>
          <w:rFonts w:hint="default"/>
          <w:color w:val="auto"/>
          <w:lang w:val="en-US"/>
        </w:rPr>
      </w:pPr>
      <w:r>
        <w:rPr>
          <w:rFonts w:hint="eastAsia" w:ascii="仿宋" w:hAnsi="仿宋" w:eastAsia="仿宋" w:cs="仿宋"/>
          <w:color w:val="auto"/>
          <w:sz w:val="28"/>
          <w:szCs w:val="28"/>
          <w:lang w:val="en-US" w:eastAsia="zh-CN"/>
        </w:rPr>
        <w:t>6、乙方存在其他违反合同约定行为的，每违约一次需支付违约金【1000】元，并应在甲方限期内整改，如乙方拒不整改或整改后仍存在违反合同约定行为的，甲方有权解除合同，乙方应返还甲方已付款项（如甲方同意接收合格货物的则据实结算），并支付甲方合同总金额20%的违约金并赔偿甲方损失。</w:t>
      </w:r>
    </w:p>
    <w:p w14:paraId="476D8F56">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七、不可抗拒力</w:t>
      </w:r>
    </w:p>
    <w:p w14:paraId="321DE027">
      <w:pPr>
        <w:keepNext w:val="0"/>
        <w:keepLines w:val="0"/>
        <w:pageBreakBefore w:val="0"/>
        <w:widowControl/>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因地震、战争、政策重大调整等不可抗力导致合同无法履行的，受影响方需在不可抗力发生后 3 日内书面通知对方，并提供相关证明。双方根据不可抗力影响程度，协商决定部分履行、延期履行或解除合同，互不承担违约责任。</w:t>
      </w:r>
    </w:p>
    <w:p w14:paraId="2530E379">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ascii="仿宋_GB2312" w:hAnsi="仿宋_GB2312" w:eastAsia="仿宋_GB2312" w:cs="仿宋_GB2312"/>
          <w:b/>
          <w:bCs/>
          <w:color w:val="auto"/>
          <w:sz w:val="28"/>
          <w:szCs w:val="28"/>
        </w:rPr>
      </w:pPr>
      <w:bookmarkStart w:id="7" w:name="_Hlk115333492"/>
      <w:r>
        <w:rPr>
          <w:rFonts w:ascii="仿宋_GB2312" w:hAnsi="仿宋_GB2312" w:eastAsia="仿宋_GB2312" w:cs="仿宋_GB2312"/>
          <w:b/>
          <w:bCs/>
          <w:color w:val="auto"/>
          <w:sz w:val="28"/>
          <w:szCs w:val="28"/>
        </w:rPr>
        <w:t>八、保密条款</w:t>
      </w:r>
    </w:p>
    <w:p w14:paraId="21A0294C">
      <w:pPr>
        <w:keepNext w:val="0"/>
        <w:keepLines w:val="0"/>
        <w:pageBreakBefore w:val="0"/>
        <w:widowControl w:val="0"/>
        <w:kinsoku/>
        <w:wordWrap/>
        <w:overflowPunct/>
        <w:topLinePunct w:val="0"/>
        <w:autoSpaceDE/>
        <w:autoSpaceDN/>
        <w:bidi w:val="0"/>
        <w:spacing w:line="520" w:lineRule="exact"/>
        <w:jc w:val="left"/>
        <w:textAlignment w:val="auto"/>
        <w:rPr>
          <w:color w:val="auto"/>
        </w:rPr>
      </w:pPr>
      <w:r>
        <w:rPr>
          <w:rFonts w:ascii="仿宋_GB2312" w:hAnsi="仿宋_GB2312" w:eastAsia="仿宋_GB2312" w:cs="仿宋_GB2312"/>
          <w:color w:val="auto"/>
          <w:kern w:val="0"/>
          <w:sz w:val="28"/>
          <w:szCs w:val="28"/>
          <w:lang w:bidi="ar"/>
        </w:rPr>
        <w:t xml:space="preserve">   本合同签订、履行过程中以及本协议终止后，任何一方对于本协议之签署、履行及协议内容以及一方在合作过程中，因签署及履行本协议而知悉或收到的有关协议其他方的商业秘密、专有信息、客户信息(以下统称为“保密信息”)均负有保密义务。任何一方及其员工、关联企业可就其履行其在本协议项下义务之目的而使用该类保密信息。未经对方书面许可，任何一方均不得向任何第三方泄露上述保密信息，否则应承担违约责任并赔偿损失。本保密条款持续有效，直至上述保密信息进入公共领域为止。</w:t>
      </w:r>
      <w:bookmarkEnd w:id="7"/>
    </w:p>
    <w:p w14:paraId="09E60BB7">
      <w:pPr>
        <w:keepNext w:val="0"/>
        <w:keepLines w:val="0"/>
        <w:pageBreakBefore w:val="0"/>
        <w:widowControl w:val="0"/>
        <w:tabs>
          <w:tab w:val="left" w:pos="1980"/>
        </w:tabs>
        <w:kinsoku/>
        <w:wordWrap/>
        <w:overflowPunct/>
        <w:topLinePunct w:val="0"/>
        <w:autoSpaceDE/>
        <w:autoSpaceDN/>
        <w:bidi w:val="0"/>
        <w:snapToGrid w:val="0"/>
        <w:spacing w:line="520" w:lineRule="exact"/>
        <w:ind w:firstLine="551" w:firstLineChars="196"/>
        <w:textAlignment w:val="auto"/>
        <w:rPr>
          <w:rFonts w:hint="eastAsia" w:ascii="仿宋" w:hAnsi="仿宋" w:eastAsia="仿宋" w:cs="仿宋"/>
          <w:color w:val="auto"/>
          <w:sz w:val="28"/>
          <w:szCs w:val="28"/>
        </w:rPr>
      </w:pPr>
      <w:r>
        <w:rPr>
          <w:rFonts w:hint="eastAsia" w:ascii="仿宋" w:hAnsi="仿宋" w:eastAsia="仿宋" w:cs="仿宋"/>
          <w:b/>
          <w:color w:val="auto"/>
          <w:sz w:val="28"/>
          <w:szCs w:val="28"/>
        </w:rPr>
        <w:t>九、合同纠纷处理：</w:t>
      </w:r>
      <w:r>
        <w:rPr>
          <w:rFonts w:hint="eastAsia" w:ascii="仿宋" w:hAnsi="仿宋" w:eastAsia="仿宋" w:cs="仿宋"/>
          <w:color w:val="auto"/>
          <w:sz w:val="28"/>
          <w:szCs w:val="28"/>
        </w:rPr>
        <w:t xml:space="preserve">本合同执行过程中发生纠纷，作如下 </w:t>
      </w:r>
      <w:r>
        <w:rPr>
          <w:rFonts w:hint="eastAsia" w:ascii="仿宋" w:hAnsi="仿宋" w:eastAsia="仿宋" w:cs="仿宋"/>
          <w:color w:val="auto"/>
          <w:sz w:val="28"/>
          <w:szCs w:val="28"/>
          <w:u w:val="single"/>
        </w:rPr>
        <w:t>3</w:t>
      </w:r>
      <w:r>
        <w:rPr>
          <w:rFonts w:hint="eastAsia" w:ascii="仿宋" w:hAnsi="仿宋" w:eastAsia="仿宋" w:cs="仿宋"/>
          <w:color w:val="auto"/>
          <w:sz w:val="28"/>
          <w:szCs w:val="28"/>
        </w:rPr>
        <w:t>处理：</w:t>
      </w:r>
    </w:p>
    <w:p w14:paraId="371CFBC1">
      <w:pPr>
        <w:keepNext w:val="0"/>
        <w:keepLines w:val="0"/>
        <w:pageBreakBefore w:val="0"/>
        <w:widowControl w:val="0"/>
        <w:tabs>
          <w:tab w:val="left" w:pos="1980"/>
        </w:tabs>
        <w:kinsoku/>
        <w:wordWrap/>
        <w:overflowPunct/>
        <w:topLinePunct w:val="0"/>
        <w:autoSpaceDE/>
        <w:autoSpaceDN/>
        <w:bidi w:val="0"/>
        <w:snapToGrid w:val="0"/>
        <w:spacing w:line="520" w:lineRule="exact"/>
        <w:ind w:firstLine="548" w:firstLineChars="196"/>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1、由甲乙双方协商处理。</w:t>
      </w:r>
    </w:p>
    <w:p w14:paraId="3AE1AB1F">
      <w:pPr>
        <w:keepNext w:val="0"/>
        <w:keepLines w:val="0"/>
        <w:pageBreakBefore w:val="0"/>
        <w:widowControl w:val="0"/>
        <w:tabs>
          <w:tab w:val="left" w:pos="1980"/>
        </w:tabs>
        <w:kinsoku/>
        <w:wordWrap/>
        <w:overflowPunct/>
        <w:topLinePunct w:val="0"/>
        <w:autoSpaceDE/>
        <w:autoSpaceDN/>
        <w:bidi w:val="0"/>
        <w:snapToGrid w:val="0"/>
        <w:spacing w:line="520" w:lineRule="exact"/>
        <w:ind w:firstLine="548" w:firstLineChars="196"/>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2、申请仲裁。仲裁机构为海南省仲裁委员会。</w:t>
      </w:r>
    </w:p>
    <w:p w14:paraId="138E0FBA">
      <w:pPr>
        <w:keepNext w:val="0"/>
        <w:keepLines w:val="0"/>
        <w:pageBreakBefore w:val="0"/>
        <w:widowControl w:val="0"/>
        <w:tabs>
          <w:tab w:val="left" w:pos="1980"/>
        </w:tabs>
        <w:kinsoku/>
        <w:wordWrap/>
        <w:overflowPunct/>
        <w:topLinePunct w:val="0"/>
        <w:autoSpaceDE/>
        <w:autoSpaceDN/>
        <w:bidi w:val="0"/>
        <w:snapToGrid w:val="0"/>
        <w:spacing w:line="520" w:lineRule="exact"/>
        <w:ind w:firstLine="548" w:firstLineChars="196"/>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3、提起诉讼。</w:t>
      </w:r>
      <w:bookmarkStart w:id="8" w:name="_Hlk115333511"/>
      <w:r>
        <w:rPr>
          <w:rFonts w:hint="eastAsia" w:ascii="仿宋_GB2312" w:hAnsi="仿宋" w:eastAsia="仿宋_GB2312"/>
          <w:color w:val="auto"/>
          <w:sz w:val="28"/>
          <w:szCs w:val="28"/>
        </w:rPr>
        <w:t>应由</w:t>
      </w:r>
      <w:r>
        <w:rPr>
          <w:rFonts w:hint="eastAsia" w:ascii="仿宋_GB2312" w:hAnsi="仿宋" w:eastAsia="仿宋_GB2312"/>
          <w:color w:val="auto"/>
          <w:sz w:val="28"/>
          <w:szCs w:val="28"/>
          <w:lang w:val="en-US" w:eastAsia="zh-CN"/>
        </w:rPr>
        <w:t>甲方</w:t>
      </w:r>
      <w:r>
        <w:rPr>
          <w:rFonts w:hint="eastAsia" w:ascii="仿宋_GB2312" w:hAnsi="仿宋" w:eastAsia="仿宋_GB2312"/>
          <w:color w:val="auto"/>
          <w:sz w:val="28"/>
          <w:szCs w:val="28"/>
        </w:rPr>
        <w:t>所在地人民法院管辖。</w:t>
      </w:r>
      <w:bookmarkEnd w:id="8"/>
    </w:p>
    <w:p w14:paraId="4A48A368">
      <w:pPr>
        <w:keepNext w:val="0"/>
        <w:keepLines w:val="0"/>
        <w:pageBreakBefore w:val="0"/>
        <w:widowControl w:val="0"/>
        <w:kinsoku/>
        <w:wordWrap/>
        <w:overflowPunct/>
        <w:topLinePunct w:val="0"/>
        <w:autoSpaceDE/>
        <w:autoSpaceDN/>
        <w:bidi w:val="0"/>
        <w:snapToGrid w:val="0"/>
        <w:spacing w:line="520" w:lineRule="exact"/>
        <w:ind w:left="555"/>
        <w:textAlignment w:val="auto"/>
        <w:rPr>
          <w:rFonts w:hint="eastAsia" w:ascii="仿宋" w:hAnsi="仿宋" w:eastAsia="仿宋" w:cs="仿宋"/>
          <w:color w:val="auto"/>
          <w:sz w:val="28"/>
          <w:szCs w:val="28"/>
        </w:rPr>
      </w:pPr>
      <w:r>
        <w:rPr>
          <w:rFonts w:hint="eastAsia" w:ascii="仿宋" w:hAnsi="仿宋" w:eastAsia="仿宋" w:cs="仿宋"/>
          <w:b/>
          <w:color w:val="auto"/>
          <w:sz w:val="28"/>
          <w:szCs w:val="28"/>
        </w:rPr>
        <w:t>十、合同生效：</w:t>
      </w:r>
      <w:r>
        <w:rPr>
          <w:rFonts w:hint="eastAsia" w:ascii="仿宋" w:hAnsi="仿宋" w:eastAsia="仿宋" w:cs="仿宋"/>
          <w:color w:val="auto"/>
          <w:sz w:val="28"/>
          <w:szCs w:val="28"/>
        </w:rPr>
        <w:t>本合同由甲乙双方</w:t>
      </w:r>
      <w:r>
        <w:rPr>
          <w:rFonts w:hint="eastAsia" w:ascii="仿宋" w:hAnsi="仿宋" w:eastAsia="仿宋" w:cs="仿宋"/>
          <w:color w:val="auto"/>
          <w:sz w:val="28"/>
          <w:szCs w:val="28"/>
          <w:lang w:val="en-US" w:eastAsia="zh-CN"/>
        </w:rPr>
        <w:t>法定或授权代表人</w:t>
      </w:r>
      <w:r>
        <w:rPr>
          <w:rFonts w:hint="eastAsia" w:ascii="仿宋" w:hAnsi="仿宋" w:eastAsia="仿宋" w:cs="仿宋"/>
          <w:color w:val="auto"/>
          <w:sz w:val="28"/>
          <w:szCs w:val="28"/>
        </w:rPr>
        <w:t>签字</w:t>
      </w:r>
      <w:r>
        <w:rPr>
          <w:rFonts w:hint="eastAsia" w:ascii="仿宋" w:hAnsi="仿宋" w:eastAsia="仿宋" w:cs="仿宋"/>
          <w:color w:val="auto"/>
          <w:sz w:val="28"/>
          <w:szCs w:val="28"/>
          <w:lang w:val="en-US" w:eastAsia="zh-CN"/>
        </w:rPr>
        <w:t>并加</w:t>
      </w:r>
      <w:r>
        <w:rPr>
          <w:rFonts w:hint="eastAsia" w:ascii="仿宋" w:hAnsi="仿宋" w:eastAsia="仿宋" w:cs="仿宋"/>
          <w:color w:val="auto"/>
          <w:sz w:val="28"/>
          <w:szCs w:val="28"/>
        </w:rPr>
        <w:t>盖</w:t>
      </w:r>
      <w:r>
        <w:rPr>
          <w:rFonts w:hint="eastAsia" w:ascii="仿宋" w:hAnsi="仿宋" w:eastAsia="仿宋" w:cs="仿宋"/>
          <w:color w:val="auto"/>
          <w:sz w:val="28"/>
          <w:szCs w:val="28"/>
          <w:lang w:eastAsia="zh-CN"/>
        </w:rPr>
        <w:t>公</w:t>
      </w:r>
      <w:r>
        <w:rPr>
          <w:rFonts w:hint="eastAsia" w:ascii="仿宋" w:hAnsi="仿宋" w:eastAsia="仿宋" w:cs="仿宋"/>
          <w:color w:val="auto"/>
          <w:sz w:val="28"/>
          <w:szCs w:val="28"/>
        </w:rPr>
        <w:t>章后生效。</w:t>
      </w:r>
    </w:p>
    <w:p w14:paraId="7EC4E2F1">
      <w:pPr>
        <w:keepNext w:val="0"/>
        <w:keepLines w:val="0"/>
        <w:pageBreakBefore w:val="0"/>
        <w:widowControl w:val="0"/>
        <w:kinsoku/>
        <w:wordWrap/>
        <w:overflowPunct/>
        <w:topLinePunct w:val="0"/>
        <w:autoSpaceDE/>
        <w:autoSpaceDN/>
        <w:bidi w:val="0"/>
        <w:snapToGrid w:val="0"/>
        <w:spacing w:line="520" w:lineRule="exact"/>
        <w:ind w:firstLine="562" w:firstLineChars="200"/>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十一、合同鉴证</w:t>
      </w:r>
      <w:r>
        <w:rPr>
          <w:rFonts w:hint="eastAsia" w:ascii="仿宋" w:hAnsi="仿宋" w:eastAsia="仿宋" w:cs="仿宋"/>
          <w:b/>
          <w:bCs/>
          <w:color w:val="auto"/>
          <w:sz w:val="28"/>
          <w:szCs w:val="28"/>
        </w:rPr>
        <w:t>：</w:t>
      </w:r>
      <w:r>
        <w:rPr>
          <w:rFonts w:hint="eastAsia" w:ascii="仿宋" w:hAnsi="仿宋" w:eastAsia="仿宋" w:cs="仿宋"/>
          <w:color w:val="auto"/>
          <w:sz w:val="28"/>
          <w:szCs w:val="28"/>
        </w:rPr>
        <w:t>招标机构应当在本合同上签章，以证明本合同条款与招标文件、投标文件的相关要求相符并且未对采购货物和技术参数进行实质性修改。</w:t>
      </w:r>
    </w:p>
    <w:p w14:paraId="407A1149">
      <w:pPr>
        <w:keepNext w:val="0"/>
        <w:keepLines w:val="0"/>
        <w:pageBreakBefore w:val="0"/>
        <w:widowControl w:val="0"/>
        <w:kinsoku/>
        <w:wordWrap/>
        <w:overflowPunct/>
        <w:topLinePunct w:val="0"/>
        <w:autoSpaceDE/>
        <w:autoSpaceDN/>
        <w:bidi w:val="0"/>
        <w:snapToGrid w:val="0"/>
        <w:spacing w:line="520" w:lineRule="exact"/>
        <w:ind w:firstLine="562"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rPr>
        <w:t>十二、组成本合同的文件包括：</w:t>
      </w:r>
    </w:p>
    <w:p w14:paraId="3B0E8DA6">
      <w:pPr>
        <w:keepNext w:val="0"/>
        <w:keepLines w:val="0"/>
        <w:pageBreakBefore w:val="0"/>
        <w:widowControl w:val="0"/>
        <w:kinsoku/>
        <w:wordWrap/>
        <w:overflowPunct/>
        <w:topLinePunct w:val="0"/>
        <w:autoSpaceDE/>
        <w:autoSpaceDN/>
        <w:bidi w:val="0"/>
        <w:adjustRightInd w:val="0"/>
        <w:snapToGrid w:val="0"/>
        <w:spacing w:line="520" w:lineRule="exact"/>
        <w:ind w:firstLine="555"/>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w:t>
      </w:r>
      <w:r>
        <w:rPr>
          <w:rFonts w:hint="eastAsia" w:ascii="仿宋" w:hAnsi="仿宋" w:eastAsia="仿宋" w:cs="仿宋"/>
          <w:bCs/>
          <w:color w:val="auto"/>
          <w:sz w:val="28"/>
          <w:szCs w:val="28"/>
          <w:lang w:val="en-US" w:eastAsia="zh-CN"/>
        </w:rPr>
        <w:t>一</w:t>
      </w:r>
      <w:r>
        <w:rPr>
          <w:rFonts w:hint="eastAsia" w:ascii="仿宋" w:hAnsi="仿宋" w:eastAsia="仿宋" w:cs="仿宋"/>
          <w:bCs/>
          <w:color w:val="auto"/>
          <w:sz w:val="28"/>
          <w:szCs w:val="28"/>
        </w:rPr>
        <w:t>）设备技术参数</w:t>
      </w:r>
    </w:p>
    <w:p w14:paraId="40AB1E07">
      <w:pPr>
        <w:keepNext w:val="0"/>
        <w:keepLines w:val="0"/>
        <w:pageBreakBefore w:val="0"/>
        <w:widowControl w:val="0"/>
        <w:kinsoku/>
        <w:wordWrap/>
        <w:overflowPunct/>
        <w:topLinePunct w:val="0"/>
        <w:autoSpaceDE/>
        <w:autoSpaceDN/>
        <w:bidi w:val="0"/>
        <w:adjustRightInd w:val="0"/>
        <w:snapToGrid w:val="0"/>
        <w:spacing w:line="520" w:lineRule="exact"/>
        <w:ind w:firstLine="555"/>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w:t>
      </w:r>
      <w:r>
        <w:rPr>
          <w:rFonts w:hint="eastAsia" w:ascii="仿宋" w:hAnsi="仿宋" w:eastAsia="仿宋" w:cs="仿宋"/>
          <w:bCs/>
          <w:color w:val="auto"/>
          <w:sz w:val="28"/>
          <w:szCs w:val="28"/>
          <w:lang w:val="en-US" w:eastAsia="zh-CN"/>
        </w:rPr>
        <w:t>二</w:t>
      </w:r>
      <w:r>
        <w:rPr>
          <w:rFonts w:hint="eastAsia" w:ascii="仿宋" w:hAnsi="仿宋" w:eastAsia="仿宋" w:cs="仿宋"/>
          <w:bCs/>
          <w:color w:val="auto"/>
          <w:sz w:val="28"/>
          <w:szCs w:val="28"/>
        </w:rPr>
        <w:t>）招标文件、投标文件及中标通知书</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双方签署的补充协议</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售后服务承诺函、产品授权书、产品注册证、</w:t>
      </w:r>
      <w:r>
        <w:rPr>
          <w:rFonts w:hint="eastAsia" w:ascii="仿宋" w:hAnsi="仿宋" w:eastAsia="仿宋" w:cs="仿宋"/>
          <w:color w:val="auto"/>
          <w:sz w:val="28"/>
          <w:szCs w:val="28"/>
        </w:rPr>
        <w:t>公司资质证明</w:t>
      </w:r>
      <w:r>
        <w:rPr>
          <w:rFonts w:hint="eastAsia" w:ascii="仿宋" w:hAnsi="仿宋" w:eastAsia="仿宋" w:cs="仿宋"/>
          <w:bCs/>
          <w:color w:val="auto"/>
          <w:sz w:val="28"/>
          <w:szCs w:val="28"/>
        </w:rPr>
        <w:t>（包含生产厂家、代理、中标公司资质）等甲乙双方商定的其他必要文件；(详见附件）</w:t>
      </w:r>
    </w:p>
    <w:p w14:paraId="178D2B40">
      <w:pPr>
        <w:keepNext w:val="0"/>
        <w:keepLines w:val="0"/>
        <w:pageBreakBefore w:val="0"/>
        <w:widowControl w:val="0"/>
        <w:kinsoku/>
        <w:wordWrap/>
        <w:overflowPunct/>
        <w:topLinePunct w:val="0"/>
        <w:autoSpaceDE/>
        <w:autoSpaceDN/>
        <w:bidi w:val="0"/>
        <w:snapToGrid w:val="0"/>
        <w:spacing w:line="52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上述合同文件内容互为补充，如有不明确，由甲方拥有最终的解释权。</w:t>
      </w:r>
    </w:p>
    <w:p w14:paraId="316B0CCF">
      <w:pPr>
        <w:keepNext w:val="0"/>
        <w:keepLines w:val="0"/>
        <w:pageBreakBefore w:val="0"/>
        <w:widowControl w:val="0"/>
        <w:kinsoku/>
        <w:wordWrap/>
        <w:overflowPunct/>
        <w:topLinePunct w:val="0"/>
        <w:autoSpaceDE/>
        <w:autoSpaceDN/>
        <w:bidi w:val="0"/>
        <w:snapToGrid w:val="0"/>
        <w:spacing w:line="520" w:lineRule="exact"/>
        <w:ind w:firstLine="555"/>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十三、合同备案</w:t>
      </w:r>
    </w:p>
    <w:p w14:paraId="05EBB552">
      <w:pPr>
        <w:snapToGrid w:val="0"/>
        <w:ind w:firstLine="560" w:firstLineChars="200"/>
        <w:rPr>
          <w:rFonts w:hint="eastAsia"/>
          <w:color w:val="auto"/>
        </w:rPr>
      </w:pPr>
      <w:r>
        <w:rPr>
          <w:rFonts w:hint="eastAsia" w:ascii="仿宋" w:hAnsi="仿宋" w:eastAsia="仿宋" w:cs="仿宋"/>
          <w:bCs/>
          <w:color w:val="auto"/>
          <w:sz w:val="28"/>
          <w:szCs w:val="28"/>
        </w:rPr>
        <w:t>本合同一式</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肆</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份，中文书写。甲方执</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叁</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份、乙方</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壹</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份</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各份具有同等法律效力</w:t>
      </w:r>
      <w:r>
        <w:rPr>
          <w:rFonts w:hint="eastAsia" w:ascii="仿宋" w:hAnsi="仿宋" w:eastAsia="仿宋" w:cs="仿宋"/>
          <w:bCs/>
          <w:color w:val="auto"/>
          <w:sz w:val="28"/>
          <w:szCs w:val="28"/>
          <w:lang w:eastAsia="zh-CN"/>
        </w:rPr>
        <w:t>。</w:t>
      </w:r>
    </w:p>
    <w:p w14:paraId="0CBC4CB4">
      <w:pPr>
        <w:keepNext w:val="0"/>
        <w:keepLines w:val="0"/>
        <w:pageBreakBefore w:val="0"/>
        <w:widowControl w:val="0"/>
        <w:kinsoku/>
        <w:wordWrap/>
        <w:overflowPunct/>
        <w:topLinePunct w:val="0"/>
        <w:autoSpaceDE/>
        <w:autoSpaceDN/>
        <w:bidi w:val="0"/>
        <w:snapToGrid w:val="0"/>
        <w:spacing w:line="520" w:lineRule="exact"/>
        <w:ind w:left="6606" w:hanging="6606" w:hangingChars="2350"/>
        <w:textAlignment w:val="auto"/>
        <w:rPr>
          <w:rFonts w:hint="default" w:ascii="仿宋" w:hAnsi="仿宋" w:eastAsia="仿宋" w:cs="仿宋"/>
          <w:b/>
          <w:color w:val="auto"/>
          <w:sz w:val="28"/>
          <w:szCs w:val="28"/>
          <w:u w:val="single"/>
          <w:lang w:val="en-US" w:eastAsia="zh-CN"/>
        </w:rPr>
      </w:pPr>
      <w:r>
        <w:rPr>
          <w:rFonts w:hint="eastAsia" w:ascii="仿宋" w:hAnsi="仿宋" w:eastAsia="仿宋" w:cs="仿宋"/>
          <w:b/>
          <w:color w:val="auto"/>
          <w:sz w:val="28"/>
          <w:szCs w:val="28"/>
        </w:rPr>
        <w:t>甲方：</w:t>
      </w:r>
      <w:r>
        <w:rPr>
          <w:rFonts w:hint="eastAsia" w:ascii="仿宋" w:hAnsi="仿宋" w:eastAsia="仿宋" w:cs="仿宋"/>
          <w:b/>
          <w:color w:val="auto"/>
          <w:sz w:val="28"/>
          <w:szCs w:val="28"/>
          <w:u w:val="single"/>
          <w:lang w:val="en-US" w:eastAsia="zh-CN"/>
        </w:rPr>
        <w:t xml:space="preserve"> 三亚市第二人民医院   </w:t>
      </w:r>
      <w:r>
        <w:rPr>
          <w:rFonts w:hint="eastAsia" w:ascii="仿宋" w:hAnsi="仿宋" w:eastAsia="仿宋" w:cs="仿宋"/>
          <w:b/>
          <w:color w:val="auto"/>
          <w:sz w:val="28"/>
          <w:szCs w:val="28"/>
          <w:u w:val="none"/>
          <w:lang w:val="en-US" w:eastAsia="zh-CN"/>
        </w:rPr>
        <w:t xml:space="preserve">             </w:t>
      </w:r>
      <w:r>
        <w:rPr>
          <w:rFonts w:hint="eastAsia" w:ascii="仿宋" w:hAnsi="仿宋" w:eastAsia="仿宋" w:cs="仿宋"/>
          <w:b/>
          <w:color w:val="auto"/>
          <w:sz w:val="28"/>
          <w:szCs w:val="28"/>
        </w:rPr>
        <w:t>乙方</w:t>
      </w: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u w:val="single"/>
          <w:lang w:val="en-US" w:eastAsia="zh-CN"/>
        </w:rPr>
        <w:t xml:space="preserve">                    </w:t>
      </w:r>
    </w:p>
    <w:p w14:paraId="24F31AA3">
      <w:pPr>
        <w:keepNext w:val="0"/>
        <w:keepLines w:val="0"/>
        <w:pageBreakBefore w:val="0"/>
        <w:widowControl w:val="0"/>
        <w:kinsoku/>
        <w:wordWrap/>
        <w:overflowPunct/>
        <w:topLinePunct w:val="0"/>
        <w:autoSpaceDE/>
        <w:autoSpaceDN/>
        <w:bidi w:val="0"/>
        <w:snapToGrid w:val="0"/>
        <w:spacing w:line="520" w:lineRule="exact"/>
        <w:ind w:left="5600" w:hanging="5600" w:hangingChars="2000"/>
        <w:textAlignment w:val="auto"/>
        <w:rPr>
          <w:rFonts w:hint="eastAsia" w:ascii="仿宋" w:hAnsi="仿宋" w:eastAsia="仿宋" w:cs="仿宋"/>
          <w:color w:val="auto"/>
          <w:sz w:val="28"/>
          <w:szCs w:val="28"/>
          <w:u w:val="single"/>
        </w:rPr>
      </w:pPr>
    </w:p>
    <w:p w14:paraId="133CF9D6">
      <w:pPr>
        <w:keepNext w:val="0"/>
        <w:keepLines w:val="0"/>
        <w:pageBreakBefore w:val="0"/>
        <w:widowControl w:val="0"/>
        <w:kinsoku/>
        <w:wordWrap/>
        <w:overflowPunct/>
        <w:topLinePunct w:val="0"/>
        <w:autoSpaceDE/>
        <w:autoSpaceDN/>
        <w:bidi w:val="0"/>
        <w:snapToGrid w:val="0"/>
        <w:spacing w:line="520" w:lineRule="exact"/>
        <w:textAlignment w:val="auto"/>
        <w:rPr>
          <w:rFonts w:hint="eastAsia" w:ascii="仿宋" w:hAnsi="仿宋" w:eastAsia="仿宋" w:cs="仿宋"/>
          <w:color w:val="auto"/>
          <w:sz w:val="28"/>
          <w:szCs w:val="28"/>
          <w:u w:val="single"/>
        </w:rPr>
      </w:pPr>
      <w:r>
        <w:rPr>
          <w:rFonts w:hint="eastAsia" w:ascii="仿宋" w:hAnsi="仿宋" w:eastAsia="仿宋" w:cs="仿宋"/>
          <w:bCs/>
          <w:color w:val="auto"/>
          <w:kern w:val="0"/>
          <w:sz w:val="28"/>
          <w:szCs w:val="28"/>
        </w:rPr>
        <w:t>法定代表人：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r>
        <w:rPr>
          <w:rFonts w:hint="eastAsia" w:ascii="仿宋" w:hAnsi="仿宋" w:eastAsia="仿宋" w:cs="仿宋"/>
          <w:bCs/>
          <w:color w:val="auto"/>
          <w:kern w:val="0"/>
          <w:sz w:val="28"/>
          <w:szCs w:val="28"/>
        </w:rPr>
        <w:t>法定代表人：</w:t>
      </w:r>
      <w:r>
        <w:rPr>
          <w:rFonts w:hint="eastAsia" w:ascii="仿宋" w:hAnsi="仿宋" w:eastAsia="仿宋" w:cs="仿宋"/>
          <w:color w:val="auto"/>
          <w:sz w:val="28"/>
          <w:szCs w:val="28"/>
          <w:u w:val="single"/>
        </w:rPr>
        <w:t xml:space="preserve">           </w:t>
      </w:r>
    </w:p>
    <w:p w14:paraId="4F7BAB0C">
      <w:pPr>
        <w:keepNext w:val="0"/>
        <w:keepLines w:val="0"/>
        <w:pageBreakBefore w:val="0"/>
        <w:widowControl w:val="0"/>
        <w:kinsoku/>
        <w:wordWrap/>
        <w:overflowPunct/>
        <w:topLinePunct w:val="0"/>
        <w:autoSpaceDE/>
        <w:autoSpaceDN/>
        <w:bidi w:val="0"/>
        <w:snapToGrid w:val="0"/>
        <w:spacing w:line="520" w:lineRule="exact"/>
        <w:textAlignment w:val="auto"/>
        <w:rPr>
          <w:rFonts w:hint="eastAsia" w:ascii="仿宋" w:hAnsi="仿宋" w:eastAsia="仿宋" w:cs="仿宋"/>
          <w:color w:val="auto"/>
          <w:sz w:val="28"/>
          <w:szCs w:val="28"/>
          <w:u w:val="single"/>
        </w:rPr>
      </w:pPr>
    </w:p>
    <w:p w14:paraId="43DD598F">
      <w:pPr>
        <w:keepNext w:val="0"/>
        <w:keepLines w:val="0"/>
        <w:pageBreakBefore w:val="0"/>
        <w:widowControl w:val="0"/>
        <w:kinsoku/>
        <w:wordWrap/>
        <w:overflowPunct/>
        <w:topLinePunct w:val="0"/>
        <w:autoSpaceDE/>
        <w:autoSpaceDN/>
        <w:bidi w:val="0"/>
        <w:snapToGrid w:val="0"/>
        <w:spacing w:line="520" w:lineRule="exact"/>
        <w:textAlignment w:val="auto"/>
        <w:rPr>
          <w:rFonts w:hint="eastAsia" w:ascii="仿宋" w:hAnsi="仿宋" w:eastAsia="仿宋" w:cs="仿宋"/>
          <w:color w:val="auto"/>
          <w:sz w:val="28"/>
          <w:szCs w:val="28"/>
          <w:u w:val="single"/>
        </w:rPr>
      </w:pPr>
      <w:r>
        <w:rPr>
          <w:rFonts w:hint="eastAsia" w:ascii="仿宋" w:hAnsi="仿宋" w:eastAsia="仿宋" w:cs="仿宋"/>
          <w:color w:val="auto"/>
          <w:sz w:val="28"/>
          <w:szCs w:val="28"/>
        </w:rPr>
        <w:t>签约代表：</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签约代表：</w:t>
      </w:r>
      <w:r>
        <w:rPr>
          <w:rFonts w:hint="eastAsia" w:ascii="仿宋" w:hAnsi="仿宋" w:eastAsia="仿宋" w:cs="仿宋"/>
          <w:color w:val="auto"/>
          <w:sz w:val="28"/>
          <w:szCs w:val="28"/>
          <w:u w:val="single"/>
        </w:rPr>
        <w:t xml:space="preserve">             </w:t>
      </w:r>
    </w:p>
    <w:p w14:paraId="4EE4F7D1">
      <w:pPr>
        <w:keepNext w:val="0"/>
        <w:keepLines w:val="0"/>
        <w:pageBreakBefore w:val="0"/>
        <w:widowControl w:val="0"/>
        <w:kinsoku/>
        <w:wordWrap/>
        <w:overflowPunct/>
        <w:topLinePunct w:val="0"/>
        <w:autoSpaceDE/>
        <w:autoSpaceDN/>
        <w:bidi w:val="0"/>
        <w:snapToGrid/>
        <w:spacing w:line="520" w:lineRule="exact"/>
        <w:jc w:val="left"/>
        <w:rPr>
          <w:rFonts w:hint="eastAsia" w:ascii="仿宋" w:hAnsi="仿宋" w:eastAsia="仿宋" w:cs="仿宋"/>
          <w:color w:val="auto"/>
          <w:sz w:val="28"/>
          <w:szCs w:val="28"/>
        </w:rPr>
      </w:pPr>
      <w:r>
        <w:rPr>
          <w:rFonts w:hint="eastAsia" w:ascii="仿宋" w:hAnsi="仿宋" w:eastAsia="仿宋" w:cs="仿宋"/>
          <w:color w:val="auto"/>
          <w:sz w:val="28"/>
          <w:szCs w:val="28"/>
        </w:rPr>
        <w:t>年   月    日                            年   月   日</w:t>
      </w:r>
    </w:p>
    <w:p w14:paraId="4B0CEEA2">
      <w:pPr>
        <w:keepNext w:val="0"/>
        <w:keepLines w:val="0"/>
        <w:pageBreakBefore w:val="0"/>
        <w:widowControl w:val="0"/>
        <w:kinsoku/>
        <w:wordWrap/>
        <w:overflowPunct/>
        <w:topLinePunct w:val="0"/>
        <w:autoSpaceDE/>
        <w:autoSpaceDN/>
        <w:bidi w:val="0"/>
        <w:jc w:val="center"/>
        <w:rPr>
          <w:rFonts w:hint="eastAsia" w:ascii="仿宋" w:hAnsi="仿宋" w:eastAsia="仿宋" w:cs="仿宋"/>
          <w:color w:val="auto"/>
          <w:lang w:eastAsia="zh-CN"/>
        </w:rPr>
      </w:pPr>
      <w:r>
        <w:rPr>
          <w:rFonts w:hint="eastAsia" w:ascii="仿宋" w:hAnsi="仿宋" w:eastAsia="仿宋" w:cs="仿宋"/>
          <w:color w:val="auto"/>
          <w:sz w:val="28"/>
          <w:szCs w:val="28"/>
        </w:rPr>
        <w:br w:type="page"/>
      </w:r>
      <w:r>
        <w:rPr>
          <w:rFonts w:hint="eastAsia" w:ascii="仿宋" w:hAnsi="仿宋" w:eastAsia="仿宋" w:cs="仿宋"/>
          <w:b/>
          <w:bCs/>
          <w:color w:val="auto"/>
          <w:sz w:val="28"/>
          <w:szCs w:val="28"/>
        </w:rPr>
        <w:t>附件（</w:t>
      </w:r>
      <w:r>
        <w:rPr>
          <w:rFonts w:hint="eastAsia" w:ascii="仿宋" w:hAnsi="仿宋" w:eastAsia="仿宋" w:cs="仿宋"/>
          <w:b/>
          <w:bCs/>
          <w:color w:val="auto"/>
          <w:sz w:val="28"/>
          <w:szCs w:val="28"/>
          <w:lang w:val="en-US" w:eastAsia="zh-CN"/>
        </w:rPr>
        <w:t>一</w:t>
      </w:r>
      <w:r>
        <w:rPr>
          <w:rFonts w:hint="eastAsia" w:ascii="仿宋" w:hAnsi="仿宋" w:eastAsia="仿宋" w:cs="仿宋"/>
          <w:b/>
          <w:bCs/>
          <w:color w:val="auto"/>
          <w:sz w:val="28"/>
          <w:szCs w:val="28"/>
        </w:rPr>
        <w:t>）设备技术</w:t>
      </w:r>
      <w:r>
        <w:rPr>
          <w:rFonts w:hint="eastAsia" w:ascii="仿宋" w:hAnsi="仿宋" w:eastAsia="仿宋" w:cs="仿宋"/>
          <w:b/>
          <w:bCs/>
          <w:color w:val="auto"/>
          <w:sz w:val="28"/>
          <w:szCs w:val="28"/>
          <w:lang w:val="en-US" w:eastAsia="zh-CN"/>
        </w:rPr>
        <w:t>参数</w:t>
      </w:r>
    </w:p>
    <w:tbl>
      <w:tblPr>
        <w:tblStyle w:val="8"/>
        <w:tblW w:w="513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85"/>
        <w:gridCol w:w="1120"/>
        <w:gridCol w:w="7011"/>
      </w:tblGrid>
      <w:tr w14:paraId="4977B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440"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CBC469">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序号</w:t>
            </w:r>
          </w:p>
        </w:tc>
        <w:tc>
          <w:tcPr>
            <w:tcW w:w="627"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7B6484">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设备名称</w:t>
            </w:r>
          </w:p>
        </w:tc>
        <w:tc>
          <w:tcPr>
            <w:tcW w:w="3932"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B9F1DE">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技术参数规格</w:t>
            </w:r>
          </w:p>
        </w:tc>
      </w:tr>
      <w:tr w14:paraId="15777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04EFAE">
            <w:pPr>
              <w:keepNext w:val="0"/>
              <w:keepLines w:val="0"/>
              <w:pageBreakBefore w:val="0"/>
              <w:widowControl w:val="0"/>
              <w:kinsoku/>
              <w:wordWrap/>
              <w:overflowPunct/>
              <w:topLinePunct w:val="0"/>
              <w:autoSpaceDE/>
              <w:autoSpaceDN/>
              <w:bidi w:val="0"/>
              <w:adjustRightInd/>
              <w:snapToGrid/>
              <w:jc w:val="center"/>
              <w:rPr>
                <w:rFonts w:hint="eastAsia" w:ascii="仿宋" w:hAnsi="仿宋" w:eastAsia="仿宋" w:cs="仿宋"/>
                <w:b/>
                <w:bCs/>
                <w:i w:val="0"/>
                <w:iCs w:val="0"/>
                <w:color w:val="000000"/>
                <w:sz w:val="24"/>
                <w:szCs w:val="24"/>
                <w:u w:val="none"/>
              </w:rPr>
            </w:pPr>
          </w:p>
        </w:tc>
        <w:tc>
          <w:tcPr>
            <w:tcW w:w="627"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BF32A2">
            <w:pPr>
              <w:keepNext w:val="0"/>
              <w:keepLines w:val="0"/>
              <w:pageBreakBefore w:val="0"/>
              <w:widowControl w:val="0"/>
              <w:kinsoku/>
              <w:wordWrap/>
              <w:overflowPunct/>
              <w:topLinePunct w:val="0"/>
              <w:autoSpaceDE/>
              <w:autoSpaceDN/>
              <w:bidi w:val="0"/>
              <w:adjustRightInd/>
              <w:snapToGrid/>
              <w:jc w:val="center"/>
              <w:rPr>
                <w:rFonts w:hint="eastAsia" w:ascii="仿宋" w:hAnsi="仿宋" w:eastAsia="仿宋" w:cs="仿宋"/>
                <w:b/>
                <w:bCs/>
                <w:i w:val="0"/>
                <w:iCs w:val="0"/>
                <w:color w:val="000000"/>
                <w:sz w:val="24"/>
                <w:szCs w:val="24"/>
                <w:u w:val="none"/>
              </w:rPr>
            </w:pPr>
          </w:p>
        </w:tc>
        <w:tc>
          <w:tcPr>
            <w:tcW w:w="3932"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8C7B25">
            <w:pPr>
              <w:keepNext w:val="0"/>
              <w:keepLines w:val="0"/>
              <w:pageBreakBefore w:val="0"/>
              <w:widowControl w:val="0"/>
              <w:kinsoku/>
              <w:wordWrap/>
              <w:overflowPunct/>
              <w:topLinePunct w:val="0"/>
              <w:autoSpaceDE/>
              <w:autoSpaceDN/>
              <w:bidi w:val="0"/>
              <w:adjustRightInd/>
              <w:snapToGrid/>
              <w:jc w:val="center"/>
              <w:rPr>
                <w:rFonts w:hint="eastAsia" w:ascii="仿宋" w:hAnsi="仿宋" w:eastAsia="仿宋" w:cs="仿宋"/>
                <w:b/>
                <w:bCs/>
                <w:i w:val="0"/>
                <w:iCs w:val="0"/>
                <w:color w:val="000000"/>
                <w:sz w:val="24"/>
                <w:szCs w:val="24"/>
                <w:u w:val="none"/>
              </w:rPr>
            </w:pPr>
          </w:p>
        </w:tc>
      </w:tr>
      <w:tr w14:paraId="5E401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0" w:hRule="atLeast"/>
        </w:trPr>
        <w:tc>
          <w:tcPr>
            <w:tcW w:w="44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31FA78">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1</w:t>
            </w:r>
          </w:p>
        </w:tc>
        <w:tc>
          <w:tcPr>
            <w:tcW w:w="62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451EC6">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仿宋" w:hAnsi="仿宋" w:eastAsia="仿宋" w:cs="仿宋"/>
                <w:i w:val="0"/>
                <w:iCs w:val="0"/>
                <w:color w:val="000000"/>
                <w:sz w:val="24"/>
                <w:szCs w:val="24"/>
                <w:u w:val="none"/>
              </w:rPr>
            </w:pPr>
          </w:p>
        </w:tc>
        <w:tc>
          <w:tcPr>
            <w:tcW w:w="393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2FC9A2">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仿宋" w:hAnsi="仿宋" w:eastAsia="仿宋" w:cs="仿宋"/>
                <w:i w:val="0"/>
                <w:iCs w:val="0"/>
                <w:color w:val="000000"/>
                <w:sz w:val="24"/>
                <w:szCs w:val="24"/>
                <w:u w:val="none"/>
              </w:rPr>
            </w:pPr>
          </w:p>
        </w:tc>
      </w:tr>
    </w:tbl>
    <w:p w14:paraId="3FD97F8A">
      <w:pPr>
        <w:keepNext w:val="0"/>
        <w:keepLines w:val="0"/>
        <w:pageBreakBefore w:val="0"/>
        <w:widowControl w:val="0"/>
        <w:kinsoku/>
        <w:wordWrap/>
        <w:overflowPunct/>
        <w:topLinePunct w:val="0"/>
        <w:autoSpaceDE/>
        <w:autoSpaceDN/>
        <w:bidi w:val="0"/>
        <w:jc w:val="left"/>
        <w:rPr>
          <w:rFonts w:hint="eastAsia" w:ascii="仿宋" w:hAnsi="仿宋" w:eastAsia="仿宋" w:cs="仿宋"/>
          <w:b/>
          <w:bCs/>
          <w:color w:val="auto"/>
          <w:sz w:val="28"/>
          <w:szCs w:val="28"/>
        </w:rPr>
      </w:pPr>
      <w:r>
        <w:rPr>
          <w:rFonts w:hint="eastAsia" w:ascii="仿宋" w:hAnsi="仿宋" w:eastAsia="仿宋" w:cs="仿宋"/>
          <w:b w:val="0"/>
          <w:bCs w:val="0"/>
          <w:color w:val="auto"/>
          <w:sz w:val="28"/>
          <w:szCs w:val="28"/>
        </w:rPr>
        <w:br w:type="page"/>
      </w:r>
      <w:r>
        <w:rPr>
          <w:rFonts w:hint="eastAsia" w:ascii="仿宋" w:hAnsi="仿宋" w:eastAsia="仿宋" w:cs="仿宋"/>
          <w:b/>
          <w:bCs/>
          <w:color w:val="auto"/>
          <w:sz w:val="28"/>
          <w:szCs w:val="28"/>
        </w:rPr>
        <w:t>附件（</w:t>
      </w:r>
      <w:r>
        <w:rPr>
          <w:rFonts w:hint="eastAsia" w:ascii="仿宋" w:hAnsi="仿宋" w:eastAsia="仿宋" w:cs="仿宋"/>
          <w:b/>
          <w:bCs/>
          <w:color w:val="auto"/>
          <w:sz w:val="28"/>
          <w:szCs w:val="28"/>
          <w:lang w:val="en-US" w:eastAsia="zh-CN"/>
        </w:rPr>
        <w:t>二</w:t>
      </w:r>
      <w:r>
        <w:rPr>
          <w:rFonts w:hint="eastAsia" w:ascii="仿宋" w:hAnsi="仿宋" w:eastAsia="仿宋" w:cs="仿宋"/>
          <w:b/>
          <w:bCs/>
          <w:color w:val="auto"/>
          <w:sz w:val="28"/>
          <w:szCs w:val="28"/>
        </w:rPr>
        <w:t>）招标文件、投标文件及中标通知书、双方签署的补充协议、售后服务承诺函、产品授权书、产品注册证、公司资质证明（包含生产厂家、代理、中标公司资质）等甲乙双方商定的其他必要文件。</w:t>
      </w:r>
    </w:p>
    <w:p w14:paraId="4D5C7E4F">
      <w:pPr>
        <w:keepNext w:val="0"/>
        <w:keepLines w:val="0"/>
        <w:pageBreakBefore w:val="0"/>
        <w:widowControl w:val="0"/>
        <w:kinsoku/>
        <w:wordWrap/>
        <w:overflowPunct/>
        <w:topLinePunct w:val="0"/>
        <w:autoSpaceDE/>
        <w:autoSpaceDN/>
        <w:bidi w:val="0"/>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br w:type="page"/>
      </w:r>
    </w:p>
    <w:p w14:paraId="16B78AD0">
      <w:pPr>
        <w:keepNext w:val="0"/>
        <w:keepLines w:val="0"/>
        <w:pageBreakBefore w:val="0"/>
        <w:widowControl w:val="0"/>
        <w:kinsoku/>
        <w:wordWrap/>
        <w:overflowPunct/>
        <w:topLinePunct w:val="0"/>
        <w:autoSpaceDE/>
        <w:autoSpaceDN/>
        <w:bidi w:val="0"/>
        <w:jc w:val="center"/>
        <w:rPr>
          <w:rFonts w:hint="eastAsia" w:ascii="仿宋" w:hAnsi="仿宋" w:eastAsia="仿宋" w:cs="仿宋"/>
          <w:b/>
          <w:color w:val="auto"/>
          <w:sz w:val="44"/>
          <w:szCs w:val="44"/>
        </w:rPr>
      </w:pPr>
      <w:r>
        <w:rPr>
          <w:rFonts w:hint="eastAsia" w:ascii="仿宋" w:hAnsi="仿宋" w:eastAsia="仿宋" w:cs="仿宋"/>
          <w:b/>
          <w:color w:val="auto"/>
          <w:sz w:val="44"/>
          <w:szCs w:val="44"/>
        </w:rPr>
        <w:t>医疗卫生机构医药产品廉洁购销合同</w:t>
      </w:r>
    </w:p>
    <w:p w14:paraId="5FC9A23E">
      <w:pPr>
        <w:keepNext w:val="0"/>
        <w:keepLines w:val="0"/>
        <w:pageBreakBefore w:val="0"/>
        <w:widowControl w:val="0"/>
        <w:kinsoku/>
        <w:wordWrap/>
        <w:overflowPunct/>
        <w:topLinePunct w:val="0"/>
        <w:autoSpaceDE/>
        <w:autoSpaceDN/>
        <w:bidi w:val="0"/>
        <w:jc w:val="left"/>
        <w:rPr>
          <w:rFonts w:hint="eastAsia" w:ascii="仿宋" w:hAnsi="仿宋" w:eastAsia="仿宋" w:cs="仿宋"/>
          <w:color w:val="auto"/>
          <w:sz w:val="28"/>
          <w:szCs w:val="28"/>
        </w:rPr>
      </w:pPr>
    </w:p>
    <w:p w14:paraId="2C2E345B">
      <w:pPr>
        <w:keepNext w:val="0"/>
        <w:keepLines w:val="0"/>
        <w:pageBreakBefore w:val="0"/>
        <w:widowControl w:val="0"/>
        <w:kinsoku/>
        <w:wordWrap/>
        <w:overflowPunct/>
        <w:topLinePunct w:val="0"/>
        <w:autoSpaceDE/>
        <w:autoSpaceDN/>
        <w:bidi w:val="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rPr>
        <w:t xml:space="preserve">甲方：   </w:t>
      </w:r>
      <w:r>
        <w:rPr>
          <w:rFonts w:hint="eastAsia" w:ascii="仿宋" w:hAnsi="仿宋" w:eastAsia="仿宋" w:cs="仿宋"/>
          <w:b/>
          <w:bCs/>
          <w:color w:val="auto"/>
          <w:sz w:val="28"/>
          <w:szCs w:val="28"/>
          <w:lang w:val="en-US" w:eastAsia="zh-CN"/>
        </w:rPr>
        <w:t xml:space="preserve"> </w:t>
      </w:r>
    </w:p>
    <w:p w14:paraId="1E9CF650">
      <w:pPr>
        <w:keepNext w:val="0"/>
        <w:keepLines w:val="0"/>
        <w:pageBreakBefore w:val="0"/>
        <w:widowControl w:val="0"/>
        <w:kinsoku/>
        <w:wordWrap/>
        <w:overflowPunct/>
        <w:topLinePunct w:val="0"/>
        <w:autoSpaceDE/>
        <w:autoSpaceDN/>
        <w:bidi w:val="0"/>
        <w:rPr>
          <w:rFonts w:hint="default" w:ascii="仿宋" w:hAnsi="仿宋" w:eastAsia="仿宋" w:cs="仿宋"/>
          <w:b/>
          <w:bCs/>
          <w:color w:val="auto"/>
          <w:sz w:val="28"/>
          <w:szCs w:val="28"/>
          <w:u w:val="none"/>
          <w:lang w:val="en-US" w:eastAsia="zh-CN"/>
        </w:rPr>
      </w:pPr>
      <w:r>
        <w:rPr>
          <w:rFonts w:hint="eastAsia" w:ascii="仿宋" w:hAnsi="仿宋" w:eastAsia="仿宋" w:cs="仿宋"/>
          <w:b/>
          <w:bCs/>
          <w:color w:val="auto"/>
          <w:sz w:val="28"/>
          <w:szCs w:val="28"/>
        </w:rPr>
        <w:t>乙方：</w:t>
      </w:r>
    </w:p>
    <w:p w14:paraId="0DB370EF">
      <w:pPr>
        <w:keepNext w:val="0"/>
        <w:keepLines w:val="0"/>
        <w:pageBreakBefore w:val="0"/>
        <w:widowControl w:val="0"/>
        <w:kinsoku/>
        <w:wordWrap/>
        <w:overflowPunct/>
        <w:topLinePunct w:val="0"/>
        <w:autoSpaceDE/>
        <w:autoSpaceDN/>
        <w:bidi w:val="0"/>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为进一步加强医疗卫生行风建设，规范医疗卫生机构医药购销行为，有效防范商业贿赂行为，营造公平交易、诚实守信的购销环境，经甲、乙双方协商，同意签订本合同，并共同遵守：</w:t>
      </w:r>
    </w:p>
    <w:p w14:paraId="277CEC41">
      <w:pPr>
        <w:keepNext w:val="0"/>
        <w:keepLines w:val="0"/>
        <w:pageBreakBefore w:val="0"/>
        <w:widowControl w:val="0"/>
        <w:kinsoku/>
        <w:wordWrap/>
        <w:overflowPunct/>
        <w:topLinePunct w:val="0"/>
        <w:autoSpaceDE/>
        <w:autoSpaceDN/>
        <w:bidi w:val="0"/>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一、甲乙双方按照《</w:t>
      </w:r>
      <w:r>
        <w:rPr>
          <w:rFonts w:hint="eastAsia" w:ascii="仿宋" w:hAnsi="仿宋" w:eastAsia="仿宋" w:cs="仿宋"/>
          <w:color w:val="auto"/>
          <w:sz w:val="28"/>
          <w:szCs w:val="28"/>
          <w:lang w:val="en-US" w:eastAsia="zh-CN"/>
        </w:rPr>
        <w:t>民法典</w:t>
      </w:r>
      <w:r>
        <w:rPr>
          <w:rFonts w:hint="eastAsia" w:ascii="仿宋" w:hAnsi="仿宋" w:eastAsia="仿宋" w:cs="仿宋"/>
          <w:color w:val="auto"/>
          <w:sz w:val="28"/>
          <w:szCs w:val="28"/>
        </w:rPr>
        <w:t>》及医药产品购销合同约定购销药品、医用设备、医用耗材等医药产品。</w:t>
      </w:r>
    </w:p>
    <w:p w14:paraId="170F85CF">
      <w:pPr>
        <w:keepNext w:val="0"/>
        <w:keepLines w:val="0"/>
        <w:pageBreakBefore w:val="0"/>
        <w:widowControl w:val="0"/>
        <w:kinsoku/>
        <w:wordWrap/>
        <w:overflowPunct/>
        <w:topLinePunct w:val="0"/>
        <w:autoSpaceDE/>
        <w:autoSpaceDN/>
        <w:bidi w:val="0"/>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二、甲方应当严格执行医药产品购销合同验收、入库制度，对采购医药产品及发票进行查验，不得违反有关规定合同外采购、违价采购或从非规定渠道采购。</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 xml:space="preserve">    三、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14:paraId="3B4D2E12">
      <w:pPr>
        <w:keepNext w:val="0"/>
        <w:keepLines w:val="0"/>
        <w:pageBreakBefore w:val="0"/>
        <w:widowControl w:val="0"/>
        <w:kinsoku/>
        <w:wordWrap/>
        <w:overflowPunct/>
        <w:topLinePunct w:val="0"/>
        <w:autoSpaceDE/>
        <w:autoSpaceDN/>
        <w:bidi w:val="0"/>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四、严禁甲方工作人员利用任何途径和方式，为乙方统计医师个人及临床科室有关医药产品用量信息，或为乙方统计提供便利。</w:t>
      </w:r>
    </w:p>
    <w:p w14:paraId="36E4DABD">
      <w:pPr>
        <w:keepNext w:val="0"/>
        <w:keepLines w:val="0"/>
        <w:pageBreakBefore w:val="0"/>
        <w:widowControl w:val="0"/>
        <w:kinsoku/>
        <w:wordWrap/>
        <w:overflowPunct/>
        <w:topLinePunct w:val="0"/>
        <w:autoSpaceDE/>
        <w:autoSpaceDN/>
        <w:bidi w:val="0"/>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五、乙方不得以回扣、宴请等方式影响甲方工作人员采购或使用医药产品的选择权，不得在学术活动中提供旅游、超标准支付食宿费用。</w:t>
      </w:r>
    </w:p>
    <w:p w14:paraId="108C8E51">
      <w:pPr>
        <w:keepNext w:val="0"/>
        <w:keepLines w:val="0"/>
        <w:pageBreakBefore w:val="0"/>
        <w:widowControl w:val="0"/>
        <w:kinsoku/>
        <w:wordWrap/>
        <w:overflowPunct/>
        <w:topLinePunct w:val="0"/>
        <w:autoSpaceDE/>
        <w:autoSpaceDN/>
        <w:bidi w:val="0"/>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六、乙方指定</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（身份证号码：</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作销售代表洽谈业务。销售代表必须在工作时间到甲方指定地点联系商谈，不得到住院部、门诊部、医技科室等推销医药产品，不得借故到甲方相关领导、部门负责人及相关工作人员家中访谈并提供任何好处费。</w:t>
      </w:r>
    </w:p>
    <w:p w14:paraId="0B6F9AF1">
      <w:pPr>
        <w:keepNext w:val="0"/>
        <w:keepLines w:val="0"/>
        <w:pageBreakBefore w:val="0"/>
        <w:widowControl w:val="0"/>
        <w:kinsoku/>
        <w:wordWrap/>
        <w:overflowPunct/>
        <w:topLinePunct w:val="0"/>
        <w:autoSpaceDE/>
        <w:autoSpaceDN/>
        <w:bidi w:val="0"/>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rPr>
        <w:t>七、乙方如违反本合同，甲方有权终止购销合同，并向有关卫生计生行政部门报告。如乙方被列入商业贿赂不良记录，则严格按照《国家卫生计生委关于建立医药购销领域商业贿赂不良记录的规定》（国卫法制发【2013】50号）相关规定处理。</w:t>
      </w:r>
    </w:p>
    <w:p w14:paraId="4E7D03EB">
      <w:pPr>
        <w:keepNext w:val="0"/>
        <w:keepLines w:val="0"/>
        <w:pageBreakBefore w:val="0"/>
        <w:widowControl w:val="0"/>
        <w:kinsoku/>
        <w:wordWrap/>
        <w:overflowPunct/>
        <w:topLinePunct w:val="0"/>
        <w:autoSpaceDE/>
        <w:autoSpaceDN/>
        <w:bidi w:val="0"/>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八、本合同作为</w:t>
      </w:r>
      <w:r>
        <w:rPr>
          <w:rFonts w:hint="eastAsia" w:ascii="仿宋" w:hAnsi="仿宋" w:eastAsia="仿宋" w:cs="仿宋"/>
          <w:color w:val="auto"/>
          <w:sz w:val="28"/>
          <w:szCs w:val="28"/>
          <w:lang w:eastAsia="zh-CN"/>
        </w:rPr>
        <w:t>《医疗设备采购合同》</w:t>
      </w:r>
      <w:r>
        <w:rPr>
          <w:rFonts w:hint="eastAsia" w:ascii="仿宋" w:hAnsi="仿宋" w:eastAsia="仿宋" w:cs="仿宋"/>
          <w:color w:val="auto"/>
          <w:sz w:val="28"/>
          <w:szCs w:val="28"/>
        </w:rPr>
        <w:t>的重要组成</w:t>
      </w:r>
      <w:r>
        <w:rPr>
          <w:rFonts w:hint="eastAsia" w:ascii="仿宋" w:hAnsi="仿宋" w:eastAsia="仿宋" w:cs="仿宋"/>
          <w:color w:val="auto"/>
          <w:sz w:val="28"/>
          <w:szCs w:val="28"/>
          <w:lang w:val="en-US" w:eastAsia="zh-CN"/>
        </w:rPr>
        <w:t>部分</w:t>
      </w:r>
      <w:r>
        <w:rPr>
          <w:rFonts w:hint="eastAsia" w:ascii="仿宋" w:hAnsi="仿宋" w:eastAsia="仿宋" w:cs="仿宋"/>
          <w:color w:val="auto"/>
          <w:sz w:val="28"/>
          <w:szCs w:val="28"/>
        </w:rPr>
        <w:t>，与</w:t>
      </w:r>
      <w:r>
        <w:rPr>
          <w:rFonts w:hint="eastAsia" w:ascii="仿宋" w:hAnsi="仿宋" w:eastAsia="仿宋" w:cs="仿宋"/>
          <w:color w:val="auto"/>
          <w:sz w:val="28"/>
          <w:szCs w:val="28"/>
          <w:lang w:eastAsia="zh-CN"/>
        </w:rPr>
        <w:t>《医疗设备采购合同》</w:t>
      </w:r>
      <w:r>
        <w:rPr>
          <w:rFonts w:hint="eastAsia" w:ascii="仿宋" w:hAnsi="仿宋" w:eastAsia="仿宋" w:cs="仿宋"/>
          <w:color w:val="auto"/>
          <w:sz w:val="28"/>
          <w:szCs w:val="28"/>
        </w:rPr>
        <w:t>一并执行，具有同等法律效力。</w:t>
      </w:r>
    </w:p>
    <w:p w14:paraId="40B05F22">
      <w:pPr>
        <w:keepNext w:val="0"/>
        <w:keepLines w:val="0"/>
        <w:pageBreakBefore w:val="0"/>
        <w:widowControl w:val="0"/>
        <w:kinsoku/>
        <w:wordWrap/>
        <w:overflowPunct/>
        <w:topLinePunct w:val="0"/>
        <w:autoSpaceDE/>
        <w:autoSpaceDN/>
        <w:bidi w:val="0"/>
        <w:rPr>
          <w:rFonts w:hint="eastAsia" w:ascii="仿宋" w:hAnsi="仿宋" w:eastAsia="仿宋" w:cs="仿宋"/>
          <w:color w:val="auto"/>
          <w:sz w:val="28"/>
          <w:szCs w:val="28"/>
        </w:rPr>
      </w:pPr>
    </w:p>
    <w:p w14:paraId="3AF22BFC">
      <w:pPr>
        <w:keepNext w:val="0"/>
        <w:keepLines w:val="0"/>
        <w:pageBreakBefore w:val="0"/>
        <w:widowControl w:val="0"/>
        <w:kinsoku/>
        <w:wordWrap/>
        <w:overflowPunct/>
        <w:topLinePunct w:val="0"/>
        <w:autoSpaceDE/>
        <w:autoSpaceDN/>
        <w:bidi w:val="0"/>
        <w:snapToGrid w:val="0"/>
        <w:spacing w:line="460" w:lineRule="exact"/>
        <w:ind w:left="6606" w:hanging="6606" w:hangingChars="2350"/>
        <w:rPr>
          <w:rFonts w:hint="default" w:ascii="仿宋" w:hAnsi="仿宋" w:eastAsia="仿宋" w:cs="仿宋"/>
          <w:b/>
          <w:color w:val="auto"/>
          <w:sz w:val="28"/>
          <w:szCs w:val="28"/>
          <w:u w:val="single"/>
          <w:lang w:val="en-US" w:eastAsia="zh-CN"/>
        </w:rPr>
      </w:pPr>
      <w:r>
        <w:rPr>
          <w:rFonts w:hint="eastAsia" w:ascii="仿宋" w:hAnsi="仿宋" w:eastAsia="仿宋" w:cs="仿宋"/>
          <w:b/>
          <w:color w:val="auto"/>
          <w:sz w:val="28"/>
          <w:szCs w:val="28"/>
        </w:rPr>
        <w:t>甲方：</w:t>
      </w:r>
      <w:r>
        <w:rPr>
          <w:rFonts w:hint="eastAsia" w:ascii="仿宋" w:hAnsi="仿宋" w:eastAsia="仿宋" w:cs="仿宋"/>
          <w:b/>
          <w:color w:val="auto"/>
          <w:sz w:val="28"/>
          <w:szCs w:val="28"/>
          <w:u w:val="single"/>
          <w:lang w:val="en-US" w:eastAsia="zh-CN"/>
        </w:rPr>
        <w:t xml:space="preserve"> 三亚市第二人民医院  </w:t>
      </w:r>
      <w:r>
        <w:rPr>
          <w:rFonts w:hint="eastAsia" w:ascii="仿宋" w:hAnsi="仿宋" w:eastAsia="仿宋" w:cs="仿宋"/>
          <w:b/>
          <w:color w:val="auto"/>
          <w:sz w:val="28"/>
          <w:szCs w:val="28"/>
          <w:u w:val="none"/>
          <w:lang w:val="en-US" w:eastAsia="zh-CN"/>
        </w:rPr>
        <w:t xml:space="preserve">              </w:t>
      </w:r>
      <w:r>
        <w:rPr>
          <w:rFonts w:hint="eastAsia" w:ascii="仿宋" w:hAnsi="仿宋" w:eastAsia="仿宋" w:cs="仿宋"/>
          <w:b/>
          <w:color w:val="auto"/>
          <w:sz w:val="28"/>
          <w:szCs w:val="28"/>
        </w:rPr>
        <w:t>乙方</w:t>
      </w:r>
      <w:r>
        <w:rPr>
          <w:rFonts w:hint="eastAsia" w:ascii="仿宋" w:hAnsi="仿宋" w:eastAsia="仿宋" w:cs="仿宋"/>
          <w:b/>
          <w:color w:val="auto"/>
          <w:sz w:val="28"/>
          <w:szCs w:val="28"/>
          <w:lang w:eastAsia="zh-CN"/>
        </w:rPr>
        <w:t>：</w:t>
      </w:r>
      <w:r>
        <w:rPr>
          <w:rFonts w:hint="eastAsia" w:ascii="仿宋" w:hAnsi="仿宋" w:eastAsia="仿宋" w:cs="仿宋"/>
          <w:b/>
          <w:bCs w:val="0"/>
          <w:color w:val="auto"/>
          <w:sz w:val="28"/>
          <w:szCs w:val="28"/>
          <w:u w:val="single"/>
          <w:lang w:val="en-US" w:eastAsia="zh-CN"/>
        </w:rPr>
        <w:t xml:space="preserve">  </w:t>
      </w:r>
      <w:r>
        <w:rPr>
          <w:rFonts w:hint="eastAsia" w:ascii="仿宋" w:hAnsi="仿宋" w:eastAsia="仿宋" w:cs="仿宋"/>
          <w:b/>
          <w:color w:val="auto"/>
          <w:sz w:val="28"/>
          <w:szCs w:val="28"/>
          <w:u w:val="single"/>
          <w:lang w:val="en-US" w:eastAsia="zh-CN"/>
        </w:rPr>
        <w:t xml:space="preserve">                  </w:t>
      </w:r>
    </w:p>
    <w:p w14:paraId="2B74D2DE">
      <w:pPr>
        <w:keepNext w:val="0"/>
        <w:keepLines w:val="0"/>
        <w:pageBreakBefore w:val="0"/>
        <w:widowControl w:val="0"/>
        <w:kinsoku/>
        <w:wordWrap/>
        <w:overflowPunct/>
        <w:topLinePunct w:val="0"/>
        <w:autoSpaceDE/>
        <w:autoSpaceDN/>
        <w:bidi w:val="0"/>
        <w:snapToGrid w:val="0"/>
        <w:spacing w:line="460" w:lineRule="exact"/>
        <w:ind w:left="5600" w:hanging="5600" w:hangingChars="2000"/>
        <w:rPr>
          <w:rFonts w:hint="eastAsia" w:ascii="仿宋" w:hAnsi="仿宋" w:eastAsia="仿宋" w:cs="仿宋"/>
          <w:color w:val="auto"/>
          <w:sz w:val="28"/>
          <w:szCs w:val="28"/>
          <w:u w:val="single"/>
        </w:rPr>
      </w:pPr>
    </w:p>
    <w:p w14:paraId="3F7AB520">
      <w:pPr>
        <w:keepNext w:val="0"/>
        <w:keepLines w:val="0"/>
        <w:pageBreakBefore w:val="0"/>
        <w:widowControl w:val="0"/>
        <w:kinsoku/>
        <w:wordWrap/>
        <w:overflowPunct/>
        <w:topLinePunct w:val="0"/>
        <w:autoSpaceDE/>
        <w:autoSpaceDN/>
        <w:bidi w:val="0"/>
        <w:snapToGrid w:val="0"/>
        <w:spacing w:line="460" w:lineRule="exact"/>
        <w:rPr>
          <w:rFonts w:hint="eastAsia" w:ascii="仿宋" w:hAnsi="仿宋" w:eastAsia="仿宋" w:cs="仿宋"/>
          <w:color w:val="auto"/>
          <w:sz w:val="28"/>
          <w:szCs w:val="28"/>
          <w:u w:val="single"/>
        </w:rPr>
      </w:pPr>
      <w:r>
        <w:rPr>
          <w:rFonts w:hint="eastAsia" w:ascii="仿宋" w:hAnsi="仿宋" w:eastAsia="仿宋" w:cs="仿宋"/>
          <w:bCs/>
          <w:color w:val="auto"/>
          <w:kern w:val="0"/>
          <w:sz w:val="28"/>
          <w:szCs w:val="28"/>
        </w:rPr>
        <w:t>法定代表人：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r>
        <w:rPr>
          <w:rFonts w:hint="eastAsia" w:ascii="仿宋" w:hAnsi="仿宋" w:eastAsia="仿宋" w:cs="仿宋"/>
          <w:bCs/>
          <w:color w:val="auto"/>
          <w:kern w:val="0"/>
          <w:sz w:val="28"/>
          <w:szCs w:val="28"/>
        </w:rPr>
        <w:t>法定代表人：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p>
    <w:p w14:paraId="2AB620B0">
      <w:pPr>
        <w:keepNext w:val="0"/>
        <w:keepLines w:val="0"/>
        <w:pageBreakBefore w:val="0"/>
        <w:widowControl w:val="0"/>
        <w:kinsoku/>
        <w:wordWrap/>
        <w:overflowPunct/>
        <w:topLinePunct w:val="0"/>
        <w:autoSpaceDE/>
        <w:autoSpaceDN/>
        <w:bidi w:val="0"/>
        <w:snapToGrid w:val="0"/>
        <w:spacing w:line="460" w:lineRule="exact"/>
        <w:rPr>
          <w:rFonts w:hint="eastAsia" w:ascii="仿宋" w:hAnsi="仿宋" w:eastAsia="仿宋" w:cs="仿宋"/>
          <w:color w:val="auto"/>
          <w:sz w:val="28"/>
          <w:szCs w:val="28"/>
          <w:u w:val="single"/>
          <w:lang w:val="en-US" w:eastAsia="zh-CN"/>
        </w:rPr>
      </w:pPr>
    </w:p>
    <w:p w14:paraId="3E753FA9">
      <w:pPr>
        <w:keepNext w:val="0"/>
        <w:keepLines w:val="0"/>
        <w:pageBreakBefore w:val="0"/>
        <w:widowControl w:val="0"/>
        <w:kinsoku/>
        <w:wordWrap/>
        <w:overflowPunct/>
        <w:topLinePunct w:val="0"/>
        <w:autoSpaceDE/>
        <w:autoSpaceDN/>
        <w:bidi w:val="0"/>
        <w:snapToGrid w:val="0"/>
        <w:spacing w:line="460" w:lineRule="exact"/>
        <w:rPr>
          <w:rFonts w:hint="eastAsia" w:ascii="仿宋" w:hAnsi="仿宋" w:eastAsia="仿宋" w:cs="仿宋"/>
          <w:color w:val="auto"/>
          <w:sz w:val="28"/>
          <w:szCs w:val="28"/>
          <w:u w:val="single"/>
        </w:rPr>
      </w:pPr>
      <w:r>
        <w:rPr>
          <w:rFonts w:hint="eastAsia" w:ascii="仿宋" w:hAnsi="仿宋" w:eastAsia="仿宋" w:cs="仿宋"/>
          <w:color w:val="auto"/>
          <w:sz w:val="28"/>
          <w:szCs w:val="28"/>
        </w:rPr>
        <w:t>签约代表：</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签约代表：</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p>
    <w:p w14:paraId="2B666CA9">
      <w:pPr>
        <w:keepNext w:val="0"/>
        <w:keepLines w:val="0"/>
        <w:pageBreakBefore w:val="0"/>
        <w:widowControl w:val="0"/>
        <w:kinsoku/>
        <w:wordWrap/>
        <w:overflowPunct/>
        <w:topLinePunct w:val="0"/>
        <w:autoSpaceDE/>
        <w:autoSpaceDN/>
        <w:bidi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年   月    日                            年   月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 xml:space="preserve"> 日</w:t>
      </w:r>
    </w:p>
    <w:p w14:paraId="51BF0BA5">
      <w:pPr>
        <w:keepNext w:val="0"/>
        <w:keepLines w:val="0"/>
        <w:pageBreakBefore w:val="0"/>
        <w:widowControl w:val="0"/>
        <w:kinsoku/>
        <w:wordWrap/>
        <w:overflowPunct/>
        <w:topLinePunct w:val="0"/>
        <w:autoSpaceDE/>
        <w:autoSpaceDN/>
        <w:bidi w:val="0"/>
        <w:jc w:val="center"/>
        <w:rPr>
          <w:rFonts w:hint="eastAsia" w:ascii="仿宋" w:hAnsi="仿宋" w:eastAsia="仿宋" w:cs="仿宋"/>
          <w:color w:val="auto"/>
        </w:rPr>
      </w:pPr>
    </w:p>
    <w:p w14:paraId="0F024CE2">
      <w:pPr>
        <w:keepNext w:val="0"/>
        <w:keepLines w:val="0"/>
        <w:pageBreakBefore w:val="0"/>
        <w:widowControl w:val="0"/>
        <w:kinsoku/>
        <w:wordWrap/>
        <w:overflowPunct/>
        <w:topLinePunct w:val="0"/>
        <w:autoSpaceDE/>
        <w:autoSpaceDN/>
        <w:bidi w:val="0"/>
        <w:rPr>
          <w:rFonts w:hint="eastAsia" w:ascii="仿宋" w:hAnsi="仿宋" w:eastAsia="仿宋" w:cs="仿宋"/>
          <w:color w:val="auto"/>
        </w:rPr>
      </w:pPr>
    </w:p>
    <w:p w14:paraId="278474AA">
      <w:pPr>
        <w:rPr>
          <w:rFonts w:hint="eastAsia" w:ascii="宋体" w:hAnsi="宋体" w:eastAsia="宋体" w:cs="宋体"/>
          <w:sz w:val="24"/>
          <w:szCs w:val="24"/>
        </w:rPr>
      </w:pPr>
    </w:p>
    <w:p w14:paraId="68EC432D">
      <w:pPr>
        <w:spacing w:line="2340" w:lineRule="exact"/>
        <w:ind w:firstLine="966"/>
      </w:pPr>
    </w:p>
    <w:sectPr>
      <w:footerReference r:id="rId5" w:type="default"/>
      <w:pgSz w:w="12080" w:h="16970"/>
      <w:pgMar w:top="1390" w:right="1812" w:bottom="1305" w:left="1794" w:header="0" w:footer="118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roma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E4178">
    <w:pPr>
      <w:spacing w:line="170" w:lineRule="auto"/>
      <w:ind w:left="4095"/>
      <w:rPr>
        <w:rFonts w:ascii="Times New Roman" w:hAnsi="Times New Roman" w:eastAsia="Times New Roman" w:cs="Times New Roman"/>
        <w:sz w:val="14"/>
        <w:szCs w:val="14"/>
      </w:rPr>
    </w:pPr>
    <w:r>
      <w:rPr>
        <w:rFonts w:ascii="Times New Roman" w:hAnsi="Times New Roman" w:eastAsia="Times New Roman" w:cs="Times New Roman"/>
        <w:sz w:val="14"/>
        <w:szCs w:val="14"/>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5B922DB"/>
    <w:rsid w:val="127F4F06"/>
    <w:rsid w:val="141636D8"/>
    <w:rsid w:val="23E7405F"/>
    <w:rsid w:val="283D06F2"/>
    <w:rsid w:val="297F6D55"/>
    <w:rsid w:val="2C98683F"/>
    <w:rsid w:val="392B6CFF"/>
    <w:rsid w:val="4E2F7673"/>
    <w:rsid w:val="4FE563CB"/>
    <w:rsid w:val="5320355D"/>
    <w:rsid w:val="541F6D7A"/>
    <w:rsid w:val="5FE031E6"/>
    <w:rsid w:val="623D12D3"/>
    <w:rsid w:val="6A6F7CF6"/>
    <w:rsid w:val="72600832"/>
    <w:rsid w:val="73182BB8"/>
    <w:rsid w:val="75506F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caption"/>
    <w:basedOn w:val="1"/>
    <w:next w:val="1"/>
    <w:unhideWhenUsed/>
    <w:qFormat/>
    <w:uiPriority w:val="35"/>
    <w:rPr>
      <w:rFonts w:ascii="Cambria" w:hAnsi="Cambria" w:eastAsia="黑体" w:cs="Times New Roman"/>
      <w:sz w:val="20"/>
      <w:szCs w:val="20"/>
    </w:rPr>
  </w:style>
  <w:style w:type="paragraph" w:styleId="3">
    <w:name w:val="annotation text"/>
    <w:basedOn w:val="1"/>
    <w:qFormat/>
    <w:uiPriority w:val="0"/>
    <w:pPr>
      <w:jc w:val="left"/>
    </w:p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qFormat/>
    <w:uiPriority w:val="0"/>
    <w:rPr>
      <w:rFonts w:ascii="宋体" w:hAnsi="Courier New" w:eastAsia="宋体" w:cs="Courier New"/>
      <w:kern w:val="2"/>
      <w:sz w:val="21"/>
      <w:szCs w:val="21"/>
      <w:lang w:val="en-US" w:eastAsia="zh-CN" w:bidi="ar-SA"/>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next w:val="2"/>
    <w:qFormat/>
    <w:uiPriority w:val="0"/>
    <w:pPr>
      <w:pBdr>
        <w:bottom w:val="single" w:color="auto" w:sz="6" w:space="1"/>
      </w:pBdr>
      <w:tabs>
        <w:tab w:val="center" w:pos="4153"/>
        <w:tab w:val="right" w:pos="8306"/>
      </w:tabs>
      <w:snapToGrid w:val="0"/>
      <w:jc w:val="center"/>
    </w:pPr>
    <w:rPr>
      <w:sz w:val="18"/>
      <w:szCs w:val="18"/>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rPr>
      <w:rFonts w:ascii="宋体" w:hAnsi="宋体" w:eastAsia="宋体" w:cs="宋体"/>
      <w:sz w:val="24"/>
      <w:szCs w:val="24"/>
      <w:lang w:val="en-US" w:eastAsia="en-US" w:bidi="ar-SA"/>
    </w:rPr>
  </w:style>
  <w:style w:type="paragraph" w:customStyle="1" w:styleId="12">
    <w:name w:val="表格文字"/>
    <w:basedOn w:val="1"/>
    <w:qFormat/>
    <w:uiPriority w:val="0"/>
    <w:pPr>
      <w:autoSpaceDE/>
      <w:autoSpaceDN/>
      <w:adjustRightInd/>
      <w:spacing w:before="25" w:beforeLines="0" w:after="25" w:afterLines="0"/>
    </w:pPr>
    <w:rPr>
      <w:rFonts w:ascii="Times New Roman"/>
      <w:bCs/>
      <w:spacing w:val="1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Pages>
  <Words>6057</Words>
  <Characters>6160</Characters>
  <TotalTime>0</TotalTime>
  <ScaleCrop>false</ScaleCrop>
  <LinksUpToDate>false</LinksUpToDate>
  <CharactersWithSpaces>6724</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2025-05-07T10:51:00Z</dcterms:created>
  <dc:creator>21741</dc:creator>
  <cp:lastModifiedBy>zhangqinjie</cp:lastModifiedBy>
  <dcterms:modified xsi:type="dcterms:W3CDTF">2025-09-03T07:16:30Z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2025-05-07T10:51:27Z</vt:filetime>
  </property>
  <property fmtid="{D5CDD505-2E9C-101B-9397-08002B2CF9AE}" pid="4" name="UsrData">
    <vt:lpwstr>681acaacbfc444001f0be02ewl</vt:lpwstr>
  </property>
  <property fmtid="{D5CDD505-2E9C-101B-9397-08002B2CF9AE}" pid="5" name="KSOTemplateDocerSaveRecord">
    <vt:lpwstr>eyJoZGlkIjoiN2JkZTAwMmMxODQ2Yjk2ZTM1OGE1ZjhiMTVhMGZhYmQiLCJ1c2VySWQiOiIyNDM4MTIyNDAifQ==</vt:lpwstr>
  </property>
  <property fmtid="{D5CDD505-2E9C-101B-9397-08002B2CF9AE}" pid="6" name="KSOProductBuildVer">
    <vt:lpwstr>2052-12.1.0.22529</vt:lpwstr>
  </property>
  <property fmtid="{D5CDD505-2E9C-101B-9397-08002B2CF9AE}" pid="7" name="ICV">
    <vt:lpwstr>08AB393C71954BC3B9A2D3BA0E165A2E_12</vt:lpwstr>
  </property>
</Properties>
</file>