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55F05">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bCs/>
          <w:sz w:val="32"/>
          <w:szCs w:val="32"/>
          <w:lang w:val="en-US" w:eastAsia="zh-CN"/>
        </w:rPr>
      </w:pPr>
      <w:bookmarkStart w:id="0" w:name="_Toc20384570"/>
      <w:r>
        <w:rPr>
          <w:rFonts w:hint="eastAsia" w:ascii="宋体" w:hAnsi="宋体" w:eastAsia="宋体" w:cs="宋体"/>
          <w:b/>
          <w:bCs/>
          <w:sz w:val="32"/>
          <w:szCs w:val="32"/>
          <w:lang w:val="en-US" w:eastAsia="zh-CN"/>
        </w:rPr>
        <w:t>三亚市省统一无纸化办公平台运维服务</w:t>
      </w:r>
    </w:p>
    <w:p w14:paraId="6CB0F044">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采购需求方案</w:t>
      </w:r>
      <w:r>
        <w:rPr>
          <w:rFonts w:hint="eastAsia" w:ascii="宋体" w:hAnsi="宋体" w:cs="宋体"/>
          <w:b/>
          <w:bCs/>
          <w:sz w:val="32"/>
          <w:szCs w:val="32"/>
          <w:lang w:val="en-US" w:eastAsia="zh-CN"/>
        </w:rPr>
        <w:t>（技术部分）</w:t>
      </w:r>
    </w:p>
    <w:p w14:paraId="69AFF2CA">
      <w:pPr>
        <w:widowControl/>
        <w:spacing w:line="360" w:lineRule="auto"/>
        <w:jc w:val="center"/>
        <w:rPr>
          <w:rFonts w:ascii="宋体" w:hAnsi="宋体" w:eastAsia="宋体" w:cs="宋体"/>
          <w:b/>
          <w:kern w:val="0"/>
          <w:sz w:val="44"/>
          <w:szCs w:val="44"/>
        </w:rPr>
      </w:pPr>
    </w:p>
    <w:p w14:paraId="3DBCB522">
      <w:pPr>
        <w:widowControl/>
        <w:spacing w:line="360" w:lineRule="auto"/>
        <w:jc w:val="center"/>
        <w:rPr>
          <w:rFonts w:ascii="宋体" w:hAnsi="宋体" w:eastAsia="宋体" w:cs="宋体"/>
          <w:b/>
          <w:kern w:val="0"/>
          <w:sz w:val="44"/>
          <w:szCs w:val="44"/>
        </w:rPr>
      </w:pPr>
    </w:p>
    <w:p w14:paraId="2D7F637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项目简介</w:t>
      </w:r>
    </w:p>
    <w:p w14:paraId="7702AF0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1.1项目名称</w:t>
      </w:r>
    </w:p>
    <w:p w14:paraId="1D1BAF0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三亚市省统一无纸化办公平台运维服务</w:t>
      </w:r>
    </w:p>
    <w:p w14:paraId="1233B70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1.2资金来源：</w:t>
      </w:r>
    </w:p>
    <w:p w14:paraId="5F7F484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三亚市财政预算拨款</w:t>
      </w:r>
    </w:p>
    <w:p w14:paraId="523CF06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1.3采购预算：</w:t>
      </w:r>
    </w:p>
    <w:p w14:paraId="30BAD05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5,303,025.00元 </w:t>
      </w:r>
    </w:p>
    <w:p w14:paraId="63485EE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1.4项目实施地点：</w:t>
      </w:r>
    </w:p>
    <w:p w14:paraId="0136E9B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三亚市省统一无纸化办公各接入使用单位。</w:t>
      </w:r>
    </w:p>
    <w:p w14:paraId="514FCA8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1.5项目完成时间（服务期限）</w:t>
      </w:r>
    </w:p>
    <w:p w14:paraId="6C4B123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1年</w:t>
      </w:r>
    </w:p>
    <w:p w14:paraId="071FF76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1.6拟定单一来源供应商</w:t>
      </w:r>
    </w:p>
    <w:p w14:paraId="6FA7F65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三亚市信息化基础设施投资建设发展有限公司</w:t>
      </w:r>
    </w:p>
    <w:p w14:paraId="1C9751C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服务需求</w:t>
      </w:r>
    </w:p>
    <w:p w14:paraId="015282A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1" w:name="_Toc15456"/>
      <w:r>
        <w:rPr>
          <w:rFonts w:hint="eastAsia" w:ascii="宋体" w:hAnsi="宋体" w:eastAsia="宋体" w:cs="宋体"/>
          <w:sz w:val="28"/>
          <w:szCs w:val="28"/>
          <w:lang w:val="en-US" w:eastAsia="zh-CN"/>
        </w:rPr>
        <w:t>为三亚市111家全流程单位、69家单点接入单位提供运维服务：</w:t>
      </w:r>
    </w:p>
    <w:p w14:paraId="63E0BD2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（1）三亚市111家全流程单位全省统一无纸化办公平台运维及服务；</w:t>
      </w:r>
    </w:p>
    <w:p w14:paraId="7CE9EB8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（2）三亚市69家单点接入单位公文交换与电子印章节点日常系统运维服务。</w:t>
      </w:r>
    </w:p>
    <w:p w14:paraId="1A36DBC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运维主要包括信息系统的运行维护服务，保证现有的信息系统的正常运行，降低整体管理成本，提高信息系统的整体服务水平。同时根据日常维护的数据和记录，提供信息系统的整体建设规划和建议，更好的为信息化发展提供有力的保障。</w:t>
      </w:r>
    </w:p>
    <w:p w14:paraId="125B0E6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运维内容包括：</w:t>
      </w:r>
    </w:p>
    <w:p w14:paraId="0FF590C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应用系统运维：包括全流程单位的三亚市全省统一无纸化办公平台的运维及服务，单点接入单位的公文交换及电子印章节点的运维及服务。</w:t>
      </w:r>
    </w:p>
    <w:p w14:paraId="17412DB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2.1整体需求</w:t>
      </w:r>
      <w:bookmarkEnd w:id="1"/>
    </w:p>
    <w:p w14:paraId="34EF62F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2.1.1服务目标</w:t>
      </w:r>
    </w:p>
    <w:p w14:paraId="246B96D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1.保障三亚市省统一无纸化办公平台接入单位的问题和需求能够高效解决。</w:t>
      </w:r>
    </w:p>
    <w:p w14:paraId="45CEF06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2.保障三亚市省统一无纸化办公平台运维期内的安全稳定高效运行。</w:t>
      </w:r>
    </w:p>
    <w:p w14:paraId="6A8AE49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2.1.2运维服务周期</w:t>
      </w:r>
    </w:p>
    <w:p w14:paraId="0D14873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服务周期一年</w:t>
      </w:r>
    </w:p>
    <w:p w14:paraId="3D7FE29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2.1.3服务内容</w:t>
      </w:r>
    </w:p>
    <w:p w14:paraId="5B861FB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为三亚市111家全流程单位、69家单点接入单位提供运维服务，主要包含：</w:t>
      </w:r>
    </w:p>
    <w:p w14:paraId="4D3B0AD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（1）提供系统版本维护服务</w:t>
      </w:r>
    </w:p>
    <w:p w14:paraId="7336FE2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（2）提供基础数据维护服务</w:t>
      </w:r>
    </w:p>
    <w:p w14:paraId="7619C6F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（3）提供客户端环境维护服务</w:t>
      </w:r>
    </w:p>
    <w:p w14:paraId="2AB864B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（4）提供系统使用指导服务</w:t>
      </w:r>
    </w:p>
    <w:p w14:paraId="21336FB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（5）提供服务器维护服务</w:t>
      </w:r>
    </w:p>
    <w:p w14:paraId="61456E6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（6）提供应用服务器软件维护服务</w:t>
      </w:r>
    </w:p>
    <w:p w14:paraId="1952A95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（7）提供改正性维护服务</w:t>
      </w:r>
    </w:p>
    <w:p w14:paraId="36B17D7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（8）提供适应性维护服务</w:t>
      </w:r>
    </w:p>
    <w:p w14:paraId="3FAC4B4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（9）提供系统突发事件处理服务</w:t>
      </w:r>
    </w:p>
    <w:p w14:paraId="0B449C4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2.4服务要求</w:t>
      </w:r>
    </w:p>
    <w:p w14:paraId="065EE61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1.接入省统一无纸化办公平台单位在线率90%以上；</w:t>
      </w:r>
    </w:p>
    <w:p w14:paraId="7A10E19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2.无重大网络安全事故发生；</w:t>
      </w:r>
    </w:p>
    <w:p w14:paraId="4D27616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3.服务响应要求。</w:t>
      </w:r>
    </w:p>
    <w:tbl>
      <w:tblPr>
        <w:tblStyle w:val="6"/>
        <w:tblW w:w="8266" w:type="dxa"/>
        <w:jc w:val="center"/>
        <w:tblLayout w:type="fixed"/>
        <w:tblCellMar>
          <w:top w:w="0" w:type="dxa"/>
          <w:left w:w="108" w:type="dxa"/>
          <w:bottom w:w="0" w:type="dxa"/>
          <w:right w:w="108" w:type="dxa"/>
        </w:tblCellMar>
      </w:tblPr>
      <w:tblGrid>
        <w:gridCol w:w="3964"/>
        <w:gridCol w:w="2410"/>
        <w:gridCol w:w="1892"/>
      </w:tblGrid>
      <w:tr w14:paraId="4CD2F28F">
        <w:tblPrEx>
          <w:tblCellMar>
            <w:top w:w="0" w:type="dxa"/>
            <w:left w:w="108" w:type="dxa"/>
            <w:bottom w:w="0" w:type="dxa"/>
            <w:right w:w="108" w:type="dxa"/>
          </w:tblCellMar>
        </w:tblPrEx>
        <w:trPr>
          <w:trHeight w:val="558" w:hRule="atLeast"/>
          <w:tblHeader/>
          <w:jc w:val="center"/>
        </w:trPr>
        <w:tc>
          <w:tcPr>
            <w:tcW w:w="396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A36D96">
            <w:pPr>
              <w:widowControl/>
              <w:adjustRightInd w:val="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服务级别</w:t>
            </w:r>
          </w:p>
        </w:tc>
        <w:tc>
          <w:tcPr>
            <w:tcW w:w="2410" w:type="dxa"/>
            <w:tcBorders>
              <w:top w:val="single" w:color="auto" w:sz="4" w:space="0"/>
              <w:left w:val="nil"/>
              <w:bottom w:val="single" w:color="auto" w:sz="4" w:space="0"/>
              <w:right w:val="single" w:color="auto" w:sz="4" w:space="0"/>
              <w:tl2br w:val="nil"/>
              <w:tr2bl w:val="nil"/>
            </w:tcBorders>
            <w:noWrap w:val="0"/>
            <w:vAlign w:val="center"/>
          </w:tcPr>
          <w:p w14:paraId="6D29B170">
            <w:pPr>
              <w:widowControl/>
              <w:adjustRightInd w:val="0"/>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响应时间</w:t>
            </w:r>
          </w:p>
        </w:tc>
        <w:tc>
          <w:tcPr>
            <w:tcW w:w="1892" w:type="dxa"/>
            <w:tcBorders>
              <w:top w:val="single" w:color="auto" w:sz="4" w:space="0"/>
              <w:left w:val="nil"/>
              <w:bottom w:val="single" w:color="auto" w:sz="4" w:space="0"/>
              <w:right w:val="single" w:color="auto" w:sz="4" w:space="0"/>
              <w:tl2br w:val="nil"/>
              <w:tr2bl w:val="nil"/>
            </w:tcBorders>
            <w:noWrap w:val="0"/>
            <w:vAlign w:val="center"/>
          </w:tcPr>
          <w:p w14:paraId="2125C66E">
            <w:pPr>
              <w:widowControl/>
              <w:adjustRightInd w:val="0"/>
              <w:ind w:left="-94" w:leftChars="-45"/>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故障解决时间</w:t>
            </w:r>
          </w:p>
        </w:tc>
      </w:tr>
      <w:tr w14:paraId="0FEA1CA1">
        <w:tblPrEx>
          <w:tblCellMar>
            <w:top w:w="0" w:type="dxa"/>
            <w:left w:w="108" w:type="dxa"/>
            <w:bottom w:w="0" w:type="dxa"/>
            <w:right w:w="108" w:type="dxa"/>
          </w:tblCellMar>
        </w:tblPrEx>
        <w:trPr>
          <w:trHeight w:val="707" w:hRule="atLeast"/>
          <w:jc w:val="center"/>
        </w:trPr>
        <w:tc>
          <w:tcPr>
            <w:tcW w:w="3964" w:type="dxa"/>
            <w:tcBorders>
              <w:top w:val="nil"/>
              <w:left w:val="single" w:color="auto" w:sz="4" w:space="0"/>
              <w:bottom w:val="single" w:color="auto" w:sz="4" w:space="0"/>
              <w:right w:val="single" w:color="auto" w:sz="4" w:space="0"/>
              <w:tl2br w:val="nil"/>
              <w:tr2bl w:val="nil"/>
            </w:tcBorders>
            <w:noWrap w:val="0"/>
            <w:vAlign w:val="center"/>
          </w:tcPr>
          <w:p w14:paraId="28E5A00B">
            <w:pPr>
              <w:widowControl/>
              <w:adjustRightInd w:val="0"/>
              <w:jc w:val="left"/>
              <w:rPr>
                <w:rFonts w:hint="eastAsia" w:ascii="宋体" w:hAnsi="宋体" w:eastAsia="宋体" w:cs="宋体"/>
                <w:color w:val="000000"/>
                <w:sz w:val="24"/>
                <w:szCs w:val="24"/>
              </w:rPr>
            </w:pPr>
            <w:r>
              <w:rPr>
                <w:rFonts w:hint="eastAsia" w:ascii="宋体" w:hAnsi="宋体" w:eastAsia="宋体" w:cs="宋体"/>
                <w:b/>
                <w:color w:val="000000"/>
                <w:sz w:val="24"/>
                <w:szCs w:val="24"/>
              </w:rPr>
              <w:t>I级：</w:t>
            </w:r>
            <w:r>
              <w:rPr>
                <w:rFonts w:hint="eastAsia" w:ascii="宋体" w:hAnsi="宋体" w:eastAsia="宋体" w:cs="宋体"/>
                <w:color w:val="000000"/>
                <w:sz w:val="24"/>
                <w:szCs w:val="24"/>
              </w:rPr>
              <w:t>属于紧急问题；其具体现象为：系统崩溃导致业务停止、数据丢失。</w:t>
            </w:r>
          </w:p>
        </w:tc>
        <w:tc>
          <w:tcPr>
            <w:tcW w:w="2410" w:type="dxa"/>
            <w:tcBorders>
              <w:top w:val="nil"/>
              <w:left w:val="nil"/>
              <w:bottom w:val="single" w:color="auto" w:sz="4" w:space="0"/>
              <w:right w:val="single" w:color="auto" w:sz="4" w:space="0"/>
              <w:tl2br w:val="nil"/>
              <w:tr2bl w:val="nil"/>
            </w:tcBorders>
            <w:noWrap w:val="0"/>
            <w:vAlign w:val="center"/>
          </w:tcPr>
          <w:p w14:paraId="67DC2798">
            <w:pPr>
              <w:widowControl/>
              <w:adjustRightInd w:val="0"/>
              <w:jc w:val="left"/>
              <w:rPr>
                <w:rFonts w:hint="eastAsia" w:ascii="宋体" w:hAnsi="宋体" w:eastAsia="宋体" w:cs="宋体"/>
                <w:color w:val="000000"/>
                <w:sz w:val="24"/>
                <w:szCs w:val="24"/>
              </w:rPr>
            </w:pPr>
            <w:r>
              <w:rPr>
                <w:rFonts w:hint="eastAsia" w:ascii="宋体" w:hAnsi="宋体" w:eastAsia="宋体" w:cs="宋体"/>
                <w:color w:val="000000"/>
                <w:sz w:val="24"/>
                <w:szCs w:val="24"/>
              </w:rPr>
              <w:t>0.5小时，1小时内提交处理方案</w:t>
            </w:r>
          </w:p>
        </w:tc>
        <w:tc>
          <w:tcPr>
            <w:tcW w:w="1892" w:type="dxa"/>
            <w:tcBorders>
              <w:top w:val="nil"/>
              <w:left w:val="nil"/>
              <w:bottom w:val="single" w:color="auto" w:sz="4" w:space="0"/>
              <w:right w:val="single" w:color="auto" w:sz="4" w:space="0"/>
              <w:tl2br w:val="nil"/>
              <w:tr2bl w:val="nil"/>
            </w:tcBorders>
            <w:noWrap w:val="0"/>
            <w:vAlign w:val="center"/>
          </w:tcPr>
          <w:p w14:paraId="0DF7BC39">
            <w:pPr>
              <w:adjustRightInd w:val="0"/>
              <w:ind w:hanging="17"/>
              <w:jc w:val="center"/>
              <w:rPr>
                <w:rFonts w:hint="eastAsia" w:ascii="宋体" w:hAnsi="宋体" w:eastAsia="宋体" w:cs="宋体"/>
                <w:color w:val="000000"/>
                <w:sz w:val="24"/>
                <w:szCs w:val="24"/>
              </w:rPr>
            </w:pPr>
            <w:r>
              <w:rPr>
                <w:rFonts w:hint="eastAsia" w:ascii="宋体" w:hAnsi="宋体" w:eastAsia="宋体" w:cs="宋体"/>
                <w:color w:val="000000"/>
                <w:sz w:val="24"/>
                <w:szCs w:val="24"/>
              </w:rPr>
              <w:t>12小时以内</w:t>
            </w:r>
          </w:p>
        </w:tc>
      </w:tr>
      <w:tr w14:paraId="2B1144CD">
        <w:tblPrEx>
          <w:tblCellMar>
            <w:top w:w="0" w:type="dxa"/>
            <w:left w:w="108" w:type="dxa"/>
            <w:bottom w:w="0" w:type="dxa"/>
            <w:right w:w="108" w:type="dxa"/>
          </w:tblCellMar>
        </w:tblPrEx>
        <w:trPr>
          <w:trHeight w:val="942" w:hRule="atLeast"/>
          <w:jc w:val="center"/>
        </w:trPr>
        <w:tc>
          <w:tcPr>
            <w:tcW w:w="3964" w:type="dxa"/>
            <w:tcBorders>
              <w:top w:val="nil"/>
              <w:left w:val="single" w:color="auto" w:sz="4" w:space="0"/>
              <w:bottom w:val="single" w:color="auto" w:sz="4" w:space="0"/>
              <w:right w:val="single" w:color="auto" w:sz="4" w:space="0"/>
              <w:tl2br w:val="nil"/>
              <w:tr2bl w:val="nil"/>
            </w:tcBorders>
            <w:noWrap w:val="0"/>
            <w:vAlign w:val="center"/>
          </w:tcPr>
          <w:p w14:paraId="1FFB5B1E">
            <w:pPr>
              <w:widowControl/>
              <w:adjustRightInd w:val="0"/>
              <w:jc w:val="left"/>
              <w:rPr>
                <w:rFonts w:hint="eastAsia" w:ascii="宋体" w:hAnsi="宋体" w:eastAsia="宋体" w:cs="宋体"/>
                <w:color w:val="000000"/>
                <w:sz w:val="24"/>
                <w:szCs w:val="24"/>
              </w:rPr>
            </w:pPr>
            <w:r>
              <w:rPr>
                <w:rFonts w:hint="eastAsia" w:ascii="宋体" w:hAnsi="宋体" w:eastAsia="宋体" w:cs="宋体"/>
                <w:b/>
                <w:color w:val="000000"/>
                <w:sz w:val="24"/>
                <w:szCs w:val="24"/>
              </w:rPr>
              <w:t>II级：</w:t>
            </w:r>
            <w:r>
              <w:rPr>
                <w:rFonts w:hint="eastAsia" w:ascii="宋体" w:hAnsi="宋体" w:eastAsia="宋体" w:cs="宋体"/>
                <w:color w:val="000000"/>
                <w:sz w:val="24"/>
                <w:szCs w:val="24"/>
              </w:rPr>
              <w:t>属于严重问题；其具体现象为：出现部分部件失效、系统性能下降但能正常运行，不影响正常业务运作。</w:t>
            </w:r>
          </w:p>
        </w:tc>
        <w:tc>
          <w:tcPr>
            <w:tcW w:w="2410" w:type="dxa"/>
            <w:tcBorders>
              <w:top w:val="nil"/>
              <w:left w:val="nil"/>
              <w:bottom w:val="single" w:color="auto" w:sz="4" w:space="0"/>
              <w:right w:val="single" w:color="auto" w:sz="4" w:space="0"/>
              <w:tl2br w:val="nil"/>
              <w:tr2bl w:val="nil"/>
            </w:tcBorders>
            <w:noWrap w:val="0"/>
            <w:vAlign w:val="center"/>
          </w:tcPr>
          <w:p w14:paraId="013F30B8">
            <w:pPr>
              <w:adjustRightInd w:val="0"/>
              <w:rPr>
                <w:rFonts w:hint="eastAsia" w:ascii="宋体" w:hAnsi="宋体" w:eastAsia="宋体" w:cs="宋体"/>
                <w:color w:val="000000"/>
                <w:sz w:val="24"/>
                <w:szCs w:val="24"/>
              </w:rPr>
            </w:pPr>
            <w:r>
              <w:rPr>
                <w:rFonts w:hint="eastAsia" w:ascii="宋体" w:hAnsi="宋体" w:eastAsia="宋体" w:cs="宋体"/>
                <w:color w:val="000000"/>
                <w:sz w:val="24"/>
                <w:szCs w:val="24"/>
              </w:rPr>
              <w:t>1小时，2小时内提交处理方案</w:t>
            </w:r>
          </w:p>
        </w:tc>
        <w:tc>
          <w:tcPr>
            <w:tcW w:w="1892" w:type="dxa"/>
            <w:tcBorders>
              <w:top w:val="nil"/>
              <w:left w:val="nil"/>
              <w:bottom w:val="single" w:color="auto" w:sz="4" w:space="0"/>
              <w:right w:val="single" w:color="auto" w:sz="4" w:space="0"/>
              <w:tl2br w:val="nil"/>
              <w:tr2bl w:val="nil"/>
            </w:tcBorders>
            <w:noWrap w:val="0"/>
            <w:vAlign w:val="center"/>
          </w:tcPr>
          <w:p w14:paraId="30414855">
            <w:pPr>
              <w:adjustRightInd w:val="0"/>
              <w:ind w:hanging="17"/>
              <w:jc w:val="center"/>
              <w:rPr>
                <w:rFonts w:hint="eastAsia" w:ascii="宋体" w:hAnsi="宋体" w:eastAsia="宋体" w:cs="宋体"/>
                <w:color w:val="000000"/>
                <w:sz w:val="24"/>
                <w:szCs w:val="24"/>
              </w:rPr>
            </w:pPr>
            <w:r>
              <w:rPr>
                <w:rFonts w:hint="eastAsia" w:ascii="宋体" w:hAnsi="宋体" w:eastAsia="宋体" w:cs="宋体"/>
                <w:color w:val="000000"/>
                <w:sz w:val="24"/>
                <w:szCs w:val="24"/>
              </w:rPr>
              <w:t>24小时以内</w:t>
            </w:r>
          </w:p>
        </w:tc>
      </w:tr>
      <w:tr w14:paraId="77055C34">
        <w:tblPrEx>
          <w:tblCellMar>
            <w:top w:w="0" w:type="dxa"/>
            <w:left w:w="108" w:type="dxa"/>
            <w:bottom w:w="0" w:type="dxa"/>
            <w:right w:w="108" w:type="dxa"/>
          </w:tblCellMar>
        </w:tblPrEx>
        <w:trPr>
          <w:trHeight w:val="558" w:hRule="atLeast"/>
          <w:jc w:val="center"/>
        </w:trPr>
        <w:tc>
          <w:tcPr>
            <w:tcW w:w="3964" w:type="dxa"/>
            <w:tcBorders>
              <w:top w:val="nil"/>
              <w:left w:val="single" w:color="auto" w:sz="4" w:space="0"/>
              <w:bottom w:val="single" w:color="auto" w:sz="4" w:space="0"/>
              <w:right w:val="single" w:color="auto" w:sz="4" w:space="0"/>
              <w:tl2br w:val="nil"/>
              <w:tr2bl w:val="nil"/>
            </w:tcBorders>
            <w:noWrap w:val="0"/>
            <w:vAlign w:val="center"/>
          </w:tcPr>
          <w:p w14:paraId="0839B61C">
            <w:pPr>
              <w:widowControl/>
              <w:adjustRightInd w:val="0"/>
              <w:jc w:val="left"/>
              <w:rPr>
                <w:rFonts w:hint="eastAsia" w:ascii="宋体" w:hAnsi="宋体" w:eastAsia="宋体" w:cs="宋体"/>
                <w:color w:val="000000"/>
                <w:sz w:val="24"/>
                <w:szCs w:val="24"/>
              </w:rPr>
            </w:pPr>
            <w:r>
              <w:rPr>
                <w:rFonts w:hint="eastAsia" w:ascii="宋体" w:hAnsi="宋体" w:eastAsia="宋体" w:cs="宋体"/>
                <w:b/>
                <w:color w:val="000000"/>
                <w:sz w:val="24"/>
                <w:szCs w:val="24"/>
              </w:rPr>
              <w:t>III级：</w:t>
            </w:r>
            <w:r>
              <w:rPr>
                <w:rFonts w:hint="eastAsia" w:ascii="宋体" w:hAnsi="宋体" w:eastAsia="宋体" w:cs="宋体"/>
                <w:color w:val="000000"/>
                <w:sz w:val="24"/>
                <w:szCs w:val="24"/>
              </w:rPr>
              <w:t>属于较严重问题；其具体现象为：出现系统报错或警告，但业务系统能继续运行且性能不受影响。</w:t>
            </w:r>
          </w:p>
        </w:tc>
        <w:tc>
          <w:tcPr>
            <w:tcW w:w="2410" w:type="dxa"/>
            <w:tcBorders>
              <w:top w:val="nil"/>
              <w:left w:val="nil"/>
              <w:bottom w:val="single" w:color="auto" w:sz="4" w:space="0"/>
              <w:right w:val="single" w:color="auto" w:sz="4" w:space="0"/>
              <w:tl2br w:val="nil"/>
              <w:tr2bl w:val="nil"/>
            </w:tcBorders>
            <w:noWrap w:val="0"/>
            <w:vAlign w:val="center"/>
          </w:tcPr>
          <w:p w14:paraId="09C1CC9B">
            <w:pPr>
              <w:widowControl/>
              <w:adjustRightInd w:val="0"/>
              <w:jc w:val="left"/>
              <w:rPr>
                <w:rFonts w:hint="eastAsia" w:ascii="宋体" w:hAnsi="宋体" w:eastAsia="宋体" w:cs="宋体"/>
                <w:color w:val="000000"/>
                <w:sz w:val="24"/>
                <w:szCs w:val="24"/>
              </w:rPr>
            </w:pPr>
            <w:r>
              <w:rPr>
                <w:rFonts w:hint="eastAsia" w:ascii="宋体" w:hAnsi="宋体" w:eastAsia="宋体" w:cs="宋体"/>
                <w:color w:val="000000"/>
                <w:sz w:val="24"/>
                <w:szCs w:val="24"/>
              </w:rPr>
              <w:t>1小时，4小时内提交处理方案</w:t>
            </w:r>
          </w:p>
        </w:tc>
        <w:tc>
          <w:tcPr>
            <w:tcW w:w="1892" w:type="dxa"/>
            <w:tcBorders>
              <w:top w:val="nil"/>
              <w:left w:val="nil"/>
              <w:bottom w:val="single" w:color="auto" w:sz="4" w:space="0"/>
              <w:right w:val="single" w:color="auto" w:sz="4" w:space="0"/>
              <w:tl2br w:val="nil"/>
              <w:tr2bl w:val="nil"/>
            </w:tcBorders>
            <w:noWrap w:val="0"/>
            <w:vAlign w:val="center"/>
          </w:tcPr>
          <w:p w14:paraId="58771921">
            <w:pPr>
              <w:adjustRightInd w:val="0"/>
              <w:ind w:hanging="17"/>
              <w:jc w:val="center"/>
              <w:rPr>
                <w:rFonts w:hint="eastAsia" w:ascii="宋体" w:hAnsi="宋体" w:eastAsia="宋体" w:cs="宋体"/>
                <w:color w:val="000000"/>
                <w:sz w:val="24"/>
                <w:szCs w:val="24"/>
              </w:rPr>
            </w:pPr>
            <w:r>
              <w:rPr>
                <w:rFonts w:hint="eastAsia" w:ascii="宋体" w:hAnsi="宋体" w:eastAsia="宋体" w:cs="宋体"/>
                <w:color w:val="000000"/>
                <w:sz w:val="24"/>
                <w:szCs w:val="24"/>
              </w:rPr>
              <w:t>48小时以内</w:t>
            </w:r>
          </w:p>
        </w:tc>
      </w:tr>
      <w:tr w14:paraId="4ECD4237">
        <w:tblPrEx>
          <w:tblCellMar>
            <w:top w:w="0" w:type="dxa"/>
            <w:left w:w="108" w:type="dxa"/>
            <w:bottom w:w="0" w:type="dxa"/>
            <w:right w:w="108" w:type="dxa"/>
          </w:tblCellMar>
        </w:tblPrEx>
        <w:trPr>
          <w:trHeight w:val="302" w:hRule="atLeast"/>
          <w:jc w:val="center"/>
        </w:trPr>
        <w:tc>
          <w:tcPr>
            <w:tcW w:w="3964" w:type="dxa"/>
            <w:tcBorders>
              <w:top w:val="nil"/>
              <w:left w:val="single" w:color="auto" w:sz="4" w:space="0"/>
              <w:bottom w:val="single" w:color="auto" w:sz="4" w:space="0"/>
              <w:right w:val="single" w:color="auto" w:sz="4" w:space="0"/>
              <w:tl2br w:val="nil"/>
              <w:tr2bl w:val="nil"/>
            </w:tcBorders>
            <w:noWrap w:val="0"/>
            <w:vAlign w:val="center"/>
          </w:tcPr>
          <w:p w14:paraId="23A2D8D8">
            <w:pPr>
              <w:widowControl/>
              <w:adjustRightInd w:val="0"/>
              <w:jc w:val="left"/>
              <w:rPr>
                <w:rFonts w:hint="eastAsia" w:ascii="宋体" w:hAnsi="宋体" w:eastAsia="宋体" w:cs="宋体"/>
                <w:color w:val="000000"/>
                <w:sz w:val="24"/>
                <w:szCs w:val="24"/>
              </w:rPr>
            </w:pPr>
            <w:r>
              <w:rPr>
                <w:rFonts w:hint="eastAsia" w:ascii="宋体" w:hAnsi="宋体" w:eastAsia="宋体" w:cs="宋体"/>
                <w:b/>
                <w:color w:val="000000"/>
                <w:sz w:val="24"/>
                <w:szCs w:val="24"/>
              </w:rPr>
              <w:t>IV级：</w:t>
            </w:r>
            <w:r>
              <w:rPr>
                <w:rFonts w:hint="eastAsia" w:ascii="宋体" w:hAnsi="宋体" w:eastAsia="宋体" w:cs="宋体"/>
                <w:color w:val="000000"/>
                <w:sz w:val="24"/>
                <w:szCs w:val="24"/>
              </w:rPr>
              <w:t>属于普通问题；其具体现象为：系统技术功能、安装或配置咨询，或其他显然不影响业务的预约服务。</w:t>
            </w:r>
          </w:p>
        </w:tc>
        <w:tc>
          <w:tcPr>
            <w:tcW w:w="2410" w:type="dxa"/>
            <w:tcBorders>
              <w:top w:val="nil"/>
              <w:left w:val="nil"/>
              <w:bottom w:val="single" w:color="auto" w:sz="4" w:space="0"/>
              <w:right w:val="single" w:color="auto" w:sz="4" w:space="0"/>
              <w:tl2br w:val="nil"/>
              <w:tr2bl w:val="nil"/>
            </w:tcBorders>
            <w:noWrap w:val="0"/>
            <w:vAlign w:val="center"/>
          </w:tcPr>
          <w:p w14:paraId="4F69004A">
            <w:pPr>
              <w:widowControl/>
              <w:adjustRightInd w:val="0"/>
              <w:jc w:val="left"/>
              <w:rPr>
                <w:rFonts w:hint="eastAsia" w:ascii="宋体" w:hAnsi="宋体" w:eastAsia="宋体" w:cs="宋体"/>
                <w:color w:val="000000"/>
                <w:sz w:val="24"/>
                <w:szCs w:val="24"/>
              </w:rPr>
            </w:pPr>
            <w:r>
              <w:rPr>
                <w:rFonts w:hint="eastAsia" w:ascii="宋体" w:hAnsi="宋体" w:eastAsia="宋体" w:cs="宋体"/>
                <w:color w:val="000000"/>
                <w:sz w:val="24"/>
                <w:szCs w:val="24"/>
              </w:rPr>
              <w:t>1小时，8小时内提交处理方案</w:t>
            </w:r>
          </w:p>
        </w:tc>
        <w:tc>
          <w:tcPr>
            <w:tcW w:w="1892" w:type="dxa"/>
            <w:tcBorders>
              <w:top w:val="nil"/>
              <w:left w:val="nil"/>
              <w:bottom w:val="single" w:color="auto" w:sz="4" w:space="0"/>
              <w:right w:val="single" w:color="auto" w:sz="4" w:space="0"/>
              <w:tl2br w:val="nil"/>
              <w:tr2bl w:val="nil"/>
            </w:tcBorders>
            <w:noWrap w:val="0"/>
            <w:vAlign w:val="center"/>
          </w:tcPr>
          <w:p w14:paraId="4B929E7A">
            <w:pPr>
              <w:adjustRightInd w:val="0"/>
              <w:ind w:hanging="17"/>
              <w:jc w:val="center"/>
              <w:rPr>
                <w:rFonts w:hint="eastAsia" w:ascii="宋体" w:hAnsi="宋体" w:eastAsia="宋体" w:cs="宋体"/>
                <w:color w:val="000000"/>
                <w:sz w:val="24"/>
                <w:szCs w:val="24"/>
              </w:rPr>
            </w:pPr>
            <w:r>
              <w:rPr>
                <w:rFonts w:hint="eastAsia" w:ascii="宋体" w:hAnsi="宋体" w:eastAsia="宋体" w:cs="宋体"/>
                <w:color w:val="000000"/>
                <w:sz w:val="24"/>
                <w:szCs w:val="24"/>
              </w:rPr>
              <w:t>5天内</w:t>
            </w:r>
          </w:p>
        </w:tc>
      </w:tr>
    </w:tbl>
    <w:p w14:paraId="66A7EA5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2" w:name="_Toc27002"/>
      <w:r>
        <w:rPr>
          <w:rFonts w:hint="eastAsia" w:ascii="宋体" w:hAnsi="宋体" w:eastAsia="宋体" w:cs="宋体"/>
          <w:sz w:val="28"/>
          <w:szCs w:val="28"/>
          <w:lang w:val="en-US" w:eastAsia="zh-CN"/>
        </w:rPr>
        <w:t>2.2具体服务范围</w:t>
      </w:r>
      <w:bookmarkEnd w:id="2"/>
    </w:p>
    <w:p w14:paraId="15079D8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2023年三亚市省统一无纸化办公平台共计接入180家单位，其中111家全流程单位、69家单点接入单。</w:t>
      </w:r>
    </w:p>
    <w:p w14:paraId="3164448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4"/>
          <w:szCs w:val="24"/>
          <w:lang w:val="en-US" w:eastAsia="zh-CN"/>
        </w:rPr>
        <w:br w:type="page"/>
      </w:r>
      <w:r>
        <w:rPr>
          <w:rFonts w:hint="eastAsia" w:ascii="宋体" w:hAnsi="宋体" w:eastAsia="宋体" w:cs="宋体"/>
          <w:sz w:val="28"/>
          <w:szCs w:val="28"/>
          <w:lang w:val="en-US" w:eastAsia="zh-CN"/>
        </w:rPr>
        <w:t>全流程接入单位清单（111家）如下：</w:t>
      </w:r>
    </w:p>
    <w:tbl>
      <w:tblPr>
        <w:tblStyle w:val="6"/>
        <w:tblW w:w="805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1752"/>
        <w:gridCol w:w="3191"/>
        <w:gridCol w:w="2027"/>
      </w:tblGrid>
      <w:tr w14:paraId="72D38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14:paraId="56CE957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752" w:type="dxa"/>
            <w:tcBorders>
              <w:top w:val="single" w:color="000000" w:sz="4" w:space="0"/>
              <w:left w:val="single" w:color="000000" w:sz="4" w:space="0"/>
              <w:bottom w:val="single" w:color="000000" w:sz="4" w:space="0"/>
              <w:right w:val="single" w:color="000000" w:sz="4" w:space="0"/>
            </w:tcBorders>
            <w:noWrap w:val="0"/>
            <w:vAlign w:val="center"/>
          </w:tcPr>
          <w:p w14:paraId="644E9DE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单位类别所属</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BC88D9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单位名称</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0E602C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单位办文性质</w:t>
            </w:r>
          </w:p>
        </w:tc>
      </w:tr>
      <w:tr w14:paraId="0942C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A72E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5196E6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901FE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中共三亚市委常委会办公室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642BD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EAA8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D612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18F69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7D09B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中共三亚市委外事工作委员会办公室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28BF7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075F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04F4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7F202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9AA50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中共三亚市委精神文明建设和爱国卫生运动委员会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24114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339A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2A7D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BF94D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1CFE7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中共三亚市军民融合发展委员会办公室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D0DD0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0B9D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7FED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2E2BAC">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688F0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中共三亚市委政策研究室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DE551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24A1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5152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BF73E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F8CF4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三亚市机构编制委员会办公室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04595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C72E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D0FC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B7433A">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28631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中共三亚市委组织部</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34A03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4E47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9585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9AE4A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92DDE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中共三亚市委宣传部</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B4E69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34CE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42EC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D9D09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3CE5B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中共三亚市委统一战线工作部</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A6554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E52F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059B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F948B6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662B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中共三亚市委社会工作部</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0C642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5616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41CF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0A22C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17083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中共三亚市委网络安全和信息化委员会办公室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6D324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744D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9D3B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D61FC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5E10A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三亚市文学艺术界联合会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52173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DD13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70C6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04D25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E71F2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中共三亚市委政法委员会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85AE9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5EA8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5A57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11B81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BF560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三亚市机关事务管理服务中心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E3D23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5CE3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C168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015C3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042F9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中共三亚市直属机关工作委员会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21F12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1933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D93A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9DD60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86BC5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三亚市“制度执行年”行动工作领导小组办公室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03667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923B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B2BE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D6C99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4A33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三亚市委主题教育领导小组办公室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BABE8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6704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7BF3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5D741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D7395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三亚市接待办公室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E565D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344B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640B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752" w:type="dxa"/>
            <w:tcBorders>
              <w:top w:val="single" w:color="000000" w:sz="4" w:space="0"/>
              <w:left w:val="single" w:color="000000" w:sz="4" w:space="0"/>
              <w:bottom w:val="single" w:color="000000" w:sz="4" w:space="0"/>
              <w:right w:val="single" w:color="000000" w:sz="4" w:space="0"/>
            </w:tcBorders>
            <w:noWrap w:val="0"/>
            <w:vAlign w:val="center"/>
          </w:tcPr>
          <w:p w14:paraId="0613D3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市政协工作部门</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C06B7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三亚市政协办公室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3A856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7589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6FB6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752" w:type="dxa"/>
            <w:tcBorders>
              <w:top w:val="single" w:color="000000" w:sz="4" w:space="0"/>
              <w:left w:val="single" w:color="000000" w:sz="4" w:space="0"/>
              <w:bottom w:val="single" w:color="000000" w:sz="4" w:space="0"/>
              <w:right w:val="single" w:color="000000" w:sz="4" w:space="0"/>
            </w:tcBorders>
            <w:noWrap w:val="0"/>
            <w:vAlign w:val="center"/>
          </w:tcPr>
          <w:p w14:paraId="7532AD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市人大常委会工作部门</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E4698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三亚市人大常委会办公室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4B88B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5B42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72E3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1E99D4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三亚市人民政府</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8D2BC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三亚市人民政府办公室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0D0DC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0638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5103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EB13EC">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2B894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三亚市12345政府服务热线管理办公室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F78EA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523B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9418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3323A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51D29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三亚市发展和改革委员会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E1700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BF5D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AEB1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71CA49">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A915D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三亚市旅游和文化广电体育局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294D9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EA76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028E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F5EEC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97FFB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三亚市图书馆</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A7F16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BDC0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F612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8A9AD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3A891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三亚市群众艺术馆</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74FD2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77C0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18A2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BE2F4C">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3CC41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三亚市生态环境局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F996C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E1D2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0C07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65747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A07D8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三亚市农业农村局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A5DB3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0562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8A4D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56A62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43214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三亚市自然资源和规划局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DDB2A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B4AB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3F20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4A494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59066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三亚市科学技术和工业信息化局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25B7B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98FD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FD2D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35340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58F8B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三亚市党政综合网络信息中心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3D364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6DA0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D2E0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13446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C2B0B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三亚市商务局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5C62A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250E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3C35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3A08D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A25D5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三亚市财政局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231F4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5E96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59D1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C1408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E171C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三亚市金融发展局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472BE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5F4F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57AE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26E25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DA77F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三亚市人力资源和社会保障局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272B0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0BA5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BB3B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88E28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7864A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三亚市教育局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66524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70E0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C051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DCD31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CAB15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三亚市卫生健康委员会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83CD3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C47B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ED7F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2E583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20D70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三亚市司法局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872FA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EFDA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E202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35C41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11BC8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三亚市民政局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B43FC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4E2A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45CA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5306F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CCBF7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三亚市民族事务局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9EE63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068A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FA90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17B60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CA90E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三亚市住房和城乡建设局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E025A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D295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7C18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F5572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81151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三亚市审计局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BE744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3A1E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9292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97EBF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A0425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三亚市综合执法局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BE22B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E1EC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665B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39EB9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93480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三亚市水务局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00A32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B829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39C8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839BF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44A14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三亚市应急管理局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9E043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DBD7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74F6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4825D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A7FA6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三亚市国有资产监督管理委员会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E4783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91FE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9077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D76C5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E7149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三亚市统计局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F1AD2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A8C5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DBE5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6D93D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9A1A8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三亚市市场监督管理局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EC4DB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E91E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5732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A8455A">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3C2CA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三亚市林业局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F5FFF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062A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7159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DCFFA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9BAFE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三亚市林业科学研究院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BEEA4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4B2B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E77E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9EC8E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C8F5F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三亚市乡村振兴局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4BFA3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B7F5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3D44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755E7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B5EF4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三亚市科技工业发展委员会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EF19F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4968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1614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38E09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62858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三亚市政务服务中心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B3A10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F257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5058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BDBA1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DBBA2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三亚市粮食局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BA9EB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27F9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5B10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47760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6243A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三亚市数字化城管监控中心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69D1A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67BB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1CB5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B3A6E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19EB2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海南大学三亚南繁研究院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00AFB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2456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E390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2743F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7E351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三亚市退役军人事务局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9D5C2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7DE8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D1C7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FC95C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943F5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三亚市供销合作社</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177DC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7870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820F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0CE98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FAD49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三亚市社会保险服务中心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5F437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D1A7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9980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E79FB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97DD7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三亚市土地储备开发中心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BD5BB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5534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2472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2F03F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E156A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9"/>
                <w:rFonts w:hint="eastAsia" w:ascii="宋体" w:hAnsi="宋体" w:eastAsia="宋体" w:cs="宋体"/>
                <w:sz w:val="24"/>
                <w:szCs w:val="24"/>
                <w:lang w:val="en-US" w:eastAsia="zh-CN" w:bidi="ar"/>
              </w:rPr>
              <w:t>2020</w:t>
            </w:r>
            <w:r>
              <w:rPr>
                <w:rFonts w:hint="eastAsia" w:ascii="宋体" w:hAnsi="宋体" w:eastAsia="宋体" w:cs="宋体"/>
                <w:i w:val="0"/>
                <w:iCs w:val="0"/>
                <w:color w:val="000000"/>
                <w:kern w:val="0"/>
                <w:sz w:val="24"/>
                <w:szCs w:val="24"/>
                <w:u w:val="none"/>
                <w:lang w:val="en-US" w:eastAsia="zh-CN" w:bidi="ar"/>
              </w:rPr>
              <w:t>年第六届亚洲沙滩运动会组委会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B9C3C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7927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154F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AFBB5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56EDB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三亚市归国华侨联合会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08C8E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712C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D4D7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DA415A">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3C36E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三亚市投资促进局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285DC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4092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2488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1FB67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A2AA3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三亚中央商务区管理局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D6910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0413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BBF5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98C18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E0B85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三亚市旅游推广局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F5A87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06EC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0F2A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69CDA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A27D7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三亚市流动人口服务管理办公室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B5EF7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2FF7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E35D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846D0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930A6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三亚市自然资源和规划局育才分局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4212C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9F9B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1EF1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1C3F2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03EFF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三亚市土地整理中心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32189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1794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05F9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A6E98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4D26C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三亚市不动产登记中心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F3556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7CB1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247E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4BEE8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F2771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三亚市市政维护应急中心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E12FC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015F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D82C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9C9B1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235DF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三亚市城建档案馆</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5F041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5624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EC32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8D00D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BC01C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三亚市交通局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E8EC9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60C1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569A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385D2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EABBD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三亚市医疗保障局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0E168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06A2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7CED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BA258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0F788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三亚市公共资源交易中心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50488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AA1C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9C92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5A6CC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AE577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第十二届全国少数民族传统体育运动会执行工作委员会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248CA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8E48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5E84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7A527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DA90A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三亚市路灯管理所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494FA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7D33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AFFC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7EA5F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1B839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三亚市建设工程质量安全监督站</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B0D5C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5494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D85B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989F4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345AF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三亚市房屋租赁服务中心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8AF88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52E7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C8E3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0D5879">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A0477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三亚市住房保障管理中心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C9E6B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ED5D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4CEF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18BE7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D516F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三亚市棚户区改造工作领导小组办公室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14DC7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9BB1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9CB9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2C18AC">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ECE76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三亚市地下空间开发利用中心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63709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DCD7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7DCB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43F0A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C9866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三亚市房产信息中心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5A225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4632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C236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AC1E2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15EEC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三亚市房地产交易中心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8CE9D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F1D9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87EF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826FB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36C51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三亚市建设工程检验与房屋安全鉴定中心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17483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ADBD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0FD4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283AB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49E85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三亚市物业信息和白蚂蚁防治中心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5EB64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EF9F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3426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16518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08A30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三亚市档案馆</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6404A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6718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B7B8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18BE6A">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6CDB3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三亚市重大项目推进领导小组办公室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91253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465A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F41C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D6211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36909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三亚市营商环境建设局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5FF16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48F9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93B6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6E912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43364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三亚市三亚林场</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3882D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59AF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CA51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2F36E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8A9B4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三亚市知识产权保护中心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CBC64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3DDE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1473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073520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区管委</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9BF2F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三亚崖州湾科技城管理局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0C56D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236E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F647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2FF83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AD5BF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三亚市现代服务业产业园工作委员会管理委员会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4E089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F399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DB33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CD29CC">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9CBF6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三亚市育才生态区管理委员会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47560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EFE5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1203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3F8007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市公安审判检察机构</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1A766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三亚市人民检察院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E1042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9BA5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E308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28FA7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41DBF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三亚市中级法院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63F24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5E8A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B11A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725B23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双管垂直单位</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4E436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国家统计局三亚调查队</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407DC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8E32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2876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7F487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F806E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三亚市气象局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B4363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D745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4970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7C6C79">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E06CC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三亚海关</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4FE10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F0B1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8B02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7C0291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群众团队、民主党派、工商联</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A3181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三亚市工商联</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A202D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7D20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71C7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CF096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98B36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三亚市总工会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D0123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0F88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D723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0D34E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BE639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三亚市妇女联合会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6593B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194E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0A32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6E752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765B6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三亚市残疾人联合会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5B301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A96B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C446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15490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7E605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中国国际贸易促进委员会三亚市委员会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7A0EC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82F9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21BB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168C8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F5C62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中国民主同盟三亚市委员会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CB14E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802A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18D1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8CF4F9">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09AFB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中国致公党三亚市委员会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3C564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C750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1481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65460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DE86B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台湾民主自治同盟三亚市委员会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1002A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F948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F285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E6D4C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A96F1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中国农工民主党三亚市委员会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BE8AE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ED9A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7891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322B6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108CA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九三学社三亚市委员会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65A81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5817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07C3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CA189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062F8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中国国民党革命委员会三亚市委员会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667FF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FE8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F47B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426E3D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事业单位</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129A7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三亚市大隆水利工程管理局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E3983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D5CE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C1F9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8A054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DA2F0E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三亚市第二人民医院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B9305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bl>
    <w:p w14:paraId="528532E1">
      <w:pPr>
        <w:rPr>
          <w:rFonts w:hint="eastAsia" w:ascii="仿宋" w:hAnsi="仿宋" w:eastAsia="仿宋"/>
          <w:color w:val="000000"/>
          <w:sz w:val="32"/>
          <w:szCs w:val="32"/>
        </w:rPr>
      </w:pPr>
    </w:p>
    <w:p w14:paraId="2B7BF122">
      <w:pPr>
        <w:ind w:firstLine="640" w:firstLineChars="200"/>
        <w:rPr>
          <w:rFonts w:ascii="仿宋" w:hAnsi="仿宋" w:eastAsia="仿宋"/>
          <w:color w:val="000000"/>
          <w:sz w:val="32"/>
          <w:szCs w:val="32"/>
        </w:rPr>
      </w:pPr>
      <w:r>
        <w:rPr>
          <w:rFonts w:ascii="仿宋" w:hAnsi="仿宋" w:eastAsia="仿宋"/>
          <w:color w:val="000000"/>
          <w:sz w:val="32"/>
          <w:szCs w:val="32"/>
        </w:rPr>
        <w:br w:type="page"/>
      </w:r>
    </w:p>
    <w:p w14:paraId="59C33C1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单点单位接入清单（69家）如下：</w:t>
      </w:r>
    </w:p>
    <w:tbl>
      <w:tblPr>
        <w:tblStyle w:val="6"/>
        <w:tblW w:w="868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79"/>
        <w:gridCol w:w="1763"/>
        <w:gridCol w:w="3728"/>
        <w:gridCol w:w="2110"/>
      </w:tblGrid>
      <w:tr w14:paraId="09EAA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14:paraId="757287A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764" w:type="dxa"/>
            <w:tcBorders>
              <w:top w:val="single" w:color="000000" w:sz="4" w:space="0"/>
              <w:left w:val="single" w:color="000000" w:sz="4" w:space="0"/>
              <w:bottom w:val="single" w:color="000000" w:sz="4" w:space="0"/>
              <w:right w:val="single" w:color="000000" w:sz="4" w:space="0"/>
            </w:tcBorders>
            <w:noWrap w:val="0"/>
            <w:vAlign w:val="center"/>
          </w:tcPr>
          <w:p w14:paraId="1742DDE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单位类别所属</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612CDF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单位名称</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2CA4009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单位办文性质</w:t>
            </w:r>
          </w:p>
        </w:tc>
      </w:tr>
      <w:tr w14:paraId="33301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065D9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1764" w:type="dxa"/>
            <w:vMerge w:val="restart"/>
            <w:tcBorders>
              <w:top w:val="single" w:color="000000" w:sz="4" w:space="0"/>
              <w:left w:val="single" w:color="000000" w:sz="4" w:space="0"/>
              <w:bottom w:val="single" w:color="000000" w:sz="4" w:space="0"/>
              <w:right w:val="single" w:color="000000" w:sz="4" w:space="0"/>
            </w:tcBorders>
            <w:noWrap w:val="0"/>
            <w:vAlign w:val="center"/>
          </w:tcPr>
          <w:p w14:paraId="3D7F3A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177F7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中共三亚市委保密和机要局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33F8F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9E93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FB13A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684386">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4D3B7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共青团三亚市委员会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30DF4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89D1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D266F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1E966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F4FDB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三亚市史志工作办公室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C65A1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E6AC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89241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DC289D">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394CBF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中共三亚市委党校</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28D544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7FF5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FE664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AA06C2">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9359B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中共三亚市纪律检查委员会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E22FF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B88D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38DF7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62322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19339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中共三亚市委农村工作领导小组办公室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CE85D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8266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CCB4F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755613">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F6F41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中共三亚市委财经委员会办公室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D092F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D55C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D969D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CEFA2B">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C6A44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中共三亚市委巡察工作领导小组办公室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A4BB2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9962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EAF8E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7898A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E876E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三亚市能力提升建设年暨“查破促”活动办公室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F1608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39F1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7B232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AD2FBA">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F389F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三亚市外事服务中心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1E055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9AF0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32FD7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3039D5">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EBFAB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中共三亚市委防线办公室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EFD0A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A4C0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E2094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12</w:t>
            </w:r>
          </w:p>
        </w:tc>
        <w:tc>
          <w:tcPr>
            <w:tcW w:w="1764" w:type="dxa"/>
            <w:vMerge w:val="restart"/>
            <w:tcBorders>
              <w:top w:val="single" w:color="000000" w:sz="4" w:space="0"/>
              <w:left w:val="single" w:color="000000" w:sz="4" w:space="0"/>
              <w:bottom w:val="single" w:color="000000" w:sz="4" w:space="0"/>
              <w:right w:val="single" w:color="000000" w:sz="4" w:space="0"/>
            </w:tcBorders>
            <w:noWrap w:val="0"/>
            <w:vAlign w:val="center"/>
          </w:tcPr>
          <w:p w14:paraId="1CF4B8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三亚市人民政府</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7B280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三亚市投资促进中心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0E5F9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E354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7F44F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29FBC1">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B29CC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三亚市双拥工作领导小组办公室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87C4E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AFC5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DDB76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E5C7DD">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0FEC4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三亚市国际文化交流中心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014F6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F7B2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03F0F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A4C80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E237D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解放军总医院海南医院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FB060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2D6A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9F9D7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20660E">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95E09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三亚市新型冠状病毒肺炎疫情防控工作指挥部</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1E212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A777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62682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DA6EB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D6992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三亚市军队离休退休干部休养所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F59DE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B689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5A109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8829E3">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66832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三亚市巩固国家卫生城市工作领导小组办公室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209E7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8280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F137C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19</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D7C9D3">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2AEC1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三亚中心医院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85C9C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0574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AA2FC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CDA454">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3033F4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5EC5B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1BC4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6204D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21</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0D44B2">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6A660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三亚市中医院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FA049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C987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09023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F8CE16">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4440C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三亚市妇幼保健院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9F172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ED2C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46E85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4096A8">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DC185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三亚市疾病预防控制中心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59953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C6D1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D0481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83CF4E">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DB7AF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三亚皮肤病与精神卫生防治中心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EC928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9F50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3CF46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CFB2CA">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69A56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三亚市麻风病防治中心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755FB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8F63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30CAF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EAC84A">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3CBE4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三亚医疗紧急救援中心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9546A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6D92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B9706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BCD291">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33F2DD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三亚市育才医院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61BA9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8CA7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06AE5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1A9FFA">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6CBB9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三亚市垃圾处理场</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2DCACE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169C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7A9EF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29</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EA4086">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569A4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三亚市苗圃场</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6478F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55A7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1238C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07F472">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01155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三亚市老区建设促进会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025AD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87D2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CA8BF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31</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D8522A">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28394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三亚崖州科技城开发建设有限公司</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3790B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F1BC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370C5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4641EE">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9D9F5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三亚商务区开发建设有限公司</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AD43A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ADA8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520BE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9B4533">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CACE5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三亚市公安局交通警察支队</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EAF6B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9DC2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CFB9D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34</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1899D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DE7E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国际竹藤中心三亚研究基地</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49D1E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4FDD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4878E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11EF31">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2D51A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三亚口腔医学中心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2D2AA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4FD0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047A3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B4DB24">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55B43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三亚市公共卫生临床中心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21228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C7FB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293C0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37</w:t>
            </w:r>
          </w:p>
        </w:tc>
        <w:tc>
          <w:tcPr>
            <w:tcW w:w="1764"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8A77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市公安审判检察机构</w:t>
            </w: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DC70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三亚市公安局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89410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E293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928C2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38</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4C2833">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BC0F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三亚市城郊人民检察院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ED390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662C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F929F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39</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9674B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89E6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三亚市城郊人民法院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F2213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7C78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916F4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1764"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3B291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双管垂直单位</w:t>
            </w: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18C8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三亚市烟草局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A295F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9873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F2559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41</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96234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F446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三亚市国家安全局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E7158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4097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2754F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42</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10FA19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2036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中国科学院深海科学与工程研究所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2E39E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DC71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8AFEA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43</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886A55">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19F1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三亚供电局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2916B5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DC52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B7C5F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44</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1BF0DB">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6B82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三亚市消防救援支队</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E4757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A57D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79D59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45</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A8BC5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D722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三亚市消防安全委员会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059B4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08A6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BB9C0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46</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B247C4">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DFB3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国家税务总局三亚市税务局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32ABC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A1D3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660F0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47</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78B83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951E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中国人民银行三亚市中心支行</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CC832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47F0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2D603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48</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CFE68DE">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D1DE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三亚海事局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6A70B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6E14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9829A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49</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491678">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EFF7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海南省公安厅海岸警察总队第四支队</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E3042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2552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E8D56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50</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3DD7DB">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7F36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崖州湾国家实验室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DB0F4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F1C0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F1F45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51</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1B315B">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18CD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三亚市邮政管理局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C5E86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3A00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2B212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7DB307">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503C0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中国民用航空三亚安全监督管理局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B7139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0309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2F4D6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53</w:t>
            </w:r>
          </w:p>
        </w:tc>
        <w:tc>
          <w:tcPr>
            <w:tcW w:w="1764"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486B2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群众团队、民主党派、工商联</w:t>
            </w: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5579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三亚市红十字会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172D5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5996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E1AFE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E15F4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A7B68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三亚市科学技术协会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16FDF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7DAB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52F3C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3B6027">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5AD6B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三亚市社会科学界联合会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89473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725C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5A37D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1F3DFD">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F35DA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三亚市台湾同胞联谊会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52779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0C65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6664C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95E14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F0FF4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中国民主促进会三亚市委员会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05B56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038F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FA5CC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A8317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6E5C0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中国国民党革命委员会三亚市委员会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8A5E8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40D5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3472E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59</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4DD198">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A3EDB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中国民主建国会三亚市委员会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6E171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F10F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268CD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60</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DF38C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B7CE0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三亚市信息通信行业管理办公室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8CB6D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116F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22E0F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61</w:t>
            </w:r>
          </w:p>
        </w:tc>
        <w:tc>
          <w:tcPr>
            <w:tcW w:w="1764" w:type="dxa"/>
            <w:vMerge w:val="restart"/>
            <w:tcBorders>
              <w:top w:val="single" w:color="000000" w:sz="4" w:space="0"/>
              <w:left w:val="single" w:color="000000" w:sz="4" w:space="0"/>
              <w:bottom w:val="single" w:color="000000" w:sz="4" w:space="0"/>
              <w:right w:val="single" w:color="000000" w:sz="4" w:space="0"/>
            </w:tcBorders>
            <w:noWrap w:val="0"/>
            <w:vAlign w:val="center"/>
          </w:tcPr>
          <w:p w14:paraId="32D7CF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事业单位</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90C80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三亚市博物馆（旅文局下属）</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2B3417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B095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25C08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81BF08">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676D1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三亚市业余体育学校（旅文局下属）</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22A9DE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3729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41720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639A9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953EB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三亚市半岭水库工程管理处</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12066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3150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38E9A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DDDD9E">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B005F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三亚市赤田水库供水灌溉工程管理处</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CF739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2D3A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4D278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26CE27">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2D36B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三亚市水源池水库工程管理处</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3DEAD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A1E5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B8721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2D983B">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972B5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三亚市汤他水利水电工程管理处</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470DD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35D5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167C4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F26E2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EE8F5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空中交通局三亚空管站</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83FB4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BB98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43C70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14D9F7">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F3226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三亚中国农业科学院国家南繁研究院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7A1FC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54D2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A5A90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69</w:t>
            </w:r>
          </w:p>
        </w:tc>
        <w:tc>
          <w:tcPr>
            <w:tcW w:w="1764" w:type="dxa"/>
            <w:tcBorders>
              <w:top w:val="single" w:color="000000" w:sz="4" w:space="0"/>
              <w:left w:val="single" w:color="000000" w:sz="4" w:space="0"/>
              <w:bottom w:val="single" w:color="000000" w:sz="4" w:space="0"/>
              <w:right w:val="single" w:color="000000" w:sz="4" w:space="0"/>
            </w:tcBorders>
            <w:noWrap w:val="0"/>
            <w:vAlign w:val="center"/>
          </w:tcPr>
          <w:p w14:paraId="605E40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教育厅省管事业单位</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ABAB7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海南热带海洋学院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628D8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bl>
    <w:p w14:paraId="55B49FC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p>
    <w:p w14:paraId="32246EE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3" w:name="_Toc20922"/>
      <w:r>
        <w:rPr>
          <w:rFonts w:hint="eastAsia" w:ascii="宋体" w:hAnsi="宋体" w:eastAsia="宋体" w:cs="宋体"/>
          <w:sz w:val="28"/>
          <w:szCs w:val="28"/>
          <w:lang w:val="en-US" w:eastAsia="zh-CN"/>
        </w:rPr>
        <w:t>2.3服务要求</w:t>
      </w:r>
      <w:bookmarkEnd w:id="3"/>
    </w:p>
    <w:p w14:paraId="708A39E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4" w:name="_Toc18626"/>
      <w:r>
        <w:rPr>
          <w:rFonts w:hint="eastAsia" w:ascii="宋体" w:hAnsi="宋体" w:eastAsia="宋体" w:cs="宋体"/>
          <w:sz w:val="28"/>
          <w:szCs w:val="28"/>
          <w:lang w:val="en-US" w:eastAsia="zh-CN"/>
        </w:rPr>
        <w:t>2.3.1服务流程</w:t>
      </w:r>
      <w:bookmarkEnd w:id="4"/>
    </w:p>
    <w:p w14:paraId="2E8D853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运维服务主要包括两个流程：一种为技术人员值守服务，另一种是定期巡检结合故障现场服务。</w:t>
      </w:r>
    </w:p>
    <w:p w14:paraId="1365404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一、技术人员值守运行维护服务的基本操作流程如下图所示：</w:t>
      </w:r>
    </w:p>
    <w:p w14:paraId="1120465A">
      <w:pPr>
        <w:pStyle w:val="2"/>
        <w:jc w:val="center"/>
        <w:rPr>
          <w:color w:val="000000"/>
        </w:rPr>
      </w:pPr>
      <w:bookmarkStart w:id="5" w:name="OLE_LINK2"/>
      <w:bookmarkStart w:id="6" w:name="OLE_LINK3"/>
      <w:r>
        <w:rPr>
          <w:color w:val="000000"/>
        </w:rPr>
        <w:object>
          <v:shape id="_x0000_i1025" o:spt="75" type="#_x0000_t75" style="height:604.5pt;width:324.75pt;" o:ole="t" filled="f" o:preferrelative="t" stroked="f" coordsize="21600,21600">
            <v:path/>
            <v:fill on="f" focussize="0,0"/>
            <v:stroke on="f" joinstyle="miter"/>
            <v:imagedata r:id="rId7" o:title=""/>
            <o:lock v:ext="edit" aspectratio="t"/>
            <w10:wrap type="none"/>
            <w10:anchorlock/>
          </v:shape>
          <o:OLEObject Type="Embed" ProgID="Visio.Drawing.11" ShapeID="_x0000_i1025" DrawAspect="Content" ObjectID="_1468075725" r:id="rId6">
            <o:LockedField>false</o:LockedField>
          </o:OLEObject>
        </w:object>
      </w:r>
      <w:bookmarkEnd w:id="5"/>
      <w:bookmarkEnd w:id="6"/>
    </w:p>
    <w:p w14:paraId="0A615E1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二、定期巡检结合故障现场运行维护服务的基本操作流程如下图所示：</w:t>
      </w:r>
    </w:p>
    <w:p w14:paraId="3387A5A9">
      <w:pPr>
        <w:spacing w:line="360" w:lineRule="auto"/>
        <w:jc w:val="center"/>
        <w:rPr>
          <w:rFonts w:ascii="Times New Roman" w:hAnsi="Times New Roman"/>
          <w:color w:val="000000"/>
        </w:rPr>
      </w:pPr>
      <w:r>
        <w:rPr>
          <w:rFonts w:ascii="Times New Roman" w:hAnsi="Times New Roman"/>
          <w:color w:val="000000"/>
        </w:rPr>
        <w:object>
          <v:shape id="_x0000_i1026" o:spt="75" type="#_x0000_t75" style="height:373.5pt;width:358.5pt;" o:ole="t" filled="f" o:preferrelative="t" stroked="f" coordsize="21600,21600">
            <v:path/>
            <v:fill on="f" focussize="0,0"/>
            <v:stroke on="f" joinstyle="miter"/>
            <v:imagedata r:id="rId9" o:title=""/>
            <o:lock v:ext="edit" aspectratio="t"/>
            <w10:wrap type="none"/>
            <w10:anchorlock/>
          </v:shape>
          <o:OLEObject Type="Embed" ProgID="Visio.Drawing.11" ShapeID="_x0000_i1026" DrawAspect="Content" ObjectID="_1468075726" r:id="rId8">
            <o:LockedField>false</o:LockedField>
          </o:OLEObject>
        </w:object>
      </w:r>
    </w:p>
    <w:p w14:paraId="4A60DB44">
      <w:pPr>
        <w:spacing w:line="360" w:lineRule="auto"/>
        <w:jc w:val="center"/>
        <w:rPr>
          <w:rFonts w:ascii="仿宋" w:hAnsi="仿宋" w:eastAsia="仿宋"/>
          <w:sz w:val="32"/>
          <w:szCs w:val="32"/>
        </w:rPr>
      </w:pPr>
    </w:p>
    <w:p w14:paraId="634F25D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7" w:name="_Toc6399"/>
      <w:r>
        <w:rPr>
          <w:rFonts w:hint="eastAsia" w:ascii="宋体" w:hAnsi="宋体" w:eastAsia="宋体" w:cs="宋体"/>
          <w:sz w:val="28"/>
          <w:szCs w:val="28"/>
          <w:lang w:val="en-US" w:eastAsia="zh-CN"/>
        </w:rPr>
        <w:t>2.3.2</w:t>
      </w:r>
      <w:bookmarkEnd w:id="7"/>
      <w:r>
        <w:rPr>
          <w:rFonts w:hint="eastAsia" w:ascii="宋体" w:hAnsi="宋体" w:eastAsia="宋体" w:cs="宋体"/>
          <w:sz w:val="28"/>
          <w:szCs w:val="28"/>
          <w:lang w:val="en-US" w:eastAsia="zh-CN"/>
        </w:rPr>
        <w:t>服务行为管理</w:t>
      </w:r>
    </w:p>
    <w:p w14:paraId="4EF12FB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技术支持人员在解决故障时，会最大限度保护好数据，做好故障恢复的文档，力争恢复到故障点前的业务状态。对于“系统瘫痪，业务系统不能运转”的故障级别，如果不能于12小时内解决故障，应在16小时内提出应急方案，确保业务系统的运行。故障解决后24小时内，提交故障处理报告。说明故障种类、故障原因、故障解决中使用的方法及故障损失等情况。</w:t>
      </w:r>
    </w:p>
    <w:p w14:paraId="1E6CEF2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8" w:name="_Toc31292"/>
      <w:r>
        <w:rPr>
          <w:rFonts w:hint="eastAsia" w:ascii="宋体" w:hAnsi="宋体" w:eastAsia="宋体" w:cs="宋体"/>
          <w:sz w:val="28"/>
          <w:szCs w:val="28"/>
          <w:lang w:val="en-US" w:eastAsia="zh-CN"/>
        </w:rPr>
        <w:t>2.3.3服务</w:t>
      </w:r>
      <w:bookmarkEnd w:id="8"/>
      <w:r>
        <w:rPr>
          <w:rFonts w:hint="eastAsia" w:ascii="宋体" w:hAnsi="宋体" w:eastAsia="宋体" w:cs="宋体"/>
          <w:sz w:val="28"/>
          <w:szCs w:val="28"/>
          <w:lang w:val="en-US" w:eastAsia="zh-CN"/>
        </w:rPr>
        <w:t>规范</w:t>
      </w:r>
    </w:p>
    <w:p w14:paraId="47FF44F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1.遵守最终用户的各项规章制度，严格按用户相应的规章制度办事。</w:t>
      </w:r>
    </w:p>
    <w:p w14:paraId="1E92BD3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2.与其他部门和环节协同工作，密切配合，共同开展技术支持工作。</w:t>
      </w:r>
    </w:p>
    <w:p w14:paraId="60BA447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3.出现疑难技术、业务问题和重大紧急情况时，及时向负责人报告。</w:t>
      </w:r>
    </w:p>
    <w:p w14:paraId="784C637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4.技术支持时要文明礼貌，语言清晰明了，语气和善。</w:t>
      </w:r>
    </w:p>
    <w:p w14:paraId="55BA596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5.遵守保密原则。对被支持单位的网络、主机、系统软件、应用软件等的密码、核心参数、业务数据等负有保密责任，不得随意复制和传播。</w:t>
      </w:r>
    </w:p>
    <w:p w14:paraId="20696DA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bookmarkStart w:id="9" w:name="_Toc19160"/>
      <w:r>
        <w:rPr>
          <w:rFonts w:hint="eastAsia" w:ascii="宋体" w:hAnsi="宋体" w:eastAsia="宋体" w:cs="宋体"/>
          <w:sz w:val="28"/>
          <w:szCs w:val="28"/>
          <w:lang w:val="en-US" w:eastAsia="zh-CN"/>
        </w:rPr>
        <w:t>2.3.4服务</w:t>
      </w:r>
      <w:bookmarkEnd w:id="9"/>
      <w:r>
        <w:rPr>
          <w:rFonts w:hint="eastAsia" w:ascii="宋体" w:hAnsi="宋体" w:eastAsia="宋体" w:cs="宋体"/>
          <w:sz w:val="28"/>
          <w:szCs w:val="28"/>
          <w:lang w:val="en-US" w:eastAsia="zh-CN"/>
        </w:rPr>
        <w:t>问题记录</w:t>
      </w:r>
    </w:p>
    <w:p w14:paraId="6CBEB08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使用人员提出问题的类别，将问题分为咨询类问题和系统缺陷类问题二类：咨询类问题是指通过服务热线或现场解疑等方式能够当场解决用户提出的问题，具有问题解答直接、快速和实时的特点，该问题到现场支持人员处即可中止，对于该类问题的记录可使用咨询类问题记录模版进行记录。系统缺陷类问题是指使用人员提出的问题涉及到系统相应环节的确认修改，需要经过逐级提交、诊断、确认、处理和回复等环节，问题有解决方案后，将解决方案反馈给最终用户。具体提交流程如下：</w:t>
      </w:r>
    </w:p>
    <w:p w14:paraId="65F6BB4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1.问题提交。应用信息系统的应用用户发现属于系统缺陷类的问题时，填写系统缺陷类问题提交单，提交服务支持单位。</w:t>
      </w:r>
    </w:p>
    <w:p w14:paraId="1840AA2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问题分析。服务单位接到用户提交的问题单，要组织相应人员对问题单中描述的问题进行分析研判，确定问题的类型(技术问题、业务问题或者操作问题)。属于技术问题，提交服务中心技术人员对存在的问题提出具体的处理意见和建议；属于业务问题，提交服务中心业务人员进行处理；属于操作问题，可安排相关人员对问题提出人进行解释，并将系统缺陷类问题提交单转为系统咨询类问题提交单。</w:t>
      </w:r>
    </w:p>
    <w:p w14:paraId="574FC1A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问题确认、解决。服务中心的技术人员和业务人员收到系统缺陷类问题提交单后，对提交的问题进行归类汇总和分析、确认。可以解决的，明确问题解决的具体处理建议和措施，经主管领导签字同意后，交实施人员进行解决方案的实施。服务人员确认是否解决，并将解决方法附在系统缺陷类问题提交单上反馈给问题提出人员。</w:t>
      </w:r>
    </w:p>
    <w:p w14:paraId="4E570AD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4.问题回复。服务中心根据提交的问题进行分析，制定解决方案并进行实施解决，同时做好变更记录。将解决方案汇总后及时向问题提交单位或问题交办单位做出回复，并将分析过程和问题产生原因一并提交。</w:t>
      </w:r>
    </w:p>
    <w:p w14:paraId="5D8683A0">
      <w:pPr>
        <w:pStyle w:val="2"/>
        <w:ind w:firstLine="420"/>
        <w:rPr>
          <w:rFonts w:ascii="仿宋" w:hAnsi="仿宋" w:eastAsia="仿宋"/>
          <w:sz w:val="32"/>
          <w:szCs w:val="32"/>
        </w:rPr>
      </w:pPr>
    </w:p>
    <w:bookmarkEnd w:id="0"/>
    <w:p w14:paraId="4B1CE7E8">
      <w:pPr>
        <w:spacing w:line="560" w:lineRule="exact"/>
        <w:jc w:val="left"/>
        <w:rPr>
          <w:rFonts w:hint="eastAsia" w:ascii="宋体" w:hAnsi="宋体" w:eastAsia="宋体" w:cs="宋体"/>
          <w:sz w:val="28"/>
          <w:szCs w:val="28"/>
        </w:rPr>
      </w:pPr>
      <w:bookmarkStart w:id="10" w:name="_GoBack"/>
      <w:bookmarkEnd w:id="10"/>
    </w:p>
    <w:p w14:paraId="52931292"/>
    <w:sectPr>
      <w:footerReference r:id="rId3" w:type="default"/>
      <w:footerReference r:id="rId4" w:type="even"/>
      <w:pgSz w:w="11906" w:h="16838"/>
      <w:pgMar w:top="2098" w:right="1474" w:bottom="1985" w:left="1588" w:header="851" w:footer="1588"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F3270">
    <w:pPr>
      <w:pStyle w:val="4"/>
      <w:framePr w:wrap="around" w:vAnchor="text" w:hAnchor="margin" w:xAlign="outside" w:y="1"/>
      <w:rPr>
        <w:rStyle w:val="8"/>
        <w:rFonts w:hint="eastAsia" w:ascii="宋体" w:hAnsi="宋体"/>
        <w:sz w:val="28"/>
        <w:szCs w:val="28"/>
      </w:rPr>
    </w:pPr>
    <w:r>
      <w:rPr>
        <w:rStyle w:val="8"/>
        <w:rFonts w:hint="eastAsia" w:ascii="宋体" w:hAnsi="宋体"/>
        <w:sz w:val="28"/>
        <w:szCs w:val="28"/>
      </w:rPr>
      <w:t xml:space="preserve">— </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29</w:t>
    </w:r>
    <w:r>
      <w:rPr>
        <w:rFonts w:ascii="宋体" w:hAnsi="宋体"/>
        <w:sz w:val="28"/>
        <w:szCs w:val="28"/>
      </w:rPr>
      <w:fldChar w:fldCharType="end"/>
    </w:r>
    <w:r>
      <w:rPr>
        <w:rStyle w:val="8"/>
        <w:rFonts w:hint="eastAsia" w:ascii="宋体" w:hAnsi="宋体"/>
        <w:sz w:val="28"/>
        <w:szCs w:val="28"/>
      </w:rPr>
      <w:t xml:space="preserve"> — </w:t>
    </w:r>
  </w:p>
  <w:p w14:paraId="01F14169">
    <w:pPr>
      <w:pStyle w:val="4"/>
      <w:ind w:right="360" w:firstLine="360"/>
      <w:rPr>
        <w:rFonts w:hint="eastAsia"/>
      </w:rPr>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4248D">
    <w:pPr>
      <w:pStyle w:val="4"/>
      <w:framePr w:wrap="around" w:vAnchor="text" w:hAnchor="margin" w:xAlign="outside" w:y="1"/>
      <w:rPr>
        <w:rStyle w:val="8"/>
        <w:rFonts w:ascii="宋体" w:hAnsi="宋体"/>
        <w:sz w:val="28"/>
        <w:szCs w:val="28"/>
      </w:rPr>
    </w:pPr>
    <w:r>
      <w:rPr>
        <w:rStyle w:val="8"/>
        <w:rFonts w:hint="eastAsia" w:ascii="宋体" w:hAnsi="宋体"/>
        <w:sz w:val="28"/>
        <w:szCs w:val="28"/>
      </w:rPr>
      <w:t xml:space="preserve">— </w:t>
    </w: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28</w:t>
    </w:r>
    <w:r>
      <w:rPr>
        <w:rFonts w:ascii="宋体" w:hAnsi="宋体"/>
        <w:sz w:val="28"/>
        <w:szCs w:val="28"/>
      </w:rPr>
      <w:fldChar w:fldCharType="end"/>
    </w:r>
    <w:r>
      <w:rPr>
        <w:rStyle w:val="8"/>
        <w:rFonts w:hint="eastAsia" w:ascii="宋体" w:hAnsi="宋体"/>
        <w:sz w:val="28"/>
        <w:szCs w:val="28"/>
      </w:rPr>
      <w:t xml:space="preserve"> —</w:t>
    </w:r>
  </w:p>
  <w:p w14:paraId="65E1D2EE">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5B540A"/>
    <w:rsid w:val="0D5B540A"/>
    <w:rsid w:val="19E62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line="360" w:lineRule="auto"/>
    </w:pPr>
    <w:rPr>
      <w:rFonts w:ascii="Times New Roman" w:hAnsi="Times New Roman" w:eastAsia="宋体" w:cs="Times New Roman"/>
      <w:sz w:val="24"/>
      <w:szCs w:val="24"/>
    </w:rPr>
  </w:style>
  <w:style w:type="paragraph" w:styleId="3">
    <w:name w:val="Body Text First Indent 2"/>
    <w:basedOn w:val="1"/>
    <w:next w:val="1"/>
    <w:qFormat/>
    <w:uiPriority w:val="0"/>
    <w:pPr>
      <w:spacing w:line="360" w:lineRule="auto"/>
    </w:pPr>
    <w:rPr>
      <w:rFonts w:ascii="Times New Roman" w:hAnsi="Times New Roman" w:eastAsia="宋体" w:cs="Times New Roman"/>
      <w:sz w:val="24"/>
      <w:szCs w:val="24"/>
    </w:rPr>
  </w:style>
  <w:style w:type="paragraph" w:styleId="4">
    <w:name w:val="footer"/>
    <w:basedOn w:val="1"/>
    <w:uiPriority w:val="99"/>
    <w:pPr>
      <w:tabs>
        <w:tab w:val="center" w:pos="4153"/>
        <w:tab w:val="right" w:pos="8306"/>
      </w:tabs>
      <w:snapToGrid w:val="0"/>
      <w:jc w:val="left"/>
    </w:pPr>
    <w:rPr>
      <w:sz w:val="18"/>
      <w:szCs w:val="18"/>
    </w:rPr>
  </w:style>
  <w:style w:type="paragraph" w:styleId="5">
    <w:name w:val="footnote text"/>
    <w:basedOn w:val="1"/>
    <w:qFormat/>
    <w:uiPriority w:val="0"/>
    <w:pPr>
      <w:snapToGrid w:val="0"/>
      <w:jc w:val="left"/>
    </w:pPr>
    <w:rPr>
      <w:sz w:val="18"/>
      <w:szCs w:val="18"/>
    </w:rPr>
  </w:style>
  <w:style w:type="character" w:styleId="8">
    <w:name w:val="page number"/>
    <w:basedOn w:val="7"/>
    <w:qFormat/>
    <w:uiPriority w:val="0"/>
  </w:style>
  <w:style w:type="character" w:customStyle="1" w:styleId="9">
    <w:name w:val="font4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1078</Words>
  <Characters>1154</Characters>
  <Lines>0</Lines>
  <Paragraphs>0</Paragraphs>
  <TotalTime>0</TotalTime>
  <ScaleCrop>false</ScaleCrop>
  <LinksUpToDate>false</LinksUpToDate>
  <CharactersWithSpaces>1155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2025-09-19T05:07:00Z</dcterms:created>
  <dc:creator>yxmm</dc:creator>
  <cp:lastModifiedBy>yxmm</cp:lastModifiedBy>
  <dcterms:modified xsi:type="dcterms:W3CDTF">2025-09-19T05:19:46Z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4EAB8B94460548F8B4430AC6FAAF3103_11</vt:lpwstr>
  </property>
  <property fmtid="{D5CDD505-2E9C-101B-9397-08002B2CF9AE}" pid="4" name="KSOTemplateDocerSaveRecord">
    <vt:lpwstr>eyJoZGlkIjoiOTEyNmQ0ZTA0Nzk2MzljOGU2N2VhZWU1OTJhNWI0NzUiLCJ1c2VySWQiOiIyMzc2Mjg4NTAifQ==</vt:lpwstr>
  </property>
</Properties>
</file>