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B8C5C0E">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宋体" w:hAnsi="宋体" w:eastAsia="宋体" w:cs="宋体"/>
          <w:color w:val="auto"/>
          <w:sz w:val="21"/>
          <w:szCs w:val="21"/>
          <w:highlight w:val="none"/>
          <w:lang w:val="en-US" w:eastAsia="zh-CN"/>
        </w:rPr>
      </w:pPr>
    </w:p>
    <w:p w14:paraId="026BD1BF">
      <w:pPr>
        <w:spacing w:line="360" w:lineRule="auto"/>
        <w:ind w:firstLine="6630"/>
        <w:outlineLvl w:val="9"/>
        <w:rPr>
          <w:rFonts w:ascii="宋体" w:hAnsi="宋体"/>
          <w:color w:val="auto"/>
          <w:highlight w:val="none"/>
        </w:rPr>
      </w:pPr>
    </w:p>
    <w:p w14:paraId="65FE7905">
      <w:pPr>
        <w:spacing w:line="360" w:lineRule="auto"/>
        <w:ind w:firstLine="6630"/>
        <w:outlineLvl w:val="9"/>
        <w:rPr>
          <w:rFonts w:ascii="宋体" w:hAnsi="宋体"/>
          <w:color w:val="auto"/>
          <w:highlight w:val="none"/>
        </w:rPr>
      </w:pPr>
    </w:p>
    <w:p w14:paraId="570C912A">
      <w:pPr>
        <w:spacing w:line="360" w:lineRule="auto"/>
        <w:ind w:firstLine="6630"/>
        <w:outlineLvl w:val="9"/>
        <w:rPr>
          <w:rFonts w:ascii="宋体" w:hAnsi="宋体"/>
          <w:color w:val="auto"/>
          <w:highlight w:val="none"/>
        </w:rPr>
      </w:pPr>
    </w:p>
    <w:p w14:paraId="4270DC66">
      <w:pPr>
        <w:spacing w:line="360" w:lineRule="auto"/>
        <w:ind w:firstLine="6630"/>
        <w:outlineLvl w:val="9"/>
        <w:rPr>
          <w:rFonts w:ascii="宋体" w:hAnsi="宋体"/>
          <w:color w:val="auto"/>
          <w:highlight w:val="none"/>
        </w:rPr>
      </w:pPr>
    </w:p>
    <w:p w14:paraId="6255A212">
      <w:pPr>
        <w:spacing w:line="360" w:lineRule="auto"/>
        <w:ind w:firstLine="6630"/>
        <w:outlineLvl w:val="9"/>
        <w:rPr>
          <w:rFonts w:ascii="宋体" w:hAnsi="宋体"/>
          <w:color w:val="auto"/>
          <w:highlight w:val="none"/>
        </w:rPr>
      </w:pPr>
    </w:p>
    <w:p w14:paraId="74CD9CFC">
      <w:pPr>
        <w:spacing w:line="360" w:lineRule="auto"/>
        <w:ind w:firstLine="6630"/>
        <w:outlineLvl w:val="9"/>
        <w:rPr>
          <w:rFonts w:ascii="宋体" w:hAnsi="宋体"/>
          <w:color w:val="auto"/>
          <w:highlight w:val="none"/>
        </w:rPr>
      </w:pPr>
    </w:p>
    <w:p w14:paraId="767C376A">
      <w:pPr>
        <w:spacing w:line="360" w:lineRule="auto"/>
        <w:ind w:firstLine="6630"/>
        <w:outlineLvl w:val="9"/>
        <w:rPr>
          <w:rFonts w:ascii="宋体" w:hAnsi="宋体"/>
          <w:color w:val="auto"/>
          <w:highlight w:val="none"/>
        </w:rPr>
      </w:pPr>
    </w:p>
    <w:p w14:paraId="79E55833">
      <w:pPr>
        <w:spacing w:line="360" w:lineRule="auto"/>
        <w:ind w:firstLine="6630"/>
        <w:outlineLvl w:val="9"/>
        <w:rPr>
          <w:rFonts w:ascii="宋体" w:hAnsi="宋体"/>
          <w:color w:val="auto"/>
          <w:highlight w:val="none"/>
        </w:rPr>
      </w:pPr>
    </w:p>
    <w:p w14:paraId="78797EB6">
      <w:pPr>
        <w:spacing w:line="360" w:lineRule="auto"/>
        <w:ind w:firstLine="6630"/>
        <w:outlineLvl w:val="9"/>
        <w:rPr>
          <w:rFonts w:ascii="宋体" w:hAnsi="宋体"/>
          <w:color w:val="auto"/>
          <w:highlight w:val="none"/>
        </w:rPr>
      </w:pPr>
    </w:p>
    <w:p w14:paraId="2C9682CC">
      <w:pPr>
        <w:spacing w:line="360" w:lineRule="auto"/>
        <w:outlineLvl w:val="9"/>
        <w:rPr>
          <w:rFonts w:ascii="宋体" w:hAnsi="宋体"/>
          <w:b/>
          <w:color w:val="auto"/>
          <w:sz w:val="48"/>
          <w:highlight w:val="none"/>
        </w:rPr>
      </w:pPr>
    </w:p>
    <w:p w14:paraId="052F7364">
      <w:pPr>
        <w:spacing w:line="360" w:lineRule="auto"/>
        <w:jc w:val="center"/>
        <w:rPr>
          <w:rFonts w:hint="eastAsia" w:ascii="宋体" w:hAnsi="宋体"/>
          <w:b/>
          <w:color w:val="auto"/>
          <w:sz w:val="48"/>
          <w:highlight w:val="none"/>
        </w:rPr>
      </w:pPr>
      <w:r>
        <w:rPr>
          <w:rFonts w:hint="eastAsia" w:ascii="宋体" w:hAnsi="宋体"/>
          <w:b/>
          <w:color w:val="auto"/>
          <w:sz w:val="48"/>
          <w:highlight w:val="none"/>
          <w:lang w:val="en-US" w:eastAsia="zh-CN"/>
        </w:rPr>
        <w:t>2025-2026年</w:t>
      </w:r>
      <w:r>
        <w:rPr>
          <w:rFonts w:hint="eastAsia" w:ascii="宋体" w:hAnsi="宋体"/>
          <w:b/>
          <w:color w:val="auto"/>
          <w:sz w:val="48"/>
          <w:highlight w:val="none"/>
        </w:rPr>
        <w:t>三亚12345政府服务热线服务外包合同</w:t>
      </w:r>
    </w:p>
    <w:p w14:paraId="7C030B36">
      <w:pPr>
        <w:spacing w:line="360" w:lineRule="auto"/>
        <w:jc w:val="center"/>
        <w:rPr>
          <w:rFonts w:hint="eastAsia" w:ascii="宋体" w:hAnsi="宋体" w:eastAsia="宋体"/>
          <w:b/>
          <w:color w:val="auto"/>
          <w:sz w:val="48"/>
          <w:highlight w:val="none"/>
          <w:lang w:eastAsia="zh-CN"/>
        </w:rPr>
      </w:pPr>
    </w:p>
    <w:p w14:paraId="20D78910">
      <w:pPr>
        <w:spacing w:line="360" w:lineRule="auto"/>
        <w:ind w:firstLine="2310" w:firstLineChars="1100"/>
        <w:rPr>
          <w:rFonts w:ascii="宋体" w:hAnsi="宋体"/>
          <w:color w:val="auto"/>
          <w:highlight w:val="none"/>
        </w:rPr>
      </w:pPr>
    </w:p>
    <w:p w14:paraId="22C9A740">
      <w:pPr>
        <w:spacing w:line="360" w:lineRule="auto"/>
        <w:rPr>
          <w:rFonts w:ascii="宋体" w:hAnsi="宋体"/>
          <w:color w:val="auto"/>
          <w:highlight w:val="none"/>
        </w:rPr>
      </w:pPr>
    </w:p>
    <w:p w14:paraId="32026D74">
      <w:pPr>
        <w:spacing w:line="360" w:lineRule="auto"/>
        <w:rPr>
          <w:rFonts w:ascii="宋体" w:hAnsi="宋体"/>
          <w:color w:val="auto"/>
          <w:highlight w:val="none"/>
        </w:rPr>
      </w:pPr>
    </w:p>
    <w:p w14:paraId="3013DA84">
      <w:pPr>
        <w:spacing w:line="360" w:lineRule="auto"/>
        <w:rPr>
          <w:rFonts w:ascii="宋体" w:hAnsi="宋体"/>
          <w:color w:val="auto"/>
          <w:highlight w:val="none"/>
        </w:rPr>
      </w:pPr>
    </w:p>
    <w:p w14:paraId="2F9AF59E">
      <w:pPr>
        <w:spacing w:line="360" w:lineRule="auto"/>
        <w:rPr>
          <w:rFonts w:ascii="宋体" w:hAnsi="宋体"/>
          <w:color w:val="auto"/>
          <w:highlight w:val="none"/>
        </w:rPr>
      </w:pPr>
    </w:p>
    <w:p w14:paraId="1D81C5FB">
      <w:pPr>
        <w:spacing w:line="360" w:lineRule="auto"/>
        <w:ind w:firstLine="2310" w:firstLineChars="1100"/>
        <w:rPr>
          <w:rFonts w:ascii="宋体" w:hAnsi="宋体"/>
          <w:color w:val="auto"/>
          <w:highlight w:val="none"/>
        </w:rPr>
      </w:pPr>
    </w:p>
    <w:p w14:paraId="25C2F51D">
      <w:pPr>
        <w:spacing w:line="360" w:lineRule="auto"/>
        <w:ind w:firstLine="2310" w:firstLineChars="1100"/>
        <w:rPr>
          <w:rFonts w:ascii="宋体" w:hAnsi="宋体"/>
          <w:color w:val="auto"/>
          <w:highlight w:val="none"/>
        </w:rPr>
      </w:pPr>
    </w:p>
    <w:p w14:paraId="47B79507">
      <w:pPr>
        <w:spacing w:line="360" w:lineRule="auto"/>
        <w:ind w:firstLine="2310" w:firstLineChars="1100"/>
        <w:rPr>
          <w:rFonts w:ascii="宋体" w:hAnsi="宋体"/>
          <w:color w:val="auto"/>
          <w:highlight w:val="none"/>
        </w:rPr>
      </w:pPr>
    </w:p>
    <w:p w14:paraId="54D1E36B">
      <w:pPr>
        <w:spacing w:line="360" w:lineRule="auto"/>
        <w:jc w:val="center"/>
        <w:rPr>
          <w:rFonts w:ascii="宋体" w:hAnsi="宋体"/>
          <w:b/>
          <w:bCs/>
          <w:color w:val="auto"/>
          <w:sz w:val="30"/>
          <w:highlight w:val="none"/>
        </w:rPr>
      </w:pPr>
    </w:p>
    <w:p w14:paraId="73C5C91C">
      <w:pPr>
        <w:spacing w:line="360" w:lineRule="auto"/>
        <w:jc w:val="center"/>
        <w:rPr>
          <w:rFonts w:ascii="宋体" w:hAnsi="宋体"/>
          <w:b/>
          <w:bCs/>
          <w:color w:val="auto"/>
          <w:sz w:val="30"/>
          <w:highlight w:val="none"/>
        </w:rPr>
      </w:pPr>
      <w:r>
        <w:rPr>
          <w:rFonts w:hint="eastAsia" w:ascii="宋体" w:hAnsi="宋体"/>
          <w:b/>
          <w:bCs/>
          <w:color w:val="auto"/>
          <w:sz w:val="30"/>
          <w:highlight w:val="none"/>
        </w:rPr>
        <w:t>签约地点： 中国海南省三亚市</w:t>
      </w:r>
    </w:p>
    <w:p w14:paraId="08F6F53B">
      <w:pPr>
        <w:spacing w:line="360" w:lineRule="auto"/>
        <w:ind w:firstLine="2096" w:firstLineChars="696"/>
        <w:rPr>
          <w:rFonts w:hint="eastAsia" w:ascii="宋体" w:hAnsi="宋体"/>
          <w:b/>
          <w:bCs/>
          <w:color w:val="auto"/>
          <w:sz w:val="30"/>
          <w:highlight w:val="none"/>
        </w:rPr>
      </w:pPr>
      <w:r>
        <w:rPr>
          <w:rFonts w:hint="eastAsia" w:ascii="宋体" w:hAnsi="宋体"/>
          <w:b/>
          <w:bCs/>
          <w:color w:val="auto"/>
          <w:sz w:val="30"/>
          <w:highlight w:val="none"/>
        </w:rPr>
        <w:t xml:space="preserve">签约时间：  </w:t>
      </w:r>
      <w:r>
        <w:rPr>
          <w:rFonts w:hint="eastAsia" w:ascii="宋体" w:hAnsi="宋体"/>
          <w:b/>
          <w:bCs/>
          <w:color w:val="auto"/>
          <w:sz w:val="30"/>
          <w:highlight w:val="none"/>
          <w:lang w:val="en-US" w:eastAsia="zh-CN"/>
        </w:rPr>
        <w:t>2025</w:t>
      </w:r>
      <w:r>
        <w:rPr>
          <w:rFonts w:hint="eastAsia" w:ascii="宋体" w:hAnsi="宋体"/>
          <w:b/>
          <w:bCs/>
          <w:color w:val="auto"/>
          <w:sz w:val="30"/>
          <w:highlight w:val="none"/>
        </w:rPr>
        <w:t xml:space="preserve">年   月   日 </w:t>
      </w:r>
    </w:p>
    <w:p w14:paraId="69F19467">
      <w:pPr>
        <w:rPr>
          <w:rFonts w:hint="eastAsia" w:ascii="宋体" w:hAnsi="宋体"/>
          <w:b/>
          <w:bCs/>
          <w:color w:val="auto"/>
          <w:sz w:val="30"/>
          <w:highlight w:val="none"/>
        </w:rPr>
      </w:pPr>
      <w:r>
        <w:rPr>
          <w:rFonts w:hint="eastAsia" w:ascii="宋体" w:hAnsi="宋体"/>
          <w:b/>
          <w:bCs/>
          <w:color w:val="auto"/>
          <w:sz w:val="30"/>
          <w:highlight w:val="none"/>
        </w:rPr>
        <w:br w:type="page"/>
      </w:r>
    </w:p>
    <w:p w14:paraId="3C9C60CC">
      <w:pPr>
        <w:spacing w:line="360" w:lineRule="auto"/>
        <w:jc w:val="center"/>
        <w:rPr>
          <w:rFonts w:ascii="宋体" w:hAnsi="宋体"/>
          <w:b/>
          <w:bCs/>
          <w:color w:val="auto"/>
          <w:sz w:val="30"/>
          <w:highlight w:val="none"/>
        </w:rPr>
      </w:pPr>
    </w:p>
    <w:p w14:paraId="5A269319">
      <w:pPr>
        <w:spacing w:line="560" w:lineRule="exact"/>
        <w:ind w:firstLine="560" w:firstLineChars="200"/>
        <w:rPr>
          <w:rFonts w:hint="eastAsia" w:ascii="宋体" w:hAnsi="宋体" w:eastAsia="宋体"/>
          <w:color w:val="auto"/>
          <w:sz w:val="28"/>
          <w:highlight w:val="none"/>
          <w:lang w:eastAsia="zh-CN"/>
        </w:rPr>
      </w:pPr>
      <w:r>
        <w:rPr>
          <w:rFonts w:hint="eastAsia" w:ascii="宋体" w:hAnsi="宋体"/>
          <w:color w:val="auto"/>
          <w:sz w:val="28"/>
          <w:highlight w:val="none"/>
        </w:rPr>
        <w:t>甲方：</w:t>
      </w:r>
      <w:r>
        <w:rPr>
          <w:rFonts w:hint="eastAsia" w:ascii="宋体" w:hAnsi="宋体"/>
          <w:color w:val="auto"/>
          <w:sz w:val="28"/>
          <w:highlight w:val="none"/>
          <w:lang w:eastAsia="zh-CN"/>
        </w:rPr>
        <w:t>三亚市营商环境综合服务中心</w:t>
      </w:r>
    </w:p>
    <w:p w14:paraId="68664031">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地址：</w:t>
      </w:r>
    </w:p>
    <w:p w14:paraId="10621D62">
      <w:pPr>
        <w:spacing w:line="560" w:lineRule="exact"/>
        <w:ind w:firstLine="560" w:firstLineChars="200"/>
        <w:rPr>
          <w:rFonts w:hint="default" w:ascii="宋体" w:hAnsi="宋体" w:eastAsia="宋体"/>
          <w:color w:val="auto"/>
          <w:sz w:val="28"/>
          <w:highlight w:val="none"/>
          <w:lang w:val="en-US" w:eastAsia="zh-CN"/>
        </w:rPr>
      </w:pPr>
      <w:r>
        <w:rPr>
          <w:rFonts w:hint="eastAsia" w:ascii="宋体" w:hAnsi="宋体"/>
          <w:color w:val="auto"/>
          <w:sz w:val="28"/>
          <w:highlight w:val="none"/>
        </w:rPr>
        <w:t>法定代表人：</w:t>
      </w:r>
    </w:p>
    <w:p w14:paraId="5D10D285">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邮编：</w:t>
      </w:r>
    </w:p>
    <w:p w14:paraId="1E93F648">
      <w:pPr>
        <w:spacing w:line="560" w:lineRule="exact"/>
        <w:rPr>
          <w:rFonts w:ascii="宋体" w:hAnsi="宋体"/>
          <w:color w:val="auto"/>
          <w:sz w:val="28"/>
          <w:szCs w:val="28"/>
          <w:highlight w:val="none"/>
        </w:rPr>
      </w:pPr>
    </w:p>
    <w:p w14:paraId="5B55C6E4">
      <w:pPr>
        <w:spacing w:line="560" w:lineRule="exact"/>
        <w:ind w:firstLine="560" w:firstLineChars="200"/>
        <w:rPr>
          <w:rFonts w:ascii="宋体" w:hAnsi="宋体"/>
          <w:strike/>
          <w:color w:val="auto"/>
          <w:sz w:val="28"/>
          <w:szCs w:val="28"/>
          <w:highlight w:val="none"/>
        </w:rPr>
      </w:pPr>
      <w:r>
        <w:rPr>
          <w:rFonts w:hint="eastAsia" w:ascii="宋体" w:hAnsi="宋体"/>
          <w:color w:val="auto"/>
          <w:sz w:val="28"/>
          <w:szCs w:val="28"/>
          <w:highlight w:val="none"/>
        </w:rPr>
        <w:t>乙方：</w:t>
      </w:r>
    </w:p>
    <w:p w14:paraId="4EB87FFD">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 xml:space="preserve">地址： </w:t>
      </w:r>
    </w:p>
    <w:p w14:paraId="365859EF">
      <w:pPr>
        <w:pStyle w:val="5"/>
        <w:spacing w:line="560" w:lineRule="exact"/>
        <w:ind w:firstLine="560" w:firstLineChars="200"/>
        <w:rPr>
          <w:rFonts w:hint="default" w:hAnsi="宋体" w:eastAsia="宋体"/>
          <w:color w:val="auto"/>
          <w:highlight w:val="none"/>
          <w:lang w:val="en-US" w:eastAsia="zh-CN"/>
        </w:rPr>
      </w:pPr>
      <w:r>
        <w:rPr>
          <w:rFonts w:hint="eastAsia" w:hAnsi="宋体"/>
          <w:color w:val="auto"/>
          <w:highlight w:val="none"/>
        </w:rPr>
        <w:t>法定代表人/负责人：</w:t>
      </w:r>
    </w:p>
    <w:p w14:paraId="4369D4E2">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邮编：</w:t>
      </w:r>
    </w:p>
    <w:p w14:paraId="3193D5BC">
      <w:pPr>
        <w:spacing w:line="560" w:lineRule="exact"/>
        <w:rPr>
          <w:rFonts w:ascii="宋体" w:hAnsi="宋体"/>
          <w:color w:val="auto"/>
          <w:sz w:val="28"/>
          <w:highlight w:val="none"/>
        </w:rPr>
      </w:pPr>
    </w:p>
    <w:p w14:paraId="2BE47797">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根据《</w:t>
      </w:r>
      <w:r>
        <w:rPr>
          <w:rFonts w:ascii="宋体" w:hAnsi="宋体"/>
          <w:color w:val="auto"/>
          <w:sz w:val="28"/>
          <w:highlight w:val="none"/>
        </w:rPr>
        <w:t>中华人民共和国</w:t>
      </w:r>
      <w:r>
        <w:rPr>
          <w:rFonts w:hint="eastAsia" w:ascii="宋体" w:hAnsi="宋体"/>
          <w:color w:val="auto"/>
          <w:sz w:val="28"/>
          <w:highlight w:val="none"/>
        </w:rPr>
        <w:t>民法典</w:t>
      </w:r>
      <w:r>
        <w:rPr>
          <w:rFonts w:ascii="宋体" w:hAnsi="宋体"/>
          <w:color w:val="auto"/>
          <w:sz w:val="28"/>
          <w:highlight w:val="none"/>
        </w:rPr>
        <w:t>》</w:t>
      </w:r>
      <w:r>
        <w:rPr>
          <w:rFonts w:hint="eastAsia" w:ascii="宋体" w:hAnsi="宋体"/>
          <w:color w:val="auto"/>
          <w:sz w:val="28"/>
          <w:highlight w:val="none"/>
        </w:rPr>
        <w:t>等法律法规和202</w:t>
      </w:r>
      <w:r>
        <w:rPr>
          <w:rFonts w:hint="eastAsia" w:ascii="宋体" w:hAnsi="宋体"/>
          <w:color w:val="auto"/>
          <w:sz w:val="28"/>
          <w:highlight w:val="none"/>
          <w:lang w:val="en-US" w:eastAsia="zh-CN"/>
        </w:rPr>
        <w:t>5</w:t>
      </w:r>
      <w:r>
        <w:rPr>
          <w:rFonts w:hint="eastAsia" w:ascii="宋体" w:hAnsi="宋体"/>
          <w:color w:val="auto"/>
          <w:sz w:val="28"/>
          <w:highlight w:val="none"/>
        </w:rPr>
        <w:t>年</w:t>
      </w:r>
      <w:r>
        <w:rPr>
          <w:rFonts w:hint="eastAsia" w:ascii="宋体" w:hAnsi="宋体"/>
          <w:color w:val="auto"/>
          <w:sz w:val="28"/>
          <w:highlight w:val="none"/>
          <w:lang w:val="en-US" w:eastAsia="zh-CN"/>
        </w:rPr>
        <w:t>8</w:t>
      </w:r>
      <w:r>
        <w:rPr>
          <w:rFonts w:hint="eastAsia" w:ascii="宋体" w:hAnsi="宋体"/>
          <w:color w:val="auto"/>
          <w:sz w:val="28"/>
          <w:highlight w:val="none"/>
        </w:rPr>
        <w:t>月</w:t>
      </w:r>
      <w:r>
        <w:rPr>
          <w:rFonts w:hint="eastAsia" w:ascii="宋体" w:hAnsi="宋体"/>
          <w:color w:val="auto"/>
          <w:sz w:val="28"/>
          <w:highlight w:val="none"/>
          <w:lang w:val="en-US" w:eastAsia="zh-CN"/>
        </w:rPr>
        <w:t xml:space="preserve">  </w:t>
      </w:r>
      <w:r>
        <w:rPr>
          <w:rFonts w:hint="eastAsia" w:ascii="宋体" w:hAnsi="宋体"/>
          <w:color w:val="auto"/>
          <w:sz w:val="28"/>
          <w:highlight w:val="none"/>
        </w:rPr>
        <w:t>日公开招标（项目名称：2025-2026年三亚12345政府服务热线服务外包项目，招标编号</w:t>
      </w:r>
      <w:r>
        <w:rPr>
          <w:rFonts w:hint="eastAsia" w:ascii="宋体" w:hAnsi="宋体"/>
          <w:color w:val="auto"/>
          <w:sz w:val="28"/>
          <w:highlight w:val="none"/>
          <w:lang w:eastAsia="zh-CN"/>
        </w:rPr>
        <w:t>：</w:t>
      </w:r>
      <w:r>
        <w:rPr>
          <w:rFonts w:hint="eastAsia" w:ascii="宋体" w:hAnsi="宋体"/>
          <w:color w:val="auto"/>
          <w:sz w:val="28"/>
          <w:highlight w:val="none"/>
          <w:lang w:val="en-US" w:eastAsia="zh-CN"/>
        </w:rPr>
        <w:t>HFGC20252629</w:t>
      </w:r>
      <w:r>
        <w:rPr>
          <w:rFonts w:hint="eastAsia" w:ascii="宋体" w:hAnsi="宋体"/>
          <w:color w:val="auto"/>
          <w:sz w:val="28"/>
          <w:highlight w:val="none"/>
        </w:rPr>
        <w:t>）的采购结果及采购文件的要求，本着平等互利、相互信赖、共同发展的原则，甲乙双方经友好协商，就三亚市12345政府服务热线</w:t>
      </w:r>
      <w:r>
        <w:rPr>
          <w:rFonts w:hint="eastAsia" w:ascii="宋体" w:hAnsi="宋体"/>
          <w:color w:val="auto"/>
          <w:sz w:val="28"/>
          <w:highlight w:val="none"/>
          <w:lang w:eastAsia="zh-CN"/>
        </w:rPr>
        <w:t>（</w:t>
      </w:r>
      <w:r>
        <w:rPr>
          <w:rFonts w:hint="eastAsia" w:ascii="宋体" w:hAnsi="宋体"/>
          <w:color w:val="auto"/>
          <w:sz w:val="28"/>
          <w:highlight w:val="none"/>
          <w:lang w:val="en-US" w:eastAsia="zh-CN"/>
        </w:rPr>
        <w:t>以下简称“三亚12345热线”或“12345热线”、“热线”</w:t>
      </w:r>
      <w:r>
        <w:rPr>
          <w:rFonts w:hint="eastAsia" w:ascii="宋体" w:hAnsi="宋体"/>
          <w:color w:val="auto"/>
          <w:sz w:val="28"/>
          <w:highlight w:val="none"/>
          <w:lang w:eastAsia="zh-CN"/>
        </w:rPr>
        <w:t>）</w:t>
      </w:r>
      <w:r>
        <w:rPr>
          <w:rFonts w:hint="eastAsia" w:ascii="宋体" w:hAnsi="宋体"/>
          <w:color w:val="auto"/>
          <w:sz w:val="28"/>
          <w:highlight w:val="none"/>
        </w:rPr>
        <w:t>运营外包服务相关事宜达成本合同。</w:t>
      </w:r>
    </w:p>
    <w:p w14:paraId="0FF1F99D">
      <w:pPr>
        <w:spacing w:line="560" w:lineRule="exact"/>
        <w:ind w:firstLine="562" w:firstLineChars="200"/>
        <w:outlineLvl w:val="0"/>
        <w:rPr>
          <w:rFonts w:ascii="宋体" w:hAnsi="宋体"/>
          <w:b/>
          <w:bCs/>
          <w:color w:val="auto"/>
          <w:sz w:val="28"/>
          <w:highlight w:val="none"/>
        </w:rPr>
      </w:pPr>
      <w:r>
        <w:rPr>
          <w:rFonts w:hint="eastAsia" w:ascii="宋体" w:hAnsi="宋体"/>
          <w:b/>
          <w:bCs/>
          <w:color w:val="auto"/>
          <w:sz w:val="28"/>
          <w:highlight w:val="none"/>
        </w:rPr>
        <w:t>第一条  外包服务内容</w:t>
      </w:r>
    </w:p>
    <w:p w14:paraId="27B970B0">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甲方依托乙方呼叫中心平台建设，通过多媒体坐席及移动终端坐席接入，打造一个基于电话、网站、微信等渠道融合的立体化服务平台，确保平台所有系统运行稳定，为三亚市民和游客服务和管理提供便捷、高效、专业和智能的服务。同时，乙方负责统筹</w:t>
      </w:r>
      <w:r>
        <w:rPr>
          <w:rFonts w:hint="eastAsia" w:ascii="宋体" w:hAnsi="宋体"/>
          <w:color w:val="auto"/>
          <w:sz w:val="28"/>
          <w:highlight w:val="none"/>
          <w:lang w:val="en-US" w:eastAsia="zh-CN"/>
        </w:rPr>
        <w:t>三亚</w:t>
      </w:r>
      <w:r>
        <w:rPr>
          <w:rFonts w:hint="eastAsia" w:ascii="宋体" w:hAnsi="宋体"/>
          <w:color w:val="auto"/>
          <w:sz w:val="28"/>
          <w:highlight w:val="none"/>
        </w:rPr>
        <w:t>12345热线人员的招聘、培训、薪酬发放、管理工作，确保热线人员熟练掌握相应的服务技能，按时按质完成三亚12345热线日常工作，保证服务质量</w:t>
      </w:r>
      <w:r>
        <w:rPr>
          <w:rFonts w:hint="eastAsia" w:ascii="宋体" w:hAnsi="宋体"/>
          <w:color w:val="auto"/>
          <w:sz w:val="28"/>
          <w:highlight w:val="none"/>
          <w:lang w:eastAsia="zh-CN"/>
        </w:rPr>
        <w:t>。</w:t>
      </w:r>
    </w:p>
    <w:p w14:paraId="671C9A95">
      <w:pPr>
        <w:spacing w:line="560" w:lineRule="exact"/>
        <w:ind w:firstLine="562" w:firstLineChars="200"/>
        <w:outlineLvl w:val="0"/>
        <w:rPr>
          <w:rFonts w:ascii="宋体" w:hAnsi="宋体"/>
          <w:b/>
          <w:bCs/>
          <w:color w:val="auto"/>
          <w:sz w:val="28"/>
          <w:highlight w:val="none"/>
        </w:rPr>
      </w:pPr>
      <w:r>
        <w:rPr>
          <w:rFonts w:hint="eastAsia" w:ascii="宋体" w:hAnsi="宋体"/>
          <w:b/>
          <w:bCs/>
          <w:color w:val="auto"/>
          <w:sz w:val="28"/>
          <w:highlight w:val="none"/>
        </w:rPr>
        <w:t>第二条  外包服务方式</w:t>
      </w:r>
    </w:p>
    <w:p w14:paraId="0FECA71C">
      <w:pPr>
        <w:keepNext w:val="0"/>
        <w:keepLines w:val="0"/>
        <w:pageBreakBefore w:val="0"/>
        <w:widowControl w:val="0"/>
        <w:tabs>
          <w:tab w:val="left" w:pos="2940"/>
        </w:tabs>
        <w:kinsoku/>
        <w:wordWrap/>
        <w:overflowPunct/>
        <w:topLinePunct w:val="0"/>
        <w:autoSpaceDE/>
        <w:autoSpaceDN/>
        <w:bidi w:val="0"/>
        <w:adjustRightInd/>
        <w:snapToGrid/>
        <w:spacing w:line="560" w:lineRule="exact"/>
        <w:ind w:firstLine="560" w:firstLineChars="200"/>
        <w:textAlignment w:val="auto"/>
        <w:rPr>
          <w:rFonts w:hint="eastAsia" w:ascii="宋体" w:hAnsi="宋体"/>
          <w:color w:val="auto"/>
          <w:sz w:val="28"/>
          <w:highlight w:val="none"/>
          <w:lang w:val="en-US" w:eastAsia="zh-CN"/>
        </w:rPr>
      </w:pPr>
      <w:r>
        <w:rPr>
          <w:rFonts w:hint="eastAsia" w:ascii="宋体" w:hAnsi="宋体"/>
          <w:color w:val="auto"/>
          <w:sz w:val="28"/>
          <w:highlight w:val="none"/>
        </w:rPr>
        <w:t>甲方</w:t>
      </w:r>
      <w:r>
        <w:rPr>
          <w:rFonts w:hint="eastAsia" w:ascii="宋体" w:hAnsi="宋体"/>
          <w:color w:val="auto"/>
          <w:sz w:val="28"/>
          <w:highlight w:val="none"/>
          <w:lang w:val="en-US" w:eastAsia="zh-CN"/>
        </w:rPr>
        <w:t>将三亚</w:t>
      </w:r>
      <w:r>
        <w:rPr>
          <w:rFonts w:hint="eastAsia" w:ascii="宋体" w:hAnsi="宋体"/>
          <w:color w:val="auto"/>
          <w:sz w:val="28"/>
          <w:highlight w:val="none"/>
        </w:rPr>
        <w:t>12345热线</w:t>
      </w:r>
      <w:r>
        <w:rPr>
          <w:rFonts w:hint="eastAsia" w:ascii="宋体" w:hAnsi="宋体"/>
          <w:color w:val="auto"/>
          <w:sz w:val="28"/>
          <w:highlight w:val="none"/>
          <w:lang w:val="en-US" w:eastAsia="zh-CN"/>
        </w:rPr>
        <w:t>运营服务外包给</w:t>
      </w:r>
      <w:r>
        <w:rPr>
          <w:rFonts w:hint="eastAsia" w:ascii="宋体" w:hAnsi="宋体"/>
          <w:color w:val="auto"/>
          <w:sz w:val="28"/>
          <w:highlight w:val="none"/>
        </w:rPr>
        <w:t>乙方</w:t>
      </w:r>
      <w:r>
        <w:rPr>
          <w:rFonts w:hint="eastAsia" w:ascii="宋体" w:hAnsi="宋体"/>
          <w:color w:val="auto"/>
          <w:sz w:val="28"/>
          <w:highlight w:val="none"/>
          <w:lang w:eastAsia="zh-CN"/>
        </w:rPr>
        <w:t>，</w:t>
      </w:r>
      <w:r>
        <w:rPr>
          <w:rFonts w:hint="eastAsia" w:ascii="宋体" w:hAnsi="宋体"/>
          <w:color w:val="auto"/>
          <w:sz w:val="28"/>
          <w:highlight w:val="none"/>
          <w:lang w:val="en-US" w:eastAsia="zh-CN"/>
        </w:rPr>
        <w:t>乙方根据采购需求-技术要求（见附件1）提供服务并达到相应的要求。</w:t>
      </w:r>
    </w:p>
    <w:p w14:paraId="7F22764C">
      <w:pPr>
        <w:spacing w:line="560" w:lineRule="exact"/>
        <w:ind w:firstLine="562" w:firstLineChars="200"/>
        <w:rPr>
          <w:rFonts w:ascii="宋体" w:hAnsi="宋体"/>
          <w:b/>
          <w:color w:val="auto"/>
          <w:sz w:val="28"/>
          <w:szCs w:val="28"/>
          <w:highlight w:val="none"/>
        </w:rPr>
      </w:pPr>
      <w:r>
        <w:rPr>
          <w:rFonts w:hint="eastAsia" w:ascii="宋体" w:hAnsi="宋体"/>
          <w:b/>
          <w:color w:val="auto"/>
          <w:sz w:val="28"/>
          <w:szCs w:val="28"/>
          <w:highlight w:val="none"/>
        </w:rPr>
        <w:t xml:space="preserve">第三条 </w:t>
      </w:r>
      <w:r>
        <w:rPr>
          <w:rFonts w:hint="eastAsia" w:ascii="宋体" w:hAnsi="宋体"/>
          <w:b/>
          <w:bCs/>
          <w:color w:val="auto"/>
          <w:sz w:val="28"/>
          <w:highlight w:val="none"/>
        </w:rPr>
        <w:t>外包服务</w:t>
      </w:r>
      <w:r>
        <w:rPr>
          <w:rFonts w:hint="eastAsia" w:ascii="宋体" w:hAnsi="宋体"/>
          <w:b/>
          <w:color w:val="auto"/>
          <w:sz w:val="28"/>
          <w:szCs w:val="28"/>
          <w:highlight w:val="none"/>
        </w:rPr>
        <w:t>期限</w:t>
      </w:r>
    </w:p>
    <w:p w14:paraId="17F352F4">
      <w:pPr>
        <w:spacing w:line="560" w:lineRule="exact"/>
        <w:ind w:firstLine="562"/>
        <w:rPr>
          <w:rFonts w:ascii="宋体" w:hAnsi="宋体"/>
          <w:color w:val="auto"/>
          <w:sz w:val="28"/>
          <w:szCs w:val="28"/>
          <w:highlight w:val="none"/>
        </w:rPr>
      </w:pPr>
      <w:r>
        <w:rPr>
          <w:rFonts w:hint="eastAsia" w:ascii="宋体" w:hAnsi="宋体"/>
          <w:color w:val="auto"/>
          <w:sz w:val="28"/>
          <w:szCs w:val="28"/>
          <w:highlight w:val="none"/>
        </w:rPr>
        <w:t>本合同外包服务期限自</w:t>
      </w:r>
      <w:r>
        <w:rPr>
          <w:rFonts w:hint="eastAsia" w:ascii="宋体" w:hAnsi="宋体"/>
          <w:color w:val="auto"/>
          <w:sz w:val="28"/>
          <w:szCs w:val="28"/>
          <w:highlight w:val="none"/>
          <w:lang w:val="en-US" w:eastAsia="zh-CN"/>
        </w:rPr>
        <w:t>2025 年  月  日-2026年 月  日</w:t>
      </w:r>
      <w:r>
        <w:rPr>
          <w:rFonts w:hint="eastAsia" w:ascii="宋体" w:hAnsi="宋体"/>
          <w:color w:val="auto"/>
          <w:sz w:val="28"/>
          <w:szCs w:val="28"/>
          <w:highlight w:val="none"/>
        </w:rPr>
        <w:t>结束。</w:t>
      </w:r>
    </w:p>
    <w:p w14:paraId="47A6F7FD">
      <w:pPr>
        <w:spacing w:line="560" w:lineRule="exact"/>
        <w:ind w:firstLine="562" w:firstLineChars="200"/>
        <w:jc w:val="left"/>
        <w:outlineLvl w:val="0"/>
        <w:rPr>
          <w:rFonts w:ascii="宋体" w:hAnsi="宋体"/>
          <w:b/>
          <w:bCs/>
          <w:color w:val="auto"/>
          <w:sz w:val="28"/>
          <w:highlight w:val="none"/>
        </w:rPr>
      </w:pPr>
      <w:r>
        <w:rPr>
          <w:rFonts w:hint="eastAsia" w:ascii="宋体" w:hAnsi="宋体"/>
          <w:b/>
          <w:bCs/>
          <w:color w:val="auto"/>
          <w:sz w:val="28"/>
          <w:highlight w:val="none"/>
        </w:rPr>
        <w:t>第四条  双方的权利与义务</w:t>
      </w:r>
    </w:p>
    <w:p w14:paraId="11FD341A">
      <w:pPr>
        <w:spacing w:line="560" w:lineRule="exact"/>
        <w:ind w:firstLine="562" w:firstLineChars="200"/>
        <w:jc w:val="left"/>
        <w:outlineLvl w:val="0"/>
        <w:rPr>
          <w:rFonts w:ascii="宋体" w:hAnsi="宋体"/>
          <w:b/>
          <w:bCs/>
          <w:color w:val="auto"/>
          <w:sz w:val="28"/>
          <w:highlight w:val="none"/>
        </w:rPr>
      </w:pPr>
      <w:r>
        <w:rPr>
          <w:rFonts w:hint="eastAsia" w:ascii="宋体" w:hAnsi="宋体"/>
          <w:b/>
          <w:bCs/>
          <w:color w:val="auto"/>
          <w:sz w:val="28"/>
          <w:highlight w:val="none"/>
        </w:rPr>
        <w:t>（一）甲方的权利与义务</w:t>
      </w:r>
    </w:p>
    <w:p w14:paraId="43548AF4">
      <w:pPr>
        <w:spacing w:line="560" w:lineRule="exact"/>
        <w:ind w:firstLine="560" w:firstLineChars="200"/>
        <w:rPr>
          <w:rFonts w:ascii="宋体" w:hAnsi="宋体"/>
          <w:color w:val="auto"/>
          <w:sz w:val="28"/>
          <w:highlight w:val="none"/>
        </w:rPr>
      </w:pPr>
      <w:r>
        <w:rPr>
          <w:rFonts w:ascii="宋体" w:hAnsi="宋体"/>
          <w:color w:val="auto"/>
          <w:sz w:val="28"/>
          <w:highlight w:val="none"/>
        </w:rPr>
        <w:t>1</w:t>
      </w:r>
      <w:r>
        <w:rPr>
          <w:rFonts w:hint="eastAsia" w:ascii="宋体" w:hAnsi="宋体"/>
          <w:color w:val="auto"/>
          <w:sz w:val="28"/>
          <w:highlight w:val="none"/>
        </w:rPr>
        <w:t>.甲方对乙方提供的电信服务质量具有知情权、质询权</w:t>
      </w:r>
      <w:r>
        <w:rPr>
          <w:rFonts w:ascii="宋体" w:hAnsi="宋体"/>
          <w:color w:val="auto"/>
          <w:sz w:val="28"/>
          <w:highlight w:val="none"/>
        </w:rPr>
        <w:t>、建议权</w:t>
      </w:r>
      <w:r>
        <w:rPr>
          <w:rFonts w:hint="eastAsia" w:ascii="宋体" w:hAnsi="宋体"/>
          <w:color w:val="auto"/>
          <w:sz w:val="28"/>
          <w:highlight w:val="none"/>
        </w:rPr>
        <w:t>。</w:t>
      </w:r>
    </w:p>
    <w:p w14:paraId="30BE7030">
      <w:pPr>
        <w:spacing w:line="560" w:lineRule="exact"/>
        <w:ind w:firstLine="560" w:firstLineChars="200"/>
        <w:rPr>
          <w:rFonts w:ascii="宋体" w:hAnsi="宋体"/>
          <w:color w:val="auto"/>
          <w:sz w:val="28"/>
          <w:highlight w:val="none"/>
        </w:rPr>
      </w:pPr>
      <w:r>
        <w:rPr>
          <w:rFonts w:ascii="宋体" w:hAnsi="宋体"/>
          <w:color w:val="auto"/>
          <w:sz w:val="28"/>
          <w:highlight w:val="none"/>
        </w:rPr>
        <w:t>2</w:t>
      </w:r>
      <w:r>
        <w:rPr>
          <w:rFonts w:hint="eastAsia" w:ascii="宋体" w:hAnsi="宋体"/>
          <w:color w:val="auto"/>
          <w:sz w:val="28"/>
          <w:highlight w:val="none"/>
        </w:rPr>
        <w:t>.甲方作为乙方的大客户，享受乙方提供的“一站式服务”,</w:t>
      </w:r>
      <w:r>
        <w:rPr>
          <w:rFonts w:ascii="宋体" w:hAnsi="宋体"/>
          <w:color w:val="auto"/>
          <w:sz w:val="28"/>
          <w:highlight w:val="none"/>
        </w:rPr>
        <w:t>包括但不限于</w:t>
      </w:r>
      <w:r>
        <w:rPr>
          <w:rFonts w:hint="eastAsia" w:ascii="宋体" w:hAnsi="宋体"/>
          <w:color w:val="auto"/>
          <w:sz w:val="28"/>
          <w:highlight w:val="none"/>
        </w:rPr>
        <w:t>如业务咨询、受理、收费以及故障处理、技术服务等。</w:t>
      </w:r>
    </w:p>
    <w:p w14:paraId="1EBE7742">
      <w:pPr>
        <w:spacing w:line="560" w:lineRule="exact"/>
        <w:ind w:firstLine="560" w:firstLineChars="200"/>
        <w:rPr>
          <w:rFonts w:ascii="宋体" w:hAnsi="宋体"/>
          <w:color w:val="auto"/>
          <w:sz w:val="28"/>
          <w:highlight w:val="none"/>
        </w:rPr>
      </w:pPr>
      <w:r>
        <w:rPr>
          <w:rFonts w:ascii="宋体" w:hAnsi="宋体"/>
          <w:color w:val="auto"/>
          <w:sz w:val="28"/>
          <w:highlight w:val="none"/>
        </w:rPr>
        <w:t>3</w:t>
      </w:r>
      <w:r>
        <w:rPr>
          <w:rFonts w:hint="eastAsia" w:ascii="宋体" w:hAnsi="宋体"/>
          <w:color w:val="auto"/>
          <w:sz w:val="28"/>
          <w:highlight w:val="none"/>
        </w:rPr>
        <w:t>.甲方</w:t>
      </w:r>
      <w:r>
        <w:rPr>
          <w:rFonts w:hint="eastAsia" w:ascii="宋体" w:hAnsi="宋体"/>
          <w:color w:val="auto"/>
          <w:sz w:val="28"/>
          <w:highlight w:val="none"/>
          <w:lang w:val="en-US" w:eastAsia="zh-CN"/>
        </w:rPr>
        <w:t>工作人员</w:t>
      </w:r>
      <w:r>
        <w:rPr>
          <w:rFonts w:hint="eastAsia" w:ascii="宋体" w:hAnsi="宋体"/>
          <w:color w:val="auto"/>
          <w:sz w:val="28"/>
          <w:highlight w:val="none"/>
        </w:rPr>
        <w:t>有权</w:t>
      </w:r>
      <w:r>
        <w:rPr>
          <w:rFonts w:ascii="宋体" w:hAnsi="宋体"/>
          <w:color w:val="auto"/>
          <w:sz w:val="28"/>
          <w:highlight w:val="none"/>
        </w:rPr>
        <w:t>无偿</w:t>
      </w:r>
      <w:r>
        <w:rPr>
          <w:rFonts w:hint="eastAsia" w:ascii="宋体" w:hAnsi="宋体"/>
          <w:color w:val="auto"/>
          <w:sz w:val="28"/>
          <w:highlight w:val="none"/>
        </w:rPr>
        <w:t>参加乙方为电信大客户举办的各类电信技术培训班。</w:t>
      </w:r>
    </w:p>
    <w:p w14:paraId="2F280F13">
      <w:pPr>
        <w:spacing w:line="560" w:lineRule="exact"/>
        <w:ind w:firstLine="560" w:firstLineChars="200"/>
        <w:rPr>
          <w:rFonts w:ascii="宋体" w:hAnsi="宋体"/>
          <w:color w:val="auto"/>
          <w:sz w:val="28"/>
          <w:highlight w:val="none"/>
        </w:rPr>
      </w:pPr>
      <w:r>
        <w:rPr>
          <w:rFonts w:ascii="宋体" w:hAnsi="宋体"/>
          <w:color w:val="auto"/>
          <w:sz w:val="28"/>
          <w:highlight w:val="none"/>
        </w:rPr>
        <w:t>4</w:t>
      </w:r>
      <w:r>
        <w:rPr>
          <w:rFonts w:hint="eastAsia" w:ascii="宋体" w:hAnsi="宋体"/>
          <w:color w:val="auto"/>
          <w:sz w:val="28"/>
          <w:highlight w:val="none"/>
        </w:rPr>
        <w:t>.甲方在使用本业务过程中，经双方协商，有权通过书面通知形式要求乙方调整座席数量、人员数量、工作时间、业务流程等。</w:t>
      </w:r>
    </w:p>
    <w:p w14:paraId="3B87801A">
      <w:pPr>
        <w:spacing w:line="560" w:lineRule="exact"/>
        <w:ind w:firstLine="560" w:firstLineChars="200"/>
        <w:rPr>
          <w:rFonts w:ascii="宋体" w:hAnsi="宋体"/>
          <w:color w:val="auto"/>
          <w:sz w:val="28"/>
          <w:highlight w:val="none"/>
        </w:rPr>
      </w:pPr>
      <w:r>
        <w:rPr>
          <w:rFonts w:ascii="宋体" w:hAnsi="宋体"/>
          <w:color w:val="auto"/>
          <w:sz w:val="28"/>
          <w:highlight w:val="none"/>
        </w:rPr>
        <w:t>5</w:t>
      </w:r>
      <w:r>
        <w:rPr>
          <w:rFonts w:hint="eastAsia" w:ascii="宋体" w:hAnsi="宋体"/>
          <w:color w:val="auto"/>
          <w:sz w:val="28"/>
          <w:highlight w:val="none"/>
        </w:rPr>
        <w:t>.甲方应配合乙方完成系统调试运行，并按本合同的相关</w:t>
      </w:r>
      <w:r>
        <w:rPr>
          <w:rFonts w:hint="eastAsia" w:ascii="宋体" w:hAnsi="宋体"/>
          <w:strike w:val="0"/>
          <w:dstrike w:val="0"/>
          <w:color w:val="auto"/>
          <w:sz w:val="28"/>
          <w:highlight w:val="none"/>
          <w:lang w:val="en-US" w:eastAsia="zh-CN"/>
        </w:rPr>
        <w:t>约</w:t>
      </w:r>
      <w:r>
        <w:rPr>
          <w:rFonts w:hint="eastAsia" w:ascii="宋体" w:hAnsi="宋体"/>
          <w:color w:val="auto"/>
          <w:sz w:val="28"/>
          <w:highlight w:val="none"/>
        </w:rPr>
        <w:t>定按时、足额支付使用费用。</w:t>
      </w:r>
    </w:p>
    <w:p w14:paraId="1D89F1C6">
      <w:pPr>
        <w:spacing w:line="560" w:lineRule="exact"/>
        <w:ind w:firstLine="560" w:firstLineChars="200"/>
        <w:rPr>
          <w:rFonts w:ascii="宋体" w:hAnsi="宋体"/>
          <w:color w:val="auto"/>
          <w:sz w:val="28"/>
          <w:highlight w:val="none"/>
        </w:rPr>
      </w:pPr>
      <w:r>
        <w:rPr>
          <w:rFonts w:ascii="宋体" w:hAnsi="宋体"/>
          <w:color w:val="auto"/>
          <w:sz w:val="28"/>
          <w:highlight w:val="none"/>
        </w:rPr>
        <w:t>6</w:t>
      </w:r>
      <w:r>
        <w:rPr>
          <w:rFonts w:hint="eastAsia" w:ascii="宋体" w:hAnsi="宋体"/>
          <w:color w:val="auto"/>
          <w:sz w:val="28"/>
          <w:highlight w:val="none"/>
        </w:rPr>
        <w:t>.甲方对乙方的通信网络结构及设施应给予保密，不得向第三方提供设备的种类、型号等相关资料。</w:t>
      </w:r>
    </w:p>
    <w:p w14:paraId="6496D948">
      <w:pPr>
        <w:spacing w:line="560" w:lineRule="exact"/>
        <w:ind w:firstLine="560" w:firstLineChars="200"/>
        <w:rPr>
          <w:rFonts w:ascii="宋体" w:hAnsi="宋体"/>
          <w:color w:val="auto"/>
          <w:sz w:val="28"/>
          <w:highlight w:val="none"/>
        </w:rPr>
      </w:pPr>
      <w:r>
        <w:rPr>
          <w:rFonts w:ascii="宋体" w:hAnsi="宋体"/>
          <w:color w:val="auto"/>
          <w:sz w:val="28"/>
          <w:highlight w:val="none"/>
        </w:rPr>
        <w:t>7</w:t>
      </w:r>
      <w:r>
        <w:rPr>
          <w:rFonts w:hint="eastAsia" w:ascii="宋体" w:hAnsi="宋体"/>
          <w:color w:val="auto"/>
          <w:sz w:val="28"/>
          <w:highlight w:val="none"/>
        </w:rPr>
        <w:t>.乙方招聘的</w:t>
      </w:r>
      <w:r>
        <w:rPr>
          <w:rFonts w:hint="eastAsia" w:ascii="宋体" w:hAnsi="宋体"/>
          <w:strike w:val="0"/>
          <w:dstrike w:val="0"/>
          <w:color w:val="auto"/>
          <w:sz w:val="28"/>
          <w:highlight w:val="none"/>
          <w:lang w:val="en-US" w:eastAsia="zh-CN"/>
        </w:rPr>
        <w:t>服</w:t>
      </w:r>
      <w:r>
        <w:rPr>
          <w:rFonts w:hint="eastAsia" w:ascii="宋体" w:hAnsi="宋体"/>
          <w:color w:val="auto"/>
          <w:sz w:val="28"/>
          <w:highlight w:val="none"/>
        </w:rPr>
        <w:t>务</w:t>
      </w:r>
      <w:r>
        <w:rPr>
          <w:rFonts w:hint="eastAsia" w:ascii="宋体" w:hAnsi="宋体"/>
          <w:color w:val="auto"/>
          <w:sz w:val="28"/>
          <w:highlight w:val="none"/>
          <w:lang w:val="en-US" w:eastAsia="zh-CN"/>
        </w:rPr>
        <w:t>团队</w:t>
      </w:r>
      <w:r>
        <w:rPr>
          <w:rFonts w:hint="eastAsia" w:ascii="宋体" w:hAnsi="宋体"/>
          <w:color w:val="auto"/>
          <w:sz w:val="28"/>
          <w:highlight w:val="none"/>
        </w:rPr>
        <w:t>人员与甲方不存在劳动或劳务用工关系，</w:t>
      </w:r>
      <w:r>
        <w:rPr>
          <w:rFonts w:hint="eastAsia" w:ascii="宋体" w:hAnsi="宋体"/>
          <w:color w:val="auto"/>
          <w:sz w:val="28"/>
          <w:szCs w:val="28"/>
          <w:highlight w:val="none"/>
        </w:rPr>
        <w:t>但甲方有权在工作需要范围内对上述人员进行调配。乙方应依法</w:t>
      </w:r>
      <w:r>
        <w:rPr>
          <w:rFonts w:hint="eastAsia" w:ascii="宋体" w:hAnsi="宋体"/>
          <w:color w:val="auto"/>
          <w:sz w:val="28"/>
          <w:szCs w:val="28"/>
          <w:highlight w:val="none"/>
          <w:lang w:val="en-US" w:eastAsia="zh-CN"/>
        </w:rPr>
        <w:t>维护</w:t>
      </w:r>
      <w:r>
        <w:rPr>
          <w:rFonts w:hint="eastAsia" w:ascii="宋体" w:hAnsi="宋体"/>
          <w:color w:val="auto"/>
          <w:sz w:val="28"/>
          <w:szCs w:val="28"/>
          <w:highlight w:val="none"/>
        </w:rPr>
        <w:t>所聘</w:t>
      </w:r>
      <w:r>
        <w:rPr>
          <w:rFonts w:hint="eastAsia" w:ascii="宋体" w:hAnsi="宋体"/>
          <w:strike w:val="0"/>
          <w:dstrike w:val="0"/>
          <w:color w:val="auto"/>
          <w:sz w:val="28"/>
          <w:highlight w:val="none"/>
          <w:lang w:val="en-US" w:eastAsia="zh-CN"/>
        </w:rPr>
        <w:t>服</w:t>
      </w:r>
      <w:r>
        <w:rPr>
          <w:rFonts w:hint="eastAsia" w:ascii="宋体" w:hAnsi="宋体"/>
          <w:color w:val="auto"/>
          <w:sz w:val="28"/>
          <w:szCs w:val="28"/>
          <w:highlight w:val="none"/>
        </w:rPr>
        <w:t>务人员的正当权益</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因乙方招聘的</w:t>
      </w:r>
      <w:r>
        <w:rPr>
          <w:rFonts w:hint="eastAsia" w:ascii="宋体" w:hAnsi="宋体"/>
          <w:strike w:val="0"/>
          <w:dstrike w:val="0"/>
          <w:color w:val="auto"/>
          <w:sz w:val="28"/>
          <w:highlight w:val="none"/>
          <w:lang w:val="en-US" w:eastAsia="zh-CN"/>
        </w:rPr>
        <w:t>服</w:t>
      </w:r>
      <w:r>
        <w:rPr>
          <w:rFonts w:hint="eastAsia" w:ascii="宋体" w:hAnsi="宋体"/>
          <w:color w:val="auto"/>
          <w:sz w:val="28"/>
          <w:szCs w:val="28"/>
          <w:highlight w:val="none"/>
          <w:lang w:val="en-US" w:eastAsia="zh-CN"/>
        </w:rPr>
        <w:t>务人员产生的劳动争议</w:t>
      </w:r>
      <w:r>
        <w:rPr>
          <w:rFonts w:hint="eastAsia" w:ascii="宋体" w:hAnsi="宋体"/>
          <w:color w:val="auto"/>
          <w:sz w:val="28"/>
          <w:szCs w:val="28"/>
          <w:highlight w:val="none"/>
        </w:rPr>
        <w:t>及责任全部由乙方承担，与甲方无关</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如因此给甲方造成损失的，应由乙方负责赔偿</w:t>
      </w:r>
      <w:r>
        <w:rPr>
          <w:rFonts w:hint="eastAsia" w:ascii="宋体" w:hAnsi="宋体"/>
          <w:color w:val="auto"/>
          <w:sz w:val="28"/>
          <w:szCs w:val="28"/>
          <w:highlight w:val="none"/>
        </w:rPr>
        <w:t>。</w:t>
      </w:r>
    </w:p>
    <w:p w14:paraId="6D52FE9D">
      <w:pPr>
        <w:spacing w:line="560" w:lineRule="exact"/>
        <w:ind w:firstLine="560" w:firstLineChars="200"/>
        <w:rPr>
          <w:rFonts w:ascii="宋体" w:hAnsi="宋体"/>
          <w:color w:val="auto"/>
          <w:sz w:val="28"/>
          <w:highlight w:val="none"/>
        </w:rPr>
      </w:pPr>
      <w:r>
        <w:rPr>
          <w:rFonts w:hint="eastAsia" w:ascii="宋体" w:hAnsi="宋体"/>
          <w:color w:val="auto"/>
          <w:sz w:val="28"/>
          <w:highlight w:val="none"/>
          <w:lang w:val="en-US" w:eastAsia="zh-CN"/>
        </w:rPr>
        <w:t>8</w:t>
      </w:r>
      <w:r>
        <w:rPr>
          <w:rFonts w:hint="eastAsia" w:ascii="宋体" w:hAnsi="宋体"/>
          <w:color w:val="auto"/>
          <w:sz w:val="28"/>
          <w:highlight w:val="none"/>
        </w:rPr>
        <w:t>．甲方与乙方共同参与</w:t>
      </w:r>
      <w:r>
        <w:rPr>
          <w:rFonts w:hint="eastAsia" w:ascii="宋体" w:hAnsi="宋体"/>
          <w:color w:val="auto"/>
          <w:sz w:val="28"/>
          <w:highlight w:val="none"/>
          <w:lang w:val="en-US" w:eastAsia="zh-CN"/>
        </w:rPr>
        <w:t>12345热线</w:t>
      </w:r>
      <w:r>
        <w:rPr>
          <w:rFonts w:hint="eastAsia" w:ascii="宋体" w:hAnsi="宋体"/>
          <w:color w:val="auto"/>
          <w:sz w:val="28"/>
          <w:highlight w:val="none"/>
        </w:rPr>
        <w:t>运营中心人员招聘，可对应聘人员进行综合打分，完善招聘条件。</w:t>
      </w:r>
    </w:p>
    <w:p w14:paraId="02AB4A73">
      <w:pPr>
        <w:spacing w:line="560" w:lineRule="exact"/>
        <w:ind w:firstLine="560" w:firstLineChars="200"/>
        <w:rPr>
          <w:rFonts w:ascii="宋体" w:hAnsi="宋体"/>
          <w:strike w:val="0"/>
          <w:color w:val="auto"/>
          <w:sz w:val="28"/>
          <w:highlight w:val="none"/>
        </w:rPr>
      </w:pPr>
      <w:r>
        <w:rPr>
          <w:rFonts w:hint="eastAsia" w:ascii="宋体" w:hAnsi="宋体"/>
          <w:strike w:val="0"/>
          <w:dstrike w:val="0"/>
          <w:color w:val="auto"/>
          <w:sz w:val="28"/>
          <w:highlight w:val="none"/>
          <w:lang w:val="en-US" w:eastAsia="zh-CN"/>
        </w:rPr>
        <w:t>9</w:t>
      </w:r>
      <w:r>
        <w:rPr>
          <w:rFonts w:hint="eastAsia" w:ascii="宋体" w:hAnsi="宋体"/>
          <w:strike w:val="0"/>
          <w:color w:val="auto"/>
          <w:sz w:val="28"/>
          <w:highlight w:val="none"/>
        </w:rPr>
        <w:t>.其他未尽事宜，甲乙双方本着平等互利和相互信任的精神友好协商解决。</w:t>
      </w:r>
    </w:p>
    <w:p w14:paraId="50ABA696">
      <w:pPr>
        <w:pStyle w:val="10"/>
        <w:numPr>
          <w:ilvl w:val="0"/>
          <w:numId w:val="2"/>
        </w:numPr>
        <w:spacing w:line="560" w:lineRule="exact"/>
        <w:ind w:hanging="245" w:firstLineChars="0"/>
        <w:outlineLvl w:val="0"/>
        <w:rPr>
          <w:rFonts w:ascii="宋体" w:hAnsi="宋体"/>
          <w:b/>
          <w:bCs/>
          <w:color w:val="auto"/>
          <w:sz w:val="28"/>
          <w:highlight w:val="none"/>
        </w:rPr>
      </w:pPr>
      <w:r>
        <w:rPr>
          <w:rFonts w:hint="eastAsia" w:ascii="宋体" w:hAnsi="宋体"/>
          <w:b/>
          <w:bCs/>
          <w:color w:val="auto"/>
          <w:sz w:val="28"/>
          <w:highlight w:val="none"/>
        </w:rPr>
        <w:t>乙方的权利与义务</w:t>
      </w:r>
    </w:p>
    <w:p w14:paraId="5F1FB3CE">
      <w:pPr>
        <w:spacing w:line="560" w:lineRule="exact"/>
        <w:ind w:firstLine="560" w:firstLineChars="200"/>
        <w:jc w:val="left"/>
        <w:rPr>
          <w:rFonts w:ascii="宋体" w:hAnsi="宋体"/>
          <w:color w:val="auto"/>
          <w:sz w:val="28"/>
          <w:szCs w:val="28"/>
          <w:highlight w:val="none"/>
        </w:rPr>
      </w:pPr>
      <w:r>
        <w:rPr>
          <w:rFonts w:ascii="宋体" w:hAnsi="宋体"/>
          <w:color w:val="auto"/>
          <w:sz w:val="28"/>
          <w:highlight w:val="none"/>
        </w:rPr>
        <w:t>1</w:t>
      </w:r>
      <w:r>
        <w:rPr>
          <w:rFonts w:hint="eastAsia" w:ascii="宋体" w:hAnsi="宋体"/>
          <w:color w:val="auto"/>
          <w:sz w:val="28"/>
          <w:highlight w:val="none"/>
        </w:rPr>
        <w:t>．</w:t>
      </w:r>
      <w:r>
        <w:rPr>
          <w:rFonts w:hint="eastAsia" w:ascii="宋体" w:hAnsi="宋体"/>
          <w:color w:val="auto"/>
          <w:sz w:val="28"/>
          <w:szCs w:val="28"/>
          <w:highlight w:val="none"/>
        </w:rPr>
        <w:t>乙方负责人员的招聘、业务培训、人员管理、工资发放</w:t>
      </w:r>
      <w:r>
        <w:rPr>
          <w:rFonts w:hint="eastAsia" w:ascii="宋体" w:hAnsi="宋体"/>
          <w:color w:val="auto"/>
          <w:sz w:val="28"/>
          <w:szCs w:val="28"/>
          <w:highlight w:val="none"/>
          <w:lang w:val="en-US" w:eastAsia="zh-CN"/>
        </w:rPr>
        <w:t>等</w:t>
      </w:r>
      <w:r>
        <w:rPr>
          <w:rFonts w:hint="eastAsia" w:ascii="宋体" w:hAnsi="宋体"/>
          <w:color w:val="auto"/>
          <w:sz w:val="28"/>
          <w:szCs w:val="28"/>
          <w:highlight w:val="none"/>
        </w:rPr>
        <w:t>相关工作，同时应将工作情况及时向甲方反馈，接受甲方监督和考核。若因乙方未履行义务造成甲方损失的，甲方有权在应付款项中先行扣除并通知乙方，同时仍有权就不足弥补损失的部分向乙方追偿。</w:t>
      </w:r>
    </w:p>
    <w:p w14:paraId="2CF25A0B">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2</w:t>
      </w:r>
      <w:r>
        <w:rPr>
          <w:rFonts w:hint="eastAsia" w:ascii="宋体" w:hAnsi="宋体"/>
          <w:color w:val="auto"/>
          <w:sz w:val="28"/>
          <w:szCs w:val="28"/>
          <w:highlight w:val="none"/>
        </w:rPr>
        <w:t>.乙方应在甲方要求的时间内完成</w:t>
      </w:r>
      <w:r>
        <w:rPr>
          <w:rFonts w:hint="eastAsia" w:ascii="宋体" w:hAnsi="宋体"/>
          <w:color w:val="auto"/>
          <w:sz w:val="28"/>
          <w:szCs w:val="28"/>
          <w:highlight w:val="none"/>
          <w:lang w:eastAsia="zh-CN"/>
        </w:rPr>
        <w:t>呼叫</w:t>
      </w:r>
      <w:r>
        <w:rPr>
          <w:rFonts w:hint="eastAsia" w:ascii="宋体" w:hAnsi="宋体"/>
          <w:color w:val="auto"/>
          <w:sz w:val="28"/>
          <w:szCs w:val="28"/>
          <w:highlight w:val="none"/>
        </w:rPr>
        <w:t>中心系统上线以及正常运行。</w:t>
      </w:r>
    </w:p>
    <w:p w14:paraId="3827A5A0">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3</w:t>
      </w:r>
      <w:r>
        <w:rPr>
          <w:rFonts w:hint="eastAsia" w:ascii="宋体" w:hAnsi="宋体"/>
          <w:color w:val="auto"/>
          <w:sz w:val="28"/>
          <w:szCs w:val="28"/>
          <w:highlight w:val="none"/>
        </w:rPr>
        <w:t>.乙方设置客户经理和7×24小时值班电话，为甲方提供优先、优质、优惠的通信服务，包括</w:t>
      </w:r>
      <w:r>
        <w:rPr>
          <w:rFonts w:ascii="宋体" w:hAnsi="宋体"/>
          <w:color w:val="auto"/>
          <w:sz w:val="28"/>
          <w:szCs w:val="28"/>
          <w:highlight w:val="none"/>
        </w:rPr>
        <w:t>但不限于</w:t>
      </w:r>
      <w:r>
        <w:rPr>
          <w:rFonts w:hint="eastAsia" w:ascii="宋体" w:hAnsi="宋体"/>
          <w:color w:val="auto"/>
          <w:sz w:val="28"/>
          <w:szCs w:val="28"/>
          <w:highlight w:val="none"/>
        </w:rPr>
        <w:t>业务咨询、受理及障碍申告等服务。</w:t>
      </w:r>
    </w:p>
    <w:p w14:paraId="0B502EA7">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4</w:t>
      </w:r>
      <w:r>
        <w:rPr>
          <w:rFonts w:hint="eastAsia" w:ascii="宋体" w:hAnsi="宋体"/>
          <w:color w:val="auto"/>
          <w:sz w:val="28"/>
          <w:szCs w:val="28"/>
          <w:highlight w:val="none"/>
        </w:rPr>
        <w:t>.</w:t>
      </w:r>
      <w:r>
        <w:rPr>
          <w:rFonts w:hint="eastAsia" w:ascii="宋体" w:hAnsi="宋体"/>
          <w:color w:val="auto"/>
          <w:sz w:val="28"/>
          <w:szCs w:val="28"/>
          <w:highlight w:val="none"/>
          <w:lang w:val="en-US" w:eastAsia="zh-CN"/>
        </w:rPr>
        <w:t>在本合同</w:t>
      </w:r>
      <w:r>
        <w:rPr>
          <w:rFonts w:hint="eastAsia" w:ascii="宋体" w:hAnsi="宋体"/>
          <w:strike w:val="0"/>
          <w:dstrike w:val="0"/>
          <w:color w:val="auto"/>
          <w:sz w:val="28"/>
          <w:szCs w:val="28"/>
          <w:highlight w:val="none"/>
          <w:lang w:val="en-US" w:eastAsia="zh-CN"/>
        </w:rPr>
        <w:t>服务</w:t>
      </w:r>
      <w:r>
        <w:rPr>
          <w:rFonts w:hint="eastAsia" w:ascii="宋体" w:hAnsi="宋体"/>
          <w:color w:val="auto"/>
          <w:sz w:val="28"/>
          <w:szCs w:val="28"/>
          <w:highlight w:val="none"/>
          <w:lang w:val="en-US" w:eastAsia="zh-CN"/>
        </w:rPr>
        <w:t>期内</w:t>
      </w:r>
      <w:r>
        <w:rPr>
          <w:rFonts w:hint="eastAsia" w:ascii="宋体" w:hAnsi="宋体"/>
          <w:color w:val="auto"/>
          <w:sz w:val="28"/>
          <w:szCs w:val="28"/>
          <w:highlight w:val="none"/>
        </w:rPr>
        <w:t>乙方</w:t>
      </w:r>
      <w:r>
        <w:rPr>
          <w:rFonts w:hint="eastAsia" w:ascii="宋体" w:hAnsi="宋体"/>
          <w:color w:val="auto"/>
          <w:sz w:val="28"/>
          <w:szCs w:val="28"/>
          <w:highlight w:val="none"/>
          <w:lang w:val="en-US" w:eastAsia="zh-CN"/>
        </w:rPr>
        <w:t>应</w:t>
      </w:r>
      <w:r>
        <w:rPr>
          <w:rFonts w:hint="eastAsia" w:ascii="宋体" w:hAnsi="宋体"/>
          <w:color w:val="auto"/>
          <w:sz w:val="28"/>
          <w:szCs w:val="28"/>
          <w:highlight w:val="none"/>
        </w:rPr>
        <w:t>按国家电信主管部门颁布的电信服务标准确保</w:t>
      </w:r>
      <w:r>
        <w:rPr>
          <w:rFonts w:hint="eastAsia" w:ascii="宋体" w:hAnsi="宋体"/>
          <w:color w:val="auto"/>
          <w:sz w:val="28"/>
          <w:szCs w:val="28"/>
          <w:highlight w:val="none"/>
          <w:lang w:val="en-US" w:eastAsia="zh-CN"/>
        </w:rPr>
        <w:t>三亚</w:t>
      </w:r>
      <w:r>
        <w:rPr>
          <w:rFonts w:hint="eastAsia" w:ascii="宋体" w:hAnsi="宋体"/>
          <w:color w:val="auto"/>
          <w:sz w:val="28"/>
          <w:szCs w:val="28"/>
          <w:highlight w:val="none"/>
        </w:rPr>
        <w:t>12345热线平台与相关设备、线路正常运行。</w:t>
      </w:r>
    </w:p>
    <w:p w14:paraId="68547C7F">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5</w:t>
      </w:r>
      <w:r>
        <w:rPr>
          <w:rFonts w:hint="eastAsia" w:ascii="宋体" w:hAnsi="宋体"/>
          <w:color w:val="auto"/>
          <w:sz w:val="28"/>
          <w:szCs w:val="28"/>
          <w:highlight w:val="none"/>
        </w:rPr>
        <w:t>.乙方应确保热线的接通率、应答率等，做到热线电话打得进、接得起、办得好，保证本合同要求的服务质量不因情况突变造成质量下降</w:t>
      </w:r>
      <w:r>
        <w:rPr>
          <w:rFonts w:ascii="宋体" w:hAnsi="宋体"/>
          <w:color w:val="auto"/>
          <w:sz w:val="28"/>
          <w:szCs w:val="28"/>
          <w:highlight w:val="none"/>
        </w:rPr>
        <w:t>。</w:t>
      </w:r>
    </w:p>
    <w:p w14:paraId="54007649">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6</w:t>
      </w:r>
      <w:r>
        <w:rPr>
          <w:rFonts w:hint="eastAsia" w:ascii="宋体" w:hAnsi="宋体"/>
          <w:color w:val="auto"/>
          <w:sz w:val="28"/>
          <w:szCs w:val="28"/>
          <w:highlight w:val="none"/>
        </w:rPr>
        <w:t>.乙方对甲方提出的障碍申告应优先处理。故障修复时间依据相关规程和规范及按电信服务承诺的故障等级修复时间要求内完成。</w:t>
      </w:r>
    </w:p>
    <w:p w14:paraId="3F478198">
      <w:pPr>
        <w:spacing w:line="560" w:lineRule="exact"/>
        <w:ind w:firstLine="560" w:firstLineChars="200"/>
        <w:rPr>
          <w:rFonts w:hint="default" w:ascii="宋体" w:hAnsi="宋体" w:eastAsia="宋体"/>
          <w:color w:val="auto"/>
          <w:sz w:val="28"/>
          <w:szCs w:val="28"/>
          <w:highlight w:val="none"/>
          <w:lang w:val="en-US" w:eastAsia="zh-CN"/>
        </w:rPr>
      </w:pPr>
      <w:r>
        <w:rPr>
          <w:rFonts w:ascii="宋体" w:hAnsi="宋体"/>
          <w:color w:val="auto"/>
          <w:sz w:val="28"/>
          <w:highlight w:val="none"/>
        </w:rPr>
        <w:t>7</w:t>
      </w:r>
      <w:r>
        <w:rPr>
          <w:rFonts w:ascii="宋体" w:hAnsi="宋体"/>
          <w:color w:val="auto"/>
          <w:sz w:val="28"/>
          <w:szCs w:val="28"/>
          <w:highlight w:val="none"/>
        </w:rPr>
        <w:t>.</w:t>
      </w:r>
      <w:r>
        <w:rPr>
          <w:rFonts w:hint="eastAsia" w:ascii="宋体" w:hAnsi="宋体"/>
          <w:color w:val="auto"/>
          <w:sz w:val="28"/>
          <w:szCs w:val="28"/>
          <w:highlight w:val="none"/>
        </w:rPr>
        <w:t>乙方负责聘用</w:t>
      </w:r>
      <w:r>
        <w:rPr>
          <w:rFonts w:hint="eastAsia" w:ascii="宋体" w:hAnsi="宋体"/>
          <w:strike w:val="0"/>
          <w:dstrike w:val="0"/>
          <w:color w:val="auto"/>
          <w:sz w:val="28"/>
          <w:highlight w:val="none"/>
          <w:lang w:val="en-US" w:eastAsia="zh-CN"/>
        </w:rPr>
        <w:t>服</w:t>
      </w:r>
      <w:r>
        <w:rPr>
          <w:rFonts w:hint="eastAsia" w:ascii="宋体" w:hAnsi="宋体"/>
          <w:color w:val="auto"/>
          <w:sz w:val="28"/>
          <w:szCs w:val="28"/>
          <w:highlight w:val="none"/>
        </w:rPr>
        <w:t>务</w:t>
      </w:r>
      <w:r>
        <w:rPr>
          <w:rFonts w:hint="eastAsia" w:ascii="宋体" w:hAnsi="宋体"/>
          <w:color w:val="auto"/>
          <w:sz w:val="28"/>
          <w:szCs w:val="28"/>
          <w:highlight w:val="none"/>
          <w:lang w:val="en-US" w:eastAsia="zh-CN"/>
        </w:rPr>
        <w:t>团队</w:t>
      </w:r>
      <w:r>
        <w:rPr>
          <w:rFonts w:hint="eastAsia" w:ascii="宋体" w:hAnsi="宋体"/>
          <w:color w:val="auto"/>
          <w:sz w:val="28"/>
          <w:szCs w:val="28"/>
          <w:highlight w:val="none"/>
        </w:rPr>
        <w:t>人员的劳动合同签订，承诺按国家规定发放工资、绩效、缴纳五险一金，根据工作人员实际工作情况发放节假日福利、年终奖金及加班费，合理安排团建、考察学习等活动。原则上，普通话务人员月均人工成本不低于5822元（含企业和个人缴纳五险一金部分），管理人员月均人工成本不低于6652元（含企业和个人缴纳五险一金部分），双语话务人员月均人工成本不低于10809元（含企业和个人缴纳五险一金部分），但需结合人员实际工作情况（含在岗时间、到岗情况、工作性质、工作量、工作时长、考核情况等）进行调整，如有必要可低于本标准。</w:t>
      </w:r>
      <w:r>
        <w:rPr>
          <w:rFonts w:hint="eastAsia" w:ascii="宋体" w:hAnsi="宋体"/>
          <w:color w:val="auto"/>
          <w:sz w:val="28"/>
          <w:szCs w:val="28"/>
          <w:highlight w:val="none"/>
          <w:lang w:val="en-US" w:eastAsia="zh-CN"/>
        </w:rPr>
        <w:t>以上人工成本包括但不限于工资、绩效、个人及单位五险一金、年终奖金、加班费、团建、考察学习、体检、培训、保险及其他相关费用。</w:t>
      </w:r>
    </w:p>
    <w:p w14:paraId="674ECBBD">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8</w:t>
      </w:r>
      <w:r>
        <w:rPr>
          <w:rFonts w:ascii="宋体" w:hAnsi="宋体"/>
          <w:color w:val="auto"/>
          <w:sz w:val="28"/>
          <w:szCs w:val="28"/>
          <w:highlight w:val="none"/>
        </w:rPr>
        <w:t>.乙方负责制定人员选聘、培养及考核管理制度</w:t>
      </w:r>
      <w:r>
        <w:rPr>
          <w:rFonts w:hint="eastAsia" w:ascii="宋体" w:hAnsi="宋体"/>
          <w:color w:val="auto"/>
          <w:sz w:val="28"/>
          <w:szCs w:val="28"/>
          <w:highlight w:val="none"/>
        </w:rPr>
        <w:t>。乙方需进行基本的服务礼仪培训、沟通技巧培训，基础培训完成后方可安排上岗；乙方需建立一套完整的员工绩效评估体系，员工评价需参考甲方对工作人员日常表现相关记录、工作量、工作成效等，做到有理有据。专席工作人员日常表现不佳，影响工作，无法满足服务要求的，乙方应在甲方提出退回该人员的要求</w:t>
      </w:r>
      <w:r>
        <w:rPr>
          <w:rFonts w:ascii="宋体" w:hAnsi="宋体"/>
          <w:color w:val="auto"/>
          <w:sz w:val="28"/>
          <w:szCs w:val="28"/>
          <w:highlight w:val="none"/>
        </w:rPr>
        <w:t>之日</w:t>
      </w:r>
      <w:r>
        <w:rPr>
          <w:rFonts w:hint="eastAsia" w:ascii="宋体" w:hAnsi="宋体"/>
          <w:color w:val="auto"/>
          <w:sz w:val="28"/>
          <w:szCs w:val="28"/>
          <w:highlight w:val="none"/>
        </w:rPr>
        <w:t>起</w:t>
      </w:r>
      <w:r>
        <w:rPr>
          <w:rFonts w:ascii="宋体" w:hAnsi="宋体"/>
          <w:color w:val="auto"/>
          <w:sz w:val="28"/>
          <w:szCs w:val="28"/>
          <w:highlight w:val="none"/>
        </w:rPr>
        <w:t>15个工作日内无条件更换合格人员上岗，并以书面的形式向甲方报备解聘人员名单。因解聘造成的一切纠纷均由乙方自行处理，甲方不承担任何责任。</w:t>
      </w:r>
    </w:p>
    <w:p w14:paraId="1D06281C">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9</w:t>
      </w:r>
      <w:r>
        <w:rPr>
          <w:rFonts w:ascii="宋体" w:hAnsi="宋体"/>
          <w:color w:val="auto"/>
          <w:sz w:val="28"/>
          <w:szCs w:val="28"/>
          <w:highlight w:val="none"/>
        </w:rPr>
        <w:t>.乙方负责</w:t>
      </w:r>
      <w:r>
        <w:rPr>
          <w:rFonts w:hint="eastAsia" w:ascii="宋体" w:hAnsi="宋体"/>
          <w:color w:val="auto"/>
          <w:sz w:val="28"/>
          <w:szCs w:val="28"/>
          <w:highlight w:val="none"/>
          <w:lang w:val="en-US" w:eastAsia="zh-CN"/>
        </w:rPr>
        <w:t>三亚</w:t>
      </w:r>
      <w:r>
        <w:rPr>
          <w:rFonts w:ascii="宋体" w:hAnsi="宋体"/>
          <w:color w:val="auto"/>
          <w:sz w:val="28"/>
          <w:szCs w:val="28"/>
          <w:highlight w:val="none"/>
        </w:rPr>
        <w:t>12345热线</w:t>
      </w:r>
      <w:r>
        <w:rPr>
          <w:rFonts w:hint="eastAsia" w:ascii="宋体" w:hAnsi="宋体"/>
          <w:color w:val="auto"/>
          <w:sz w:val="28"/>
          <w:szCs w:val="28"/>
          <w:highlight w:val="none"/>
        </w:rPr>
        <w:t>平台的接线、协调处理、反馈等办件处理工作。</w:t>
      </w:r>
    </w:p>
    <w:p w14:paraId="74134169">
      <w:pPr>
        <w:spacing w:line="560" w:lineRule="exact"/>
        <w:ind w:firstLine="560" w:firstLineChars="200"/>
        <w:rPr>
          <w:rFonts w:ascii="宋体" w:hAnsi="宋体"/>
          <w:color w:val="auto"/>
          <w:sz w:val="28"/>
          <w:szCs w:val="28"/>
          <w:highlight w:val="none"/>
        </w:rPr>
      </w:pPr>
      <w:r>
        <w:rPr>
          <w:rFonts w:hint="eastAsia" w:ascii="宋体" w:hAnsi="宋体"/>
          <w:color w:val="auto"/>
          <w:sz w:val="28"/>
          <w:szCs w:val="28"/>
          <w:highlight w:val="none"/>
          <w:lang w:val="en-US" w:eastAsia="zh-CN"/>
        </w:rPr>
        <w:t>10</w:t>
      </w:r>
      <w:r>
        <w:rPr>
          <w:rFonts w:ascii="宋体" w:hAnsi="宋体"/>
          <w:color w:val="auto"/>
          <w:sz w:val="28"/>
          <w:szCs w:val="28"/>
          <w:highlight w:val="none"/>
        </w:rPr>
        <w:t>.乙方负责</w:t>
      </w:r>
      <w:r>
        <w:rPr>
          <w:rFonts w:hint="eastAsia" w:ascii="宋体" w:hAnsi="宋体"/>
          <w:color w:val="auto"/>
          <w:sz w:val="28"/>
          <w:szCs w:val="28"/>
          <w:highlight w:val="none"/>
          <w:lang w:val="en-US" w:eastAsia="zh-CN"/>
        </w:rPr>
        <w:t>三亚</w:t>
      </w:r>
      <w:r>
        <w:rPr>
          <w:rFonts w:ascii="宋体" w:hAnsi="宋体"/>
          <w:color w:val="auto"/>
          <w:sz w:val="28"/>
          <w:szCs w:val="28"/>
          <w:highlight w:val="none"/>
        </w:rPr>
        <w:t>12345热线</w:t>
      </w:r>
      <w:r>
        <w:rPr>
          <w:rFonts w:hint="eastAsia" w:ascii="宋体" w:hAnsi="宋体"/>
          <w:color w:val="auto"/>
          <w:sz w:val="28"/>
          <w:szCs w:val="28"/>
          <w:highlight w:val="none"/>
        </w:rPr>
        <w:t>后台的办件审核、回访、复核审核、督办等工作，定期整理超时办件进行催办跟踪，汇总推诿</w:t>
      </w:r>
      <w:r>
        <w:rPr>
          <w:rFonts w:hint="eastAsia" w:ascii="宋体" w:hAnsi="宋体"/>
          <w:color w:val="auto"/>
          <w:sz w:val="28"/>
          <w:szCs w:val="28"/>
          <w:highlight w:val="none"/>
          <w:lang w:eastAsia="zh-CN"/>
        </w:rPr>
        <w:t>、</w:t>
      </w:r>
      <w:r>
        <w:rPr>
          <w:rFonts w:hint="eastAsia" w:ascii="宋体" w:hAnsi="宋体"/>
          <w:color w:val="auto"/>
          <w:sz w:val="28"/>
          <w:szCs w:val="28"/>
          <w:highlight w:val="none"/>
        </w:rPr>
        <w:t>扯皮</w:t>
      </w:r>
      <w:r>
        <w:rPr>
          <w:rFonts w:hint="eastAsia" w:ascii="宋体" w:hAnsi="宋体"/>
          <w:color w:val="auto"/>
          <w:sz w:val="28"/>
          <w:szCs w:val="28"/>
          <w:highlight w:val="none"/>
          <w:lang w:eastAsia="zh-CN"/>
        </w:rPr>
        <w:t>、</w:t>
      </w:r>
      <w:r>
        <w:rPr>
          <w:rFonts w:hint="eastAsia" w:ascii="宋体" w:hAnsi="宋体"/>
          <w:color w:val="auto"/>
          <w:sz w:val="28"/>
          <w:szCs w:val="28"/>
          <w:highlight w:val="none"/>
        </w:rPr>
        <w:t>谎报办件审核</w:t>
      </w:r>
      <w:r>
        <w:rPr>
          <w:rFonts w:hint="eastAsia" w:ascii="宋体" w:hAnsi="宋体"/>
          <w:color w:val="auto"/>
          <w:sz w:val="28"/>
          <w:szCs w:val="28"/>
          <w:highlight w:val="none"/>
          <w:lang w:val="en-US" w:eastAsia="zh-CN"/>
        </w:rPr>
        <w:t>情况，</w:t>
      </w:r>
      <w:r>
        <w:rPr>
          <w:rFonts w:hint="eastAsia" w:ascii="宋体" w:hAnsi="宋体"/>
          <w:strike w:val="0"/>
          <w:dstrike w:val="0"/>
          <w:color w:val="auto"/>
          <w:sz w:val="28"/>
          <w:szCs w:val="28"/>
          <w:highlight w:val="none"/>
          <w:lang w:val="en-US" w:eastAsia="zh-CN"/>
        </w:rPr>
        <w:t>并向</w:t>
      </w:r>
      <w:r>
        <w:rPr>
          <w:rFonts w:ascii="宋体" w:hAnsi="宋体"/>
          <w:color w:val="auto"/>
          <w:sz w:val="28"/>
          <w:szCs w:val="28"/>
          <w:highlight w:val="none"/>
        </w:rPr>
        <w:t>甲方</w:t>
      </w:r>
      <w:r>
        <w:rPr>
          <w:rFonts w:hint="eastAsia" w:ascii="宋体" w:hAnsi="宋体"/>
          <w:color w:val="auto"/>
          <w:sz w:val="28"/>
          <w:szCs w:val="28"/>
          <w:highlight w:val="none"/>
          <w:lang w:val="en-US" w:eastAsia="zh-CN"/>
        </w:rPr>
        <w:t>提供书面报告</w:t>
      </w:r>
      <w:r>
        <w:rPr>
          <w:rFonts w:hint="eastAsia" w:ascii="宋体" w:hAnsi="宋体"/>
          <w:strike w:val="0"/>
          <w:dstrike w:val="0"/>
          <w:color w:val="auto"/>
          <w:sz w:val="28"/>
          <w:szCs w:val="28"/>
          <w:highlight w:val="none"/>
          <w:lang w:eastAsia="zh-CN"/>
        </w:rPr>
        <w:t>；</w:t>
      </w:r>
      <w:r>
        <w:rPr>
          <w:rFonts w:ascii="宋体" w:hAnsi="宋体"/>
          <w:color w:val="auto"/>
          <w:sz w:val="28"/>
          <w:szCs w:val="28"/>
          <w:highlight w:val="none"/>
        </w:rPr>
        <w:t>对甲方提出疑问的地方应</w:t>
      </w:r>
      <w:r>
        <w:rPr>
          <w:rFonts w:hint="eastAsia" w:ascii="宋体" w:hAnsi="宋体"/>
          <w:strike w:val="0"/>
          <w:dstrike w:val="0"/>
          <w:color w:val="auto"/>
          <w:sz w:val="28"/>
          <w:szCs w:val="28"/>
          <w:highlight w:val="none"/>
          <w:lang w:val="en-US" w:eastAsia="zh-CN"/>
        </w:rPr>
        <w:t>委派</w:t>
      </w:r>
      <w:r>
        <w:rPr>
          <w:rFonts w:ascii="宋体" w:hAnsi="宋体"/>
          <w:color w:val="auto"/>
          <w:sz w:val="28"/>
          <w:szCs w:val="28"/>
          <w:highlight w:val="none"/>
        </w:rPr>
        <w:t>专人进行解答</w:t>
      </w:r>
      <w:r>
        <w:rPr>
          <w:rFonts w:hint="eastAsia" w:ascii="宋体" w:hAnsi="宋体"/>
          <w:color w:val="auto"/>
          <w:sz w:val="28"/>
          <w:szCs w:val="28"/>
          <w:highlight w:val="none"/>
        </w:rPr>
        <w:t>。</w:t>
      </w:r>
    </w:p>
    <w:p w14:paraId="45694272">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11</w:t>
      </w:r>
      <w:r>
        <w:rPr>
          <w:rFonts w:ascii="宋体" w:hAnsi="宋体"/>
          <w:color w:val="auto"/>
          <w:sz w:val="28"/>
          <w:szCs w:val="28"/>
          <w:highlight w:val="none"/>
        </w:rPr>
        <w:t>.乙方</w:t>
      </w:r>
      <w:r>
        <w:rPr>
          <w:rFonts w:hint="eastAsia" w:ascii="宋体" w:hAnsi="宋体"/>
          <w:color w:val="auto"/>
          <w:sz w:val="28"/>
          <w:szCs w:val="28"/>
          <w:highlight w:val="none"/>
        </w:rPr>
        <w:t>负责</w:t>
      </w:r>
      <w:r>
        <w:rPr>
          <w:rFonts w:ascii="宋体" w:hAnsi="宋体"/>
          <w:color w:val="auto"/>
          <w:sz w:val="28"/>
          <w:szCs w:val="28"/>
          <w:highlight w:val="none"/>
        </w:rPr>
        <w:t>热线所有文件流转、宣传文稿、公文函件等材料的撰写工作及调研分析的数据统计工作等。</w:t>
      </w:r>
    </w:p>
    <w:p w14:paraId="1FA77FCC">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12</w:t>
      </w:r>
      <w:r>
        <w:rPr>
          <w:rFonts w:ascii="宋体" w:hAnsi="宋体"/>
          <w:color w:val="auto"/>
          <w:sz w:val="28"/>
          <w:szCs w:val="28"/>
          <w:highlight w:val="none"/>
        </w:rPr>
        <w:t>.乙方负责解决话务现场计算机系统的故障、维护及升级工作，定期对机房设备进行巡检。</w:t>
      </w:r>
    </w:p>
    <w:p w14:paraId="32D46B86">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13</w:t>
      </w:r>
      <w:r>
        <w:rPr>
          <w:rFonts w:ascii="宋体" w:hAnsi="宋体"/>
          <w:color w:val="auto"/>
          <w:sz w:val="28"/>
          <w:szCs w:val="28"/>
          <w:highlight w:val="none"/>
        </w:rPr>
        <w:t>.甲方的本地坐席会随着乙方</w:t>
      </w:r>
      <w:r>
        <w:rPr>
          <w:rFonts w:hint="eastAsia" w:ascii="宋体" w:hAnsi="宋体"/>
          <w:color w:val="auto"/>
          <w:sz w:val="28"/>
          <w:szCs w:val="28"/>
          <w:highlight w:val="none"/>
          <w:lang w:val="en-US" w:eastAsia="zh-CN"/>
        </w:rPr>
        <w:t>三亚</w:t>
      </w:r>
      <w:r>
        <w:rPr>
          <w:rFonts w:ascii="宋体" w:hAnsi="宋体"/>
          <w:color w:val="auto"/>
          <w:sz w:val="28"/>
          <w:szCs w:val="28"/>
          <w:highlight w:val="none"/>
        </w:rPr>
        <w:t>12345热线</w:t>
      </w:r>
      <w:r>
        <w:rPr>
          <w:rFonts w:hint="eastAsia" w:ascii="宋体" w:hAnsi="宋体"/>
          <w:color w:val="auto"/>
          <w:sz w:val="28"/>
          <w:szCs w:val="28"/>
          <w:highlight w:val="none"/>
        </w:rPr>
        <w:t>平台的升级而升级，非因乙方的过错原因，在参照同类城市政府热线平台话务受理强度的基础上，当本年度话务总量增减超过上一年度话务总量的</w:t>
      </w:r>
      <w:r>
        <w:rPr>
          <w:rFonts w:ascii="宋体" w:hAnsi="宋体"/>
          <w:color w:val="auto"/>
          <w:sz w:val="28"/>
          <w:szCs w:val="28"/>
          <w:highlight w:val="none"/>
        </w:rPr>
        <w:t>15%时，每增减5%乙方有权向甲方提出增减相应的人员管理运营费</w:t>
      </w:r>
      <w:r>
        <w:rPr>
          <w:rFonts w:hint="eastAsia" w:ascii="宋体" w:hAnsi="宋体"/>
          <w:color w:val="auto"/>
          <w:sz w:val="28"/>
          <w:szCs w:val="28"/>
          <w:highlight w:val="none"/>
          <w:lang w:val="en-US" w:eastAsia="zh-CN"/>
        </w:rPr>
        <w:t>要求</w:t>
      </w:r>
      <w:r>
        <w:rPr>
          <w:rFonts w:ascii="宋体" w:hAnsi="宋体"/>
          <w:color w:val="auto"/>
          <w:sz w:val="28"/>
          <w:szCs w:val="28"/>
          <w:highlight w:val="none"/>
        </w:rPr>
        <w:t>，制定合理的增减测算依据并经甲方书面</w:t>
      </w:r>
      <w:r>
        <w:rPr>
          <w:rFonts w:hint="eastAsia" w:ascii="宋体" w:hAnsi="宋体"/>
          <w:color w:val="auto"/>
          <w:sz w:val="28"/>
          <w:szCs w:val="28"/>
          <w:highlight w:val="none"/>
        </w:rPr>
        <w:t>同意后方可增减。</w:t>
      </w:r>
    </w:p>
    <w:p w14:paraId="1B33B8EE">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14</w:t>
      </w:r>
      <w:r>
        <w:rPr>
          <w:rFonts w:ascii="宋体" w:hAnsi="宋体"/>
          <w:color w:val="auto"/>
          <w:sz w:val="28"/>
          <w:szCs w:val="28"/>
          <w:highlight w:val="none"/>
        </w:rPr>
        <w:t>.乙方应及时对系统平台进行日常维护巡检及新需求支撑，保证系统平台良好运行，</w:t>
      </w:r>
      <w:r>
        <w:rPr>
          <w:rFonts w:hint="eastAsia" w:ascii="宋体" w:hAnsi="宋体"/>
          <w:color w:val="auto"/>
          <w:sz w:val="28"/>
          <w:szCs w:val="28"/>
          <w:highlight w:val="none"/>
          <w:lang w:val="en-US" w:eastAsia="zh-CN"/>
        </w:rPr>
        <w:t>并</w:t>
      </w:r>
      <w:r>
        <w:rPr>
          <w:rFonts w:ascii="宋体" w:hAnsi="宋体"/>
          <w:color w:val="auto"/>
          <w:sz w:val="28"/>
          <w:szCs w:val="28"/>
          <w:highlight w:val="none"/>
        </w:rPr>
        <w:t>每周给甲方提供平台维护报告。</w:t>
      </w:r>
    </w:p>
    <w:p w14:paraId="3548955E">
      <w:pPr>
        <w:spacing w:line="560" w:lineRule="exact"/>
        <w:ind w:firstLine="560" w:firstLineChars="200"/>
        <w:rPr>
          <w:rFonts w:ascii="宋体" w:hAnsi="宋体"/>
          <w:color w:val="auto"/>
          <w:sz w:val="28"/>
          <w:szCs w:val="28"/>
          <w:highlight w:val="none"/>
        </w:rPr>
      </w:pPr>
      <w:r>
        <w:rPr>
          <w:rFonts w:ascii="宋体" w:hAnsi="宋体"/>
          <w:color w:val="auto"/>
          <w:sz w:val="28"/>
          <w:highlight w:val="none"/>
        </w:rPr>
        <w:t>15</w:t>
      </w:r>
      <w:r>
        <w:rPr>
          <w:rFonts w:ascii="宋体" w:hAnsi="宋体"/>
          <w:color w:val="auto"/>
          <w:sz w:val="28"/>
          <w:szCs w:val="28"/>
          <w:highlight w:val="none"/>
        </w:rPr>
        <w:t>.</w:t>
      </w:r>
      <w:r>
        <w:rPr>
          <w:rFonts w:hint="eastAsia" w:ascii="宋体" w:hAnsi="宋体"/>
          <w:color w:val="auto"/>
          <w:sz w:val="28"/>
          <w:szCs w:val="28"/>
          <w:highlight w:val="none"/>
        </w:rPr>
        <w:t>为更好运营热线，甲方提出报表、短信内容、语音菜单及导航按键调整方面的需求，乙方在本合同</w:t>
      </w:r>
      <w:r>
        <w:rPr>
          <w:rFonts w:hint="eastAsia" w:ascii="宋体" w:hAnsi="宋体"/>
          <w:strike w:val="0"/>
          <w:dstrike w:val="0"/>
          <w:color w:val="auto"/>
          <w:sz w:val="28"/>
          <w:szCs w:val="28"/>
          <w:highlight w:val="none"/>
          <w:lang w:val="en-US" w:eastAsia="zh-CN"/>
        </w:rPr>
        <w:t>服务</w:t>
      </w:r>
      <w:r>
        <w:rPr>
          <w:rFonts w:hint="eastAsia" w:ascii="宋体" w:hAnsi="宋体"/>
          <w:color w:val="auto"/>
          <w:sz w:val="28"/>
          <w:szCs w:val="28"/>
          <w:highlight w:val="none"/>
        </w:rPr>
        <w:t>期</w:t>
      </w:r>
      <w:r>
        <w:rPr>
          <w:rFonts w:hint="eastAsia" w:ascii="宋体" w:hAnsi="宋体"/>
          <w:color w:val="auto"/>
          <w:sz w:val="28"/>
          <w:szCs w:val="28"/>
          <w:highlight w:val="none"/>
          <w:lang w:val="en-US" w:eastAsia="zh-CN"/>
        </w:rPr>
        <w:t>限</w:t>
      </w:r>
      <w:r>
        <w:rPr>
          <w:rFonts w:hint="eastAsia" w:ascii="宋体" w:hAnsi="宋体"/>
          <w:color w:val="auto"/>
          <w:sz w:val="28"/>
          <w:szCs w:val="28"/>
          <w:highlight w:val="none"/>
        </w:rPr>
        <w:t>内免费为甲方提供5次功能修改。若甲方提出新的功能模块开发</w:t>
      </w:r>
      <w:r>
        <w:rPr>
          <w:rFonts w:hint="eastAsia" w:ascii="宋体" w:hAnsi="宋体"/>
          <w:strike w:val="0"/>
          <w:color w:val="auto"/>
          <w:sz w:val="28"/>
          <w:szCs w:val="28"/>
          <w:highlight w:val="none"/>
        </w:rPr>
        <w:t>和业务流程改变</w:t>
      </w:r>
      <w:r>
        <w:rPr>
          <w:rFonts w:hint="eastAsia" w:ascii="宋体" w:hAnsi="宋体"/>
          <w:color w:val="auto"/>
          <w:sz w:val="28"/>
          <w:szCs w:val="28"/>
          <w:highlight w:val="none"/>
        </w:rPr>
        <w:t>的需求，不在此招标需求范围内的，需甲乙双方协商评估后签订补充协议并另行结算其费用。</w:t>
      </w:r>
    </w:p>
    <w:p w14:paraId="3E178CB5">
      <w:pPr>
        <w:spacing w:line="560" w:lineRule="exact"/>
        <w:ind w:firstLine="560" w:firstLineChars="200"/>
        <w:rPr>
          <w:rFonts w:ascii="宋体" w:hAnsi="宋体"/>
          <w:color w:val="auto"/>
          <w:sz w:val="28"/>
          <w:szCs w:val="28"/>
          <w:highlight w:val="none"/>
        </w:rPr>
      </w:pPr>
      <w:r>
        <w:rPr>
          <w:rFonts w:hint="eastAsia" w:ascii="宋体" w:hAnsi="宋体"/>
          <w:strike w:val="0"/>
          <w:dstrike w:val="0"/>
          <w:color w:val="auto"/>
          <w:sz w:val="28"/>
          <w:highlight w:val="none"/>
          <w:lang w:val="en-US" w:eastAsia="zh-CN"/>
        </w:rPr>
        <w:t>16</w:t>
      </w:r>
      <w:r>
        <w:rPr>
          <w:rFonts w:hint="eastAsia" w:ascii="宋体" w:hAnsi="宋体"/>
          <w:color w:val="auto"/>
          <w:sz w:val="28"/>
          <w:szCs w:val="28"/>
          <w:highlight w:val="none"/>
        </w:rPr>
        <w:t>．乙方提供的</w:t>
      </w:r>
      <w:r>
        <w:rPr>
          <w:rFonts w:hint="eastAsia" w:ascii="宋体" w:hAnsi="宋体"/>
          <w:color w:val="auto"/>
          <w:sz w:val="28"/>
          <w:szCs w:val="28"/>
          <w:highlight w:val="none"/>
          <w:lang w:eastAsia="zh-CN"/>
        </w:rPr>
        <w:t>呼叫</w:t>
      </w:r>
      <w:r>
        <w:rPr>
          <w:rFonts w:hint="eastAsia" w:ascii="宋体" w:hAnsi="宋体"/>
          <w:color w:val="auto"/>
          <w:sz w:val="28"/>
          <w:szCs w:val="28"/>
          <w:highlight w:val="none"/>
        </w:rPr>
        <w:t>中心平台服务中包括</w:t>
      </w:r>
      <w:r>
        <w:rPr>
          <w:rFonts w:hint="eastAsia" w:ascii="宋体" w:hAnsi="宋体"/>
          <w:color w:val="auto"/>
          <w:sz w:val="28"/>
          <w:szCs w:val="28"/>
          <w:highlight w:val="none"/>
          <w:lang w:eastAsia="zh-CN"/>
        </w:rPr>
        <w:t>呼叫</w:t>
      </w:r>
      <w:r>
        <w:rPr>
          <w:rFonts w:hint="eastAsia" w:ascii="宋体" w:hAnsi="宋体"/>
          <w:color w:val="auto"/>
          <w:sz w:val="28"/>
          <w:szCs w:val="28"/>
          <w:highlight w:val="none"/>
        </w:rPr>
        <w:t>中心平台软硬件使用、光纤电路、坐席维护、坐席桌面市话、平台维护等内容。</w:t>
      </w:r>
    </w:p>
    <w:p w14:paraId="13352AD2">
      <w:pPr>
        <w:spacing w:line="560" w:lineRule="exact"/>
        <w:ind w:firstLine="560" w:firstLineChars="200"/>
        <w:rPr>
          <w:rFonts w:ascii="宋体" w:hAnsi="宋体"/>
          <w:color w:val="auto"/>
          <w:sz w:val="28"/>
          <w:szCs w:val="28"/>
          <w:highlight w:val="none"/>
        </w:rPr>
      </w:pPr>
      <w:r>
        <w:rPr>
          <w:rFonts w:hint="eastAsia" w:ascii="宋体" w:hAnsi="宋体"/>
          <w:strike w:val="0"/>
          <w:dstrike w:val="0"/>
          <w:color w:val="auto"/>
          <w:sz w:val="28"/>
          <w:highlight w:val="none"/>
          <w:lang w:val="en-US" w:eastAsia="zh-CN"/>
        </w:rPr>
        <w:t>17</w:t>
      </w:r>
      <w:r>
        <w:rPr>
          <w:rFonts w:hint="eastAsia" w:ascii="宋体" w:hAnsi="宋体"/>
          <w:color w:val="auto"/>
          <w:sz w:val="28"/>
          <w:szCs w:val="28"/>
          <w:highlight w:val="none"/>
        </w:rPr>
        <w:t>．</w:t>
      </w:r>
      <w:r>
        <w:rPr>
          <w:rFonts w:hint="eastAsia" w:ascii="宋体" w:hAnsi="宋体"/>
          <w:color w:val="auto"/>
          <w:sz w:val="28"/>
          <w:szCs w:val="28"/>
          <w:highlight w:val="none"/>
          <w:lang w:val="en-US" w:eastAsia="zh-CN"/>
        </w:rPr>
        <w:t>对</w:t>
      </w:r>
      <w:r>
        <w:rPr>
          <w:rFonts w:hint="eastAsia" w:ascii="宋体" w:hAnsi="宋体"/>
          <w:color w:val="auto"/>
          <w:sz w:val="28"/>
          <w:szCs w:val="28"/>
          <w:highlight w:val="none"/>
        </w:rPr>
        <w:t>可能影响系统运行网络安全的重大事项，包括负责人及重要工作人员变更、业务转型、合并重组、投资并购等，乙方应提前告知甲方</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并提出相应的解决方案</w:t>
      </w:r>
      <w:r>
        <w:rPr>
          <w:rFonts w:hint="eastAsia" w:ascii="宋体" w:hAnsi="宋体"/>
          <w:color w:val="auto"/>
          <w:sz w:val="28"/>
          <w:szCs w:val="28"/>
          <w:highlight w:val="none"/>
        </w:rPr>
        <w:t>。</w:t>
      </w:r>
    </w:p>
    <w:p w14:paraId="74C75958">
      <w:pPr>
        <w:spacing w:line="560" w:lineRule="exact"/>
        <w:ind w:firstLine="560" w:firstLineChars="200"/>
        <w:rPr>
          <w:rFonts w:ascii="宋体" w:hAnsi="宋体"/>
          <w:color w:val="auto"/>
          <w:sz w:val="28"/>
          <w:szCs w:val="28"/>
          <w:highlight w:val="none"/>
        </w:rPr>
      </w:pPr>
      <w:r>
        <w:rPr>
          <w:rFonts w:hint="eastAsia" w:ascii="宋体" w:hAnsi="宋体"/>
          <w:strike w:val="0"/>
          <w:dstrike w:val="0"/>
          <w:color w:val="auto"/>
          <w:sz w:val="28"/>
          <w:highlight w:val="none"/>
          <w:lang w:val="en-US" w:eastAsia="zh-CN"/>
        </w:rPr>
        <w:t>18</w:t>
      </w:r>
      <w:r>
        <w:rPr>
          <w:rFonts w:hint="eastAsia" w:ascii="宋体" w:hAnsi="宋体"/>
          <w:color w:val="auto"/>
          <w:sz w:val="28"/>
          <w:szCs w:val="28"/>
          <w:highlight w:val="none"/>
        </w:rPr>
        <w:t>．乙方每年12月份向甲方提交该年度信息系统维护的网络安全报告，报告至少包括数据安全管理情况，平台关键软件核心硬件安全情况，管理团队变化情况等。</w:t>
      </w:r>
    </w:p>
    <w:p w14:paraId="530785FF">
      <w:pPr>
        <w:spacing w:line="560" w:lineRule="exact"/>
        <w:ind w:firstLine="560" w:firstLineChars="200"/>
        <w:rPr>
          <w:rFonts w:ascii="宋体" w:hAnsi="宋体"/>
          <w:color w:val="auto"/>
          <w:sz w:val="28"/>
          <w:szCs w:val="28"/>
          <w:highlight w:val="none"/>
        </w:rPr>
      </w:pPr>
      <w:r>
        <w:rPr>
          <w:rFonts w:hint="eastAsia" w:ascii="宋体" w:hAnsi="宋体"/>
          <w:strike w:val="0"/>
          <w:dstrike w:val="0"/>
          <w:color w:val="auto"/>
          <w:sz w:val="28"/>
          <w:highlight w:val="none"/>
          <w:u w:val="none"/>
          <w:lang w:val="en-US" w:eastAsia="zh-CN"/>
        </w:rPr>
        <w:t>19</w:t>
      </w:r>
      <w:r>
        <w:rPr>
          <w:rFonts w:hint="eastAsia" w:ascii="宋体" w:hAnsi="宋体"/>
          <w:color w:val="auto"/>
          <w:sz w:val="28"/>
          <w:szCs w:val="28"/>
          <w:highlight w:val="none"/>
        </w:rPr>
        <w:t>.乙方</w:t>
      </w:r>
      <w:r>
        <w:rPr>
          <w:rFonts w:hint="eastAsia" w:ascii="宋体" w:hAnsi="宋体"/>
          <w:color w:val="auto"/>
          <w:sz w:val="28"/>
          <w:szCs w:val="28"/>
          <w:highlight w:val="none"/>
          <w:lang w:val="en-US" w:eastAsia="zh-CN"/>
        </w:rPr>
        <w:t>应</w:t>
      </w:r>
      <w:r>
        <w:rPr>
          <w:rFonts w:hint="eastAsia" w:ascii="宋体" w:hAnsi="宋体"/>
          <w:color w:val="auto"/>
          <w:sz w:val="28"/>
          <w:szCs w:val="28"/>
          <w:highlight w:val="none"/>
        </w:rPr>
        <w:t>按照甲方的要求做好知识库功能的更新、优化等及知识的采编、整理、录入、分类、更新和维护等工作，提升平台运行效能。</w:t>
      </w:r>
    </w:p>
    <w:p w14:paraId="4AE99DD9">
      <w:pPr>
        <w:spacing w:line="560" w:lineRule="exact"/>
        <w:ind w:firstLine="560" w:firstLineChars="200"/>
        <w:rPr>
          <w:rFonts w:ascii="宋体" w:hAnsi="宋体"/>
          <w:color w:val="auto"/>
          <w:sz w:val="28"/>
          <w:szCs w:val="28"/>
          <w:highlight w:val="none"/>
        </w:rPr>
      </w:pPr>
      <w:r>
        <w:rPr>
          <w:rFonts w:hint="eastAsia" w:ascii="宋体" w:hAnsi="宋体"/>
          <w:color w:val="auto"/>
          <w:sz w:val="28"/>
          <w:szCs w:val="28"/>
          <w:highlight w:val="none"/>
          <w:lang w:val="en-US" w:eastAsia="zh-CN"/>
        </w:rPr>
        <w:t>20</w:t>
      </w:r>
      <w:r>
        <w:rPr>
          <w:rFonts w:ascii="宋体" w:hAnsi="宋体"/>
          <w:color w:val="auto"/>
          <w:sz w:val="28"/>
          <w:szCs w:val="28"/>
          <w:highlight w:val="none"/>
        </w:rPr>
        <w:t>.乙方应</w:t>
      </w:r>
      <w:r>
        <w:rPr>
          <w:rFonts w:hint="eastAsia" w:ascii="宋体" w:hAnsi="宋体"/>
          <w:color w:val="auto"/>
          <w:sz w:val="28"/>
          <w:szCs w:val="28"/>
          <w:highlight w:val="none"/>
          <w:lang w:val="en-US" w:eastAsia="zh-CN"/>
        </w:rPr>
        <w:t>根据</w:t>
      </w:r>
      <w:r>
        <w:rPr>
          <w:rFonts w:ascii="宋体" w:hAnsi="宋体"/>
          <w:color w:val="auto"/>
          <w:sz w:val="28"/>
          <w:szCs w:val="28"/>
          <w:highlight w:val="none"/>
        </w:rPr>
        <w:t>本合同约定</w:t>
      </w:r>
      <w:r>
        <w:rPr>
          <w:rFonts w:hint="eastAsia" w:ascii="宋体" w:hAnsi="宋体"/>
          <w:color w:val="auto"/>
          <w:sz w:val="28"/>
          <w:szCs w:val="28"/>
          <w:highlight w:val="none"/>
          <w:lang w:eastAsia="zh-CN"/>
        </w:rPr>
        <w:t>、</w:t>
      </w:r>
      <w:r>
        <w:rPr>
          <w:rFonts w:ascii="宋体" w:hAnsi="宋体"/>
          <w:color w:val="auto"/>
          <w:sz w:val="28"/>
          <w:szCs w:val="28"/>
          <w:highlight w:val="none"/>
        </w:rPr>
        <w:t>附件的内容</w:t>
      </w:r>
      <w:r>
        <w:rPr>
          <w:rFonts w:hint="eastAsia" w:ascii="宋体" w:hAnsi="宋体"/>
          <w:color w:val="auto"/>
          <w:sz w:val="28"/>
          <w:szCs w:val="28"/>
          <w:highlight w:val="none"/>
          <w:lang w:val="en-US" w:eastAsia="zh-CN"/>
        </w:rPr>
        <w:t>及2025</w:t>
      </w:r>
      <w:r>
        <w:rPr>
          <w:rFonts w:hint="eastAsia" w:ascii="宋体" w:hAnsi="宋体"/>
          <w:color w:val="auto"/>
          <w:sz w:val="28"/>
          <w:highlight w:val="none"/>
        </w:rPr>
        <w:t>年</w:t>
      </w:r>
      <w:r>
        <w:rPr>
          <w:rFonts w:hint="eastAsia" w:ascii="宋体" w:hAnsi="宋体"/>
          <w:color w:val="auto"/>
          <w:sz w:val="28"/>
          <w:szCs w:val="28"/>
          <w:highlight w:val="none"/>
          <w:lang w:val="en-US" w:eastAsia="zh-CN"/>
        </w:rPr>
        <w:t xml:space="preserve">   </w:t>
      </w:r>
      <w:r>
        <w:rPr>
          <w:rFonts w:hint="eastAsia" w:ascii="宋体" w:hAnsi="宋体"/>
          <w:color w:val="auto"/>
          <w:sz w:val="28"/>
          <w:highlight w:val="none"/>
        </w:rPr>
        <w:t>月</w:t>
      </w:r>
      <w:r>
        <w:rPr>
          <w:rFonts w:hint="eastAsia" w:ascii="宋体" w:hAnsi="宋体"/>
          <w:color w:val="auto"/>
          <w:sz w:val="28"/>
          <w:highlight w:val="none"/>
          <w:lang w:val="en-US" w:eastAsia="zh-CN"/>
        </w:rPr>
        <w:t xml:space="preserve">   </w:t>
      </w:r>
      <w:r>
        <w:rPr>
          <w:rFonts w:hint="eastAsia" w:ascii="宋体" w:hAnsi="宋体"/>
          <w:color w:val="auto"/>
          <w:sz w:val="28"/>
          <w:highlight w:val="none"/>
        </w:rPr>
        <w:t>日公开招标（项目名称：2025-2026年三亚12345政府服务热线服务外包，招标编号：</w:t>
      </w:r>
      <w:r>
        <w:rPr>
          <w:rFonts w:hint="eastAsia" w:ascii="宋体" w:hAnsi="宋体"/>
          <w:color w:val="auto"/>
          <w:sz w:val="28"/>
          <w:highlight w:val="none"/>
          <w:lang w:val="en-US" w:eastAsia="zh-CN"/>
        </w:rPr>
        <w:t>HFGC20252629</w:t>
      </w:r>
      <w:r>
        <w:rPr>
          <w:rFonts w:hint="eastAsia" w:ascii="宋体" w:hAnsi="宋体"/>
          <w:color w:val="auto"/>
          <w:sz w:val="28"/>
          <w:highlight w:val="none"/>
        </w:rPr>
        <w:t>）的采购文件的要求</w:t>
      </w:r>
      <w:r>
        <w:rPr>
          <w:rFonts w:hint="eastAsia" w:ascii="宋体" w:hAnsi="宋体"/>
          <w:color w:val="auto"/>
          <w:sz w:val="28"/>
          <w:szCs w:val="28"/>
          <w:highlight w:val="none"/>
          <w:lang w:eastAsia="zh-CN"/>
        </w:rPr>
        <w:t>，以及乙方投标文件的承诺，</w:t>
      </w:r>
      <w:r>
        <w:rPr>
          <w:rFonts w:ascii="宋体" w:hAnsi="宋体"/>
          <w:color w:val="auto"/>
          <w:sz w:val="28"/>
          <w:szCs w:val="28"/>
          <w:highlight w:val="none"/>
        </w:rPr>
        <w:t>全面履行</w:t>
      </w:r>
      <w:r>
        <w:rPr>
          <w:rFonts w:hint="eastAsia" w:ascii="宋体" w:hAnsi="宋体"/>
          <w:color w:val="auto"/>
          <w:sz w:val="28"/>
          <w:szCs w:val="28"/>
          <w:highlight w:val="none"/>
          <w:lang w:val="en-US" w:eastAsia="zh-CN"/>
        </w:rPr>
        <w:t>其义务</w:t>
      </w:r>
      <w:r>
        <w:rPr>
          <w:rFonts w:ascii="宋体" w:hAnsi="宋体"/>
          <w:color w:val="auto"/>
          <w:sz w:val="28"/>
          <w:szCs w:val="28"/>
          <w:highlight w:val="none"/>
        </w:rPr>
        <w:t>。</w:t>
      </w:r>
    </w:p>
    <w:p w14:paraId="3F321950">
      <w:pPr>
        <w:spacing w:line="560" w:lineRule="exact"/>
        <w:ind w:firstLine="560" w:firstLineChars="200"/>
        <w:rPr>
          <w:rFonts w:hint="eastAsia" w:ascii="宋体" w:hAnsi="宋体"/>
          <w:color w:val="auto"/>
          <w:sz w:val="28"/>
          <w:szCs w:val="28"/>
          <w:highlight w:val="none"/>
        </w:rPr>
      </w:pPr>
      <w:r>
        <w:rPr>
          <w:rFonts w:hint="eastAsia" w:ascii="宋体" w:hAnsi="宋体"/>
          <w:color w:val="auto"/>
          <w:sz w:val="28"/>
          <w:szCs w:val="28"/>
          <w:highlight w:val="none"/>
          <w:lang w:val="en-US" w:eastAsia="zh-CN"/>
        </w:rPr>
        <w:t>21</w:t>
      </w:r>
      <w:r>
        <w:rPr>
          <w:rFonts w:hint="eastAsia" w:ascii="宋体" w:hAnsi="宋体"/>
          <w:color w:val="auto"/>
          <w:sz w:val="28"/>
          <w:szCs w:val="28"/>
          <w:highlight w:val="none"/>
        </w:rPr>
        <w:t>.</w:t>
      </w:r>
      <w:r>
        <w:rPr>
          <w:rFonts w:hint="eastAsia" w:ascii="宋体" w:hAnsi="宋体"/>
          <w:color w:val="auto"/>
          <w:sz w:val="28"/>
          <w:szCs w:val="28"/>
          <w:highlight w:val="none"/>
          <w:lang w:val="en-US" w:eastAsia="zh-CN"/>
        </w:rPr>
        <w:t>乙方有义务按《2025-2026年三亚12345政府服务热线服务外包项目交接风险防控方案》（见附件4）的要求与原服务供应商或在本合同服务期满后的下一任服务供应商完成业务交接，确保热线平台顺利过渡</w:t>
      </w:r>
      <w:r>
        <w:rPr>
          <w:rFonts w:hint="eastAsia" w:ascii="宋体" w:hAnsi="宋体"/>
          <w:color w:val="auto"/>
          <w:sz w:val="28"/>
          <w:szCs w:val="28"/>
          <w:highlight w:val="none"/>
        </w:rPr>
        <w:t>。</w:t>
      </w:r>
    </w:p>
    <w:p w14:paraId="662A2CE6">
      <w:pPr>
        <w:spacing w:line="560" w:lineRule="exact"/>
        <w:ind w:firstLine="560" w:firstLineChars="200"/>
        <w:rPr>
          <w:rFonts w:hint="default" w:ascii="宋体" w:hAnsi="宋体" w:eastAsia="宋体"/>
          <w:color w:val="auto"/>
          <w:sz w:val="28"/>
          <w:szCs w:val="28"/>
          <w:highlight w:val="none"/>
          <w:lang w:val="en-US" w:eastAsia="zh-CN"/>
        </w:rPr>
      </w:pPr>
      <w:r>
        <w:rPr>
          <w:rFonts w:hint="eastAsia" w:ascii="宋体" w:hAnsi="宋体"/>
          <w:color w:val="auto"/>
          <w:sz w:val="28"/>
          <w:szCs w:val="28"/>
          <w:highlight w:val="none"/>
          <w:lang w:val="en-US" w:eastAsia="zh-CN"/>
        </w:rPr>
        <w:t>22</w:t>
      </w:r>
      <w:r>
        <w:rPr>
          <w:rFonts w:hint="eastAsia" w:ascii="宋体" w:hAnsi="宋体"/>
          <w:color w:val="auto"/>
          <w:sz w:val="28"/>
          <w:szCs w:val="28"/>
          <w:highlight w:val="none"/>
        </w:rPr>
        <w:t>.</w:t>
      </w:r>
      <w:r>
        <w:rPr>
          <w:rFonts w:hint="eastAsia" w:ascii="宋体" w:hAnsi="宋体"/>
          <w:color w:val="auto"/>
          <w:sz w:val="28"/>
          <w:szCs w:val="28"/>
          <w:highlight w:val="none"/>
          <w:lang w:val="en-US" w:eastAsia="zh-CN"/>
        </w:rPr>
        <w:t>乙方可以在与下一任服务商交接期内收取费用，但各项费用均不得超过本合同所约定的对应项费用，具体以乙方和下一任服务商协商为准。</w:t>
      </w:r>
    </w:p>
    <w:p w14:paraId="59E22D59">
      <w:pPr>
        <w:spacing w:line="560" w:lineRule="exact"/>
        <w:ind w:firstLine="560" w:firstLineChars="200"/>
        <w:rPr>
          <w:rFonts w:ascii="宋体" w:hAnsi="宋体"/>
          <w:color w:val="auto"/>
          <w:sz w:val="28"/>
          <w:szCs w:val="28"/>
          <w:highlight w:val="none"/>
        </w:rPr>
      </w:pPr>
      <w:r>
        <w:rPr>
          <w:rFonts w:hint="eastAsia" w:ascii="宋体" w:hAnsi="宋体"/>
          <w:strike w:val="0"/>
          <w:dstrike w:val="0"/>
          <w:color w:val="auto"/>
          <w:sz w:val="28"/>
          <w:szCs w:val="28"/>
          <w:highlight w:val="none"/>
          <w:lang w:val="en-US" w:eastAsia="zh-CN"/>
        </w:rPr>
        <w:t>23.在本合同</w:t>
      </w:r>
      <w:r>
        <w:rPr>
          <w:rFonts w:hint="eastAsia" w:ascii="宋体" w:hAnsi="宋体"/>
          <w:color w:val="auto"/>
          <w:sz w:val="28"/>
          <w:szCs w:val="28"/>
          <w:highlight w:val="none"/>
        </w:rPr>
        <w:t>服务期内，</w:t>
      </w:r>
      <w:r>
        <w:rPr>
          <w:rFonts w:hint="eastAsia" w:ascii="宋体" w:hAnsi="宋体"/>
          <w:color w:val="auto"/>
          <w:sz w:val="28"/>
          <w:szCs w:val="28"/>
          <w:highlight w:val="none"/>
          <w:lang w:val="en-US" w:eastAsia="zh-CN"/>
        </w:rPr>
        <w:t>乙方需</w:t>
      </w:r>
      <w:r>
        <w:rPr>
          <w:rFonts w:hint="eastAsia" w:ascii="宋体" w:hAnsi="宋体"/>
          <w:color w:val="auto"/>
          <w:sz w:val="28"/>
          <w:szCs w:val="28"/>
          <w:highlight w:val="none"/>
        </w:rPr>
        <w:t>提供系统三级等保测评报告和三级密码应用评估报告，确保软件部署、运行满足网络安全防护要求。</w:t>
      </w:r>
    </w:p>
    <w:p w14:paraId="57FD46DE">
      <w:pPr>
        <w:spacing w:line="560" w:lineRule="exact"/>
        <w:ind w:firstLine="281" w:firstLineChars="100"/>
        <w:outlineLvl w:val="0"/>
        <w:rPr>
          <w:rFonts w:ascii="宋体" w:hAnsi="宋体"/>
          <w:b/>
          <w:bCs/>
          <w:color w:val="auto"/>
          <w:sz w:val="28"/>
          <w:highlight w:val="none"/>
        </w:rPr>
      </w:pPr>
      <w:r>
        <w:rPr>
          <w:rFonts w:hint="eastAsia" w:ascii="宋体" w:hAnsi="宋体"/>
          <w:b/>
          <w:bCs/>
          <w:color w:val="auto"/>
          <w:sz w:val="28"/>
          <w:highlight w:val="none"/>
        </w:rPr>
        <w:t>第五条计费与付款</w:t>
      </w:r>
    </w:p>
    <w:p w14:paraId="762CFE54">
      <w:pPr>
        <w:spacing w:line="560" w:lineRule="exact"/>
        <w:ind w:firstLine="560" w:firstLineChars="200"/>
        <w:rPr>
          <w:rFonts w:ascii="宋体" w:hAnsi="宋体"/>
          <w:color w:val="auto"/>
          <w:sz w:val="28"/>
          <w:szCs w:val="28"/>
          <w:highlight w:val="none"/>
        </w:rPr>
      </w:pPr>
      <w:r>
        <w:rPr>
          <w:rFonts w:ascii="宋体" w:hAnsi="宋体"/>
          <w:color w:val="auto"/>
          <w:sz w:val="28"/>
          <w:szCs w:val="28"/>
          <w:highlight w:val="none"/>
        </w:rPr>
        <w:t>1.付费内容：</w:t>
      </w:r>
    </w:p>
    <w:p w14:paraId="7BC534A5">
      <w:pPr>
        <w:ind w:firstLine="560" w:firstLineChars="200"/>
        <w:rPr>
          <w:rFonts w:hint="eastAsia" w:eastAsia="宋体"/>
          <w:color w:val="auto"/>
          <w:sz w:val="28"/>
          <w:szCs w:val="28"/>
          <w:highlight w:val="none"/>
          <w:lang w:eastAsia="zh-CN"/>
        </w:rPr>
      </w:pPr>
      <w:r>
        <w:rPr>
          <w:rFonts w:hint="eastAsia"/>
          <w:color w:val="auto"/>
          <w:sz w:val="28"/>
          <w:szCs w:val="28"/>
          <w:highlight w:val="none"/>
        </w:rPr>
        <w:t>本次服务外包的服务总费用包含：</w:t>
      </w:r>
      <w:r>
        <w:rPr>
          <w:rFonts w:hint="eastAsia"/>
          <w:color w:val="auto"/>
          <w:sz w:val="28"/>
          <w:szCs w:val="28"/>
          <w:highlight w:val="none"/>
          <w:lang w:val="en-US" w:eastAsia="zh-CN"/>
        </w:rPr>
        <w:t>软件服务费、硬件服务费、网络租赁服务费、固话语音服务费、坐席热线</w:t>
      </w:r>
      <w:r>
        <w:rPr>
          <w:rFonts w:hint="eastAsia"/>
          <w:color w:val="auto"/>
          <w:sz w:val="28"/>
          <w:szCs w:val="28"/>
          <w:highlight w:val="none"/>
        </w:rPr>
        <w:t>运营费（含人员薪酬等）和场地租赁及物业服务费</w:t>
      </w:r>
      <w:r>
        <w:rPr>
          <w:rFonts w:hint="eastAsia"/>
          <w:color w:val="auto"/>
          <w:sz w:val="28"/>
          <w:szCs w:val="28"/>
          <w:highlight w:val="none"/>
          <w:lang w:eastAsia="zh-CN"/>
        </w:rPr>
        <w:t>（</w:t>
      </w:r>
      <w:r>
        <w:rPr>
          <w:rFonts w:hint="eastAsia"/>
          <w:color w:val="auto"/>
          <w:sz w:val="28"/>
          <w:szCs w:val="28"/>
          <w:highlight w:val="none"/>
          <w:lang w:val="en-US" w:eastAsia="zh-CN"/>
        </w:rPr>
        <w:t>费用分列见合同附件3</w:t>
      </w:r>
      <w:r>
        <w:rPr>
          <w:rFonts w:hint="eastAsia"/>
          <w:color w:val="auto"/>
          <w:sz w:val="28"/>
          <w:szCs w:val="28"/>
          <w:highlight w:val="none"/>
          <w:lang w:eastAsia="zh-CN"/>
        </w:rPr>
        <w:t>）</w:t>
      </w:r>
      <w:r>
        <w:rPr>
          <w:rFonts w:hint="eastAsia"/>
          <w:color w:val="auto"/>
          <w:sz w:val="28"/>
          <w:szCs w:val="28"/>
          <w:highlight w:val="none"/>
        </w:rPr>
        <w:t>。以上费用包括但不限于人工、管理、技术开发、迭代和完善性修改、系统日常维护、办公耗材与设备、服装、团建、税金、餐费等</w:t>
      </w:r>
      <w:r>
        <w:rPr>
          <w:rFonts w:hint="eastAsia"/>
          <w:color w:val="auto"/>
          <w:sz w:val="28"/>
          <w:szCs w:val="28"/>
          <w:highlight w:val="none"/>
          <w:lang w:val="en-US" w:eastAsia="zh-CN"/>
        </w:rPr>
        <w:t>乙方为履行本合同所需的</w:t>
      </w:r>
      <w:r>
        <w:rPr>
          <w:rFonts w:hint="eastAsia"/>
          <w:color w:val="auto"/>
          <w:sz w:val="28"/>
          <w:szCs w:val="28"/>
          <w:highlight w:val="none"/>
        </w:rPr>
        <w:t>全部费用，其中人工成本要足额用于人员开支并提供规范的支付</w:t>
      </w:r>
      <w:r>
        <w:rPr>
          <w:rFonts w:hint="eastAsia"/>
          <w:strike w:val="0"/>
          <w:color w:val="auto"/>
          <w:sz w:val="28"/>
          <w:szCs w:val="28"/>
          <w:highlight w:val="none"/>
        </w:rPr>
        <w:t>依据</w:t>
      </w:r>
      <w:r>
        <w:rPr>
          <w:rFonts w:hint="eastAsia"/>
          <w:color w:val="auto"/>
          <w:sz w:val="28"/>
          <w:szCs w:val="28"/>
          <w:highlight w:val="none"/>
        </w:rPr>
        <w:t>。除另有约定外，甲方不再</w:t>
      </w:r>
      <w:r>
        <w:rPr>
          <w:rFonts w:hint="eastAsia"/>
          <w:color w:val="auto"/>
          <w:sz w:val="28"/>
          <w:szCs w:val="28"/>
          <w:highlight w:val="none"/>
          <w:lang w:val="en-US" w:eastAsia="zh-CN"/>
        </w:rPr>
        <w:t>为本合同的履行</w:t>
      </w:r>
      <w:r>
        <w:rPr>
          <w:rFonts w:hint="eastAsia"/>
          <w:color w:val="auto"/>
          <w:sz w:val="28"/>
          <w:szCs w:val="28"/>
          <w:highlight w:val="none"/>
        </w:rPr>
        <w:t>另行支付其他费用</w:t>
      </w:r>
      <w:r>
        <w:rPr>
          <w:rFonts w:hint="eastAsia"/>
          <w:color w:val="auto"/>
          <w:sz w:val="28"/>
          <w:szCs w:val="28"/>
          <w:highlight w:val="none"/>
          <w:lang w:eastAsia="zh-CN"/>
        </w:rPr>
        <w:t>。</w:t>
      </w:r>
    </w:p>
    <w:p w14:paraId="54FA80F0">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其中</w:t>
      </w:r>
      <w:r>
        <w:rPr>
          <w:rFonts w:hint="eastAsia" w:ascii="宋体" w:hAnsi="宋体"/>
          <w:color w:val="auto"/>
          <w:sz w:val="28"/>
          <w:highlight w:val="none"/>
          <w:lang w:eastAsia="zh-CN"/>
        </w:rPr>
        <w:t>，</w:t>
      </w:r>
      <w:r>
        <w:rPr>
          <w:rFonts w:hint="eastAsia" w:ascii="宋体" w:hAnsi="宋体"/>
          <w:color w:val="auto"/>
          <w:sz w:val="28"/>
          <w:highlight w:val="none"/>
        </w:rPr>
        <w:t>关于坐席人员薪酬方面：</w:t>
      </w:r>
    </w:p>
    <w:p w14:paraId="79341F96">
      <w:pPr>
        <w:numPr>
          <w:ilvl w:val="0"/>
          <w:numId w:val="3"/>
        </w:num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热线运行过程中，座席、人员数量可以根据业务发展情况进行变更，也可采取技术开发和智能化手段提升服务质量，但必须</w:t>
      </w:r>
      <w:r>
        <w:rPr>
          <w:rFonts w:hint="eastAsia" w:ascii="宋体" w:hAnsi="宋体"/>
          <w:color w:val="auto"/>
          <w:sz w:val="28"/>
          <w:highlight w:val="none"/>
          <w:lang w:val="en-US" w:eastAsia="zh-CN"/>
        </w:rPr>
        <w:t>由乙方提交书面可行性方案并</w:t>
      </w:r>
      <w:r>
        <w:rPr>
          <w:rFonts w:hint="eastAsia" w:ascii="宋体" w:hAnsi="宋体"/>
          <w:color w:val="auto"/>
          <w:sz w:val="28"/>
          <w:highlight w:val="none"/>
        </w:rPr>
        <w:t>征得</w:t>
      </w:r>
      <w:r>
        <w:rPr>
          <w:rFonts w:hint="eastAsia" w:ascii="宋体" w:hAnsi="宋体"/>
          <w:strike w:val="0"/>
          <w:dstrike w:val="0"/>
          <w:color w:val="auto"/>
          <w:sz w:val="28"/>
          <w:highlight w:val="none"/>
          <w:lang w:val="en-US" w:eastAsia="zh-CN"/>
        </w:rPr>
        <w:t>甲</w:t>
      </w:r>
      <w:r>
        <w:rPr>
          <w:rFonts w:hint="eastAsia" w:ascii="宋体" w:hAnsi="宋体"/>
          <w:color w:val="auto"/>
          <w:sz w:val="28"/>
          <w:highlight w:val="none"/>
        </w:rPr>
        <w:t>方同意后才能实施。</w:t>
      </w:r>
    </w:p>
    <w:p w14:paraId="4DFB1E43">
      <w:pPr>
        <w:numPr>
          <w:ilvl w:val="0"/>
          <w:numId w:val="3"/>
        </w:num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为保证招聘的话务人员的平均薪酬不低于社会同期薪酬水平，降低话务人员的流失率，甲乙双方可以根据</w:t>
      </w:r>
      <w:r>
        <w:rPr>
          <w:rFonts w:hint="eastAsia" w:ascii="宋体" w:hAnsi="宋体"/>
          <w:color w:val="auto"/>
          <w:sz w:val="28"/>
          <w:szCs w:val="28"/>
          <w:highlight w:val="none"/>
        </w:rPr>
        <w:t>社会经济、物价、劳动成本等因素</w:t>
      </w:r>
      <w:r>
        <w:rPr>
          <w:rFonts w:hint="eastAsia" w:ascii="宋体" w:hAnsi="宋体"/>
          <w:color w:val="auto"/>
          <w:sz w:val="28"/>
          <w:highlight w:val="none"/>
        </w:rPr>
        <w:t>对话务人员的薪酬部分进行协商并调整服务费。</w:t>
      </w:r>
    </w:p>
    <w:p w14:paraId="07967532">
      <w:pPr>
        <w:numPr>
          <w:ilvl w:val="0"/>
          <w:numId w:val="3"/>
        </w:numPr>
        <w:spacing w:line="560" w:lineRule="exact"/>
        <w:ind w:firstLine="560" w:firstLineChars="200"/>
        <w:outlineLvl w:val="9"/>
        <w:rPr>
          <w:rFonts w:ascii="宋体" w:hAnsi="宋体"/>
          <w:color w:val="auto"/>
          <w:sz w:val="28"/>
          <w:highlight w:val="none"/>
        </w:rPr>
      </w:pPr>
      <w:r>
        <w:rPr>
          <w:rFonts w:hint="eastAsia" w:ascii="宋体" w:hAnsi="宋体"/>
          <w:color w:val="auto"/>
          <w:sz w:val="28"/>
          <w:highlight w:val="none"/>
        </w:rPr>
        <w:t>乙方合理安排座席和话务员数量，保证按一个话务坐席不少于两名工作人员的配置。</w:t>
      </w:r>
    </w:p>
    <w:p w14:paraId="5952CB59">
      <w:pPr>
        <w:spacing w:line="560" w:lineRule="exact"/>
        <w:ind w:firstLine="560" w:firstLineChars="200"/>
        <w:rPr>
          <w:rFonts w:ascii="宋体" w:hAnsi="宋体"/>
          <w:color w:val="auto"/>
          <w:sz w:val="28"/>
          <w:szCs w:val="28"/>
          <w:highlight w:val="none"/>
        </w:rPr>
      </w:pPr>
      <w:r>
        <w:rPr>
          <w:rFonts w:ascii="宋体" w:hAnsi="宋体"/>
          <w:color w:val="auto"/>
          <w:sz w:val="28"/>
          <w:szCs w:val="28"/>
          <w:highlight w:val="none"/>
        </w:rPr>
        <w:t>2.付费金额：</w:t>
      </w:r>
    </w:p>
    <w:p w14:paraId="3AE15A75">
      <w:pPr>
        <w:spacing w:line="560" w:lineRule="exact"/>
        <w:ind w:firstLine="560" w:firstLineChars="200"/>
        <w:rPr>
          <w:rFonts w:ascii="宋体" w:hAnsi="宋体"/>
          <w:color w:val="auto"/>
          <w:sz w:val="28"/>
          <w:szCs w:val="28"/>
          <w:highlight w:val="none"/>
        </w:rPr>
      </w:pPr>
      <w:r>
        <w:rPr>
          <w:rFonts w:hint="eastAsia" w:ascii="宋体" w:hAnsi="宋体"/>
          <w:color w:val="auto"/>
          <w:sz w:val="28"/>
          <w:szCs w:val="28"/>
          <w:highlight w:val="none"/>
        </w:rPr>
        <w:t>经双方协商，在本次合同</w:t>
      </w:r>
      <w:r>
        <w:rPr>
          <w:rFonts w:hint="eastAsia" w:ascii="宋体" w:hAnsi="宋体"/>
          <w:strike w:val="0"/>
          <w:dstrike w:val="0"/>
          <w:color w:val="auto"/>
          <w:sz w:val="28"/>
          <w:szCs w:val="28"/>
          <w:highlight w:val="none"/>
          <w:lang w:val="en-US" w:eastAsia="zh-CN"/>
        </w:rPr>
        <w:t>服务</w:t>
      </w:r>
      <w:r>
        <w:rPr>
          <w:rFonts w:hint="eastAsia" w:ascii="宋体" w:hAnsi="宋体"/>
          <w:color w:val="auto"/>
          <w:sz w:val="28"/>
          <w:szCs w:val="28"/>
          <w:highlight w:val="none"/>
        </w:rPr>
        <w:t>期内</w:t>
      </w:r>
      <w:r>
        <w:rPr>
          <w:rFonts w:hint="eastAsia" w:ascii="宋体" w:hAnsi="宋体"/>
          <w:color w:val="auto"/>
          <w:sz w:val="28"/>
          <w:szCs w:val="28"/>
          <w:highlight w:val="none"/>
          <w:lang w:val="en-US" w:eastAsia="zh-CN"/>
        </w:rPr>
        <w:t>2025-2026年三亚12345政府服务热线服务外包</w:t>
      </w:r>
      <w:r>
        <w:rPr>
          <w:rFonts w:hint="eastAsia"/>
          <w:color w:val="auto"/>
          <w:sz w:val="28"/>
          <w:szCs w:val="28"/>
          <w:highlight w:val="none"/>
        </w:rPr>
        <w:t>总费用为</w:t>
      </w:r>
      <w:r>
        <w:rPr>
          <w:rFonts w:hint="eastAsia"/>
          <w:color w:val="auto"/>
          <w:sz w:val="28"/>
          <w:szCs w:val="28"/>
          <w:highlight w:val="none"/>
          <w:lang w:val="en-US" w:eastAsia="zh-CN"/>
        </w:rPr>
        <w:t>_______________________</w:t>
      </w:r>
      <w:r>
        <w:rPr>
          <w:rFonts w:hint="eastAsia" w:ascii="宋体" w:hAnsi="宋体"/>
          <w:color w:val="auto"/>
          <w:sz w:val="28"/>
          <w:szCs w:val="28"/>
          <w:highlight w:val="none"/>
        </w:rPr>
        <w:t>元</w:t>
      </w:r>
      <w:r>
        <w:rPr>
          <w:rFonts w:hint="eastAsia" w:ascii="宋体" w:hAnsi="宋体"/>
          <w:color w:val="auto"/>
          <w:sz w:val="28"/>
          <w:szCs w:val="28"/>
          <w:highlight w:val="none"/>
          <w:lang w:val="en-US" w:eastAsia="zh-CN"/>
        </w:rPr>
        <w:t>整</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小写</w:t>
      </w:r>
      <w:r>
        <w:rPr>
          <w:rFonts w:hint="default" w:ascii="Arial" w:hAnsi="Arial" w:cs="Arial"/>
          <w:color w:val="auto"/>
          <w:sz w:val="28"/>
          <w:szCs w:val="28"/>
          <w:highlight w:val="none"/>
          <w:lang w:val="en-US" w:eastAsia="zh-CN"/>
        </w:rPr>
        <w:t>¥</w:t>
      </w:r>
      <w:r>
        <w:rPr>
          <w:rFonts w:hint="eastAsia" w:ascii="Arial" w:hAnsi="Arial" w:cs="Arial"/>
          <w:color w:val="auto"/>
          <w:sz w:val="28"/>
          <w:szCs w:val="28"/>
          <w:highlight w:val="none"/>
          <w:lang w:val="en-US" w:eastAsia="zh-CN"/>
        </w:rPr>
        <w:t>__________元</w:t>
      </w:r>
      <w:r>
        <w:rPr>
          <w:rFonts w:hint="eastAsia" w:ascii="宋体" w:hAnsi="宋体"/>
          <w:color w:val="auto"/>
          <w:sz w:val="28"/>
          <w:szCs w:val="28"/>
          <w:highlight w:val="none"/>
          <w:lang w:eastAsia="zh-CN"/>
        </w:rPr>
        <w:t>）</w:t>
      </w:r>
      <w:r>
        <w:rPr>
          <w:rFonts w:hint="eastAsia" w:ascii="宋体" w:hAnsi="宋体"/>
          <w:color w:val="auto"/>
          <w:sz w:val="28"/>
          <w:szCs w:val="28"/>
          <w:highlight w:val="none"/>
        </w:rPr>
        <w:t>，分为以下</w:t>
      </w:r>
      <w:r>
        <w:rPr>
          <w:rFonts w:hint="eastAsia" w:ascii="宋体" w:hAnsi="宋体"/>
          <w:strike w:val="0"/>
          <w:dstrike w:val="0"/>
          <w:color w:val="auto"/>
          <w:sz w:val="28"/>
          <w:szCs w:val="28"/>
          <w:highlight w:val="none"/>
          <w:lang w:val="en-US" w:eastAsia="zh-CN"/>
        </w:rPr>
        <w:t>六</w:t>
      </w:r>
      <w:r>
        <w:rPr>
          <w:rFonts w:hint="eastAsia" w:ascii="宋体" w:hAnsi="宋体"/>
          <w:color w:val="auto"/>
          <w:sz w:val="28"/>
          <w:szCs w:val="28"/>
          <w:highlight w:val="none"/>
        </w:rPr>
        <w:t>部分：</w:t>
      </w:r>
    </w:p>
    <w:p w14:paraId="586ED6C2">
      <w:pPr>
        <w:spacing w:line="560" w:lineRule="exact"/>
        <w:ind w:firstLine="560" w:firstLineChars="200"/>
        <w:rPr>
          <w:rFonts w:ascii="宋体" w:hAnsi="宋体"/>
          <w:color w:val="auto"/>
          <w:sz w:val="28"/>
          <w:szCs w:val="28"/>
          <w:highlight w:val="none"/>
        </w:rPr>
      </w:pPr>
      <w:r>
        <w:rPr>
          <w:rFonts w:hint="eastAsia" w:ascii="宋体" w:hAnsi="宋体"/>
          <w:color w:val="auto"/>
          <w:sz w:val="28"/>
          <w:szCs w:val="28"/>
          <w:highlight w:val="none"/>
        </w:rPr>
        <w:fldChar w:fldCharType="begin"/>
      </w:r>
      <w:r>
        <w:rPr>
          <w:rFonts w:ascii="宋体" w:hAnsi="宋体"/>
          <w:color w:val="auto"/>
          <w:sz w:val="28"/>
          <w:szCs w:val="28"/>
          <w:highlight w:val="none"/>
        </w:rPr>
        <w:instrText xml:space="preserve"> = 1 \* GB3 </w:instrText>
      </w:r>
      <w:r>
        <w:rPr>
          <w:rFonts w:hint="eastAsia" w:ascii="宋体" w:hAnsi="宋体"/>
          <w:color w:val="auto"/>
          <w:sz w:val="28"/>
          <w:szCs w:val="28"/>
          <w:highlight w:val="none"/>
        </w:rPr>
        <w:fldChar w:fldCharType="separate"/>
      </w:r>
      <w:r>
        <w:rPr>
          <w:rFonts w:hint="eastAsia" w:ascii="宋体" w:hAnsi="宋体"/>
          <w:color w:val="auto"/>
          <w:sz w:val="28"/>
          <w:szCs w:val="28"/>
          <w:highlight w:val="none"/>
        </w:rPr>
        <w:t>①</w:t>
      </w:r>
      <w:r>
        <w:rPr>
          <w:rFonts w:hint="eastAsia" w:ascii="宋体" w:hAnsi="宋体"/>
          <w:color w:val="auto"/>
          <w:sz w:val="28"/>
          <w:szCs w:val="28"/>
          <w:highlight w:val="none"/>
        </w:rPr>
        <w:fldChar w:fldCharType="end"/>
      </w:r>
      <w:r>
        <w:rPr>
          <w:rFonts w:hint="eastAsia" w:ascii="宋体" w:hAnsi="宋体"/>
          <w:color w:val="auto"/>
          <w:sz w:val="28"/>
          <w:szCs w:val="28"/>
          <w:highlight w:val="none"/>
          <w:lang w:val="en-US" w:eastAsia="zh-CN"/>
        </w:rPr>
        <w:t>软件服务</w:t>
      </w:r>
      <w:r>
        <w:rPr>
          <w:rFonts w:hint="eastAsia" w:ascii="宋体" w:hAnsi="宋体"/>
          <w:color w:val="auto"/>
          <w:sz w:val="28"/>
          <w:szCs w:val="28"/>
          <w:highlight w:val="none"/>
        </w:rPr>
        <w:t>费（具体详见附件</w:t>
      </w:r>
      <w:r>
        <w:rPr>
          <w:rFonts w:hint="eastAsia" w:ascii="宋体" w:hAnsi="宋体"/>
          <w:color w:val="auto"/>
          <w:sz w:val="28"/>
          <w:szCs w:val="28"/>
          <w:highlight w:val="none"/>
          <w:lang w:val="en-US" w:eastAsia="zh-CN"/>
        </w:rPr>
        <w:t>3</w:t>
      </w:r>
      <w:r>
        <w:rPr>
          <w:rFonts w:ascii="宋体" w:hAnsi="宋体"/>
          <w:color w:val="auto"/>
          <w:sz w:val="28"/>
          <w:szCs w:val="28"/>
          <w:highlight w:val="none"/>
        </w:rPr>
        <w:t>）：本</w:t>
      </w:r>
      <w:r>
        <w:rPr>
          <w:rFonts w:hint="eastAsia" w:ascii="宋体" w:hAnsi="宋体"/>
          <w:color w:val="auto"/>
          <w:sz w:val="28"/>
          <w:szCs w:val="28"/>
          <w:highlight w:val="none"/>
        </w:rPr>
        <w:t>合同</w:t>
      </w:r>
      <w:r>
        <w:rPr>
          <w:rFonts w:hint="eastAsia" w:ascii="宋体" w:hAnsi="宋体"/>
          <w:color w:val="auto"/>
          <w:sz w:val="28"/>
          <w:szCs w:val="28"/>
          <w:highlight w:val="none"/>
          <w:lang w:val="en-US" w:eastAsia="zh-CN"/>
        </w:rPr>
        <w:t>服务</w:t>
      </w:r>
      <w:r>
        <w:rPr>
          <w:rFonts w:hint="eastAsia" w:ascii="宋体" w:hAnsi="宋体"/>
          <w:color w:val="auto"/>
          <w:sz w:val="28"/>
          <w:szCs w:val="28"/>
          <w:highlight w:val="none"/>
        </w:rPr>
        <w:t>期</w:t>
      </w:r>
      <w:r>
        <w:rPr>
          <w:rFonts w:hint="eastAsia" w:ascii="宋体" w:hAnsi="宋体"/>
          <w:color w:val="auto"/>
          <w:sz w:val="28"/>
          <w:szCs w:val="28"/>
          <w:highlight w:val="none"/>
          <w:lang w:val="en-US" w:eastAsia="zh-CN"/>
        </w:rPr>
        <w:t>限</w:t>
      </w:r>
      <w:r>
        <w:rPr>
          <w:rFonts w:ascii="宋体" w:hAnsi="宋体"/>
          <w:color w:val="auto"/>
          <w:sz w:val="28"/>
          <w:szCs w:val="28"/>
          <w:highlight w:val="none"/>
        </w:rPr>
        <w:t>内为</w:t>
      </w:r>
      <w:r>
        <w:rPr>
          <w:rFonts w:hint="eastAsia"/>
          <w:color w:val="auto"/>
          <w:sz w:val="28"/>
          <w:szCs w:val="28"/>
          <w:highlight w:val="none"/>
          <w:lang w:val="en-US" w:eastAsia="zh-CN"/>
        </w:rPr>
        <w:t>_______________________</w:t>
      </w:r>
      <w:r>
        <w:rPr>
          <w:rFonts w:hint="eastAsia" w:ascii="宋体" w:hAnsi="宋体"/>
          <w:color w:val="auto"/>
          <w:sz w:val="28"/>
          <w:szCs w:val="28"/>
          <w:highlight w:val="none"/>
        </w:rPr>
        <w:t>元</w:t>
      </w:r>
      <w:r>
        <w:rPr>
          <w:rFonts w:hint="eastAsia" w:ascii="宋体" w:hAnsi="宋体"/>
          <w:color w:val="auto"/>
          <w:sz w:val="28"/>
          <w:szCs w:val="28"/>
          <w:highlight w:val="none"/>
          <w:lang w:val="en-US" w:eastAsia="zh-CN"/>
        </w:rPr>
        <w:t>整</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小写</w:t>
      </w:r>
      <w:r>
        <w:rPr>
          <w:rFonts w:hint="default" w:ascii="Arial" w:hAnsi="Arial" w:cs="Arial"/>
          <w:color w:val="auto"/>
          <w:sz w:val="28"/>
          <w:szCs w:val="28"/>
          <w:highlight w:val="none"/>
          <w:lang w:val="en-US" w:eastAsia="zh-CN"/>
        </w:rPr>
        <w:t>¥</w:t>
      </w:r>
      <w:r>
        <w:rPr>
          <w:rFonts w:hint="eastAsia" w:ascii="Arial" w:hAnsi="Arial" w:cs="Arial"/>
          <w:color w:val="auto"/>
          <w:sz w:val="28"/>
          <w:szCs w:val="28"/>
          <w:highlight w:val="none"/>
          <w:lang w:val="en-US" w:eastAsia="zh-CN"/>
        </w:rPr>
        <w:t>__________元</w:t>
      </w:r>
      <w:r>
        <w:rPr>
          <w:rFonts w:hint="eastAsia" w:ascii="宋体" w:hAnsi="宋体"/>
          <w:color w:val="auto"/>
          <w:sz w:val="28"/>
          <w:szCs w:val="28"/>
          <w:highlight w:val="none"/>
          <w:lang w:eastAsia="zh-CN"/>
        </w:rPr>
        <w:t>）</w:t>
      </w:r>
      <w:r>
        <w:rPr>
          <w:rFonts w:ascii="宋体" w:hAnsi="宋体"/>
          <w:color w:val="auto"/>
          <w:sz w:val="28"/>
          <w:szCs w:val="28"/>
          <w:highlight w:val="none"/>
        </w:rPr>
        <w:t>。</w:t>
      </w:r>
    </w:p>
    <w:p w14:paraId="779EEC8E">
      <w:pPr>
        <w:spacing w:line="560" w:lineRule="exact"/>
        <w:ind w:firstLine="560" w:firstLineChars="200"/>
        <w:rPr>
          <w:rFonts w:hint="eastAsia" w:ascii="宋体" w:hAnsi="宋体" w:eastAsia="宋体"/>
          <w:color w:val="auto"/>
          <w:sz w:val="28"/>
          <w:szCs w:val="28"/>
          <w:highlight w:val="none"/>
          <w:lang w:val="en-US" w:eastAsia="zh-CN"/>
        </w:rPr>
      </w:pPr>
      <w:r>
        <w:rPr>
          <w:rFonts w:hint="eastAsia" w:ascii="宋体" w:hAnsi="宋体"/>
          <w:color w:val="auto"/>
          <w:sz w:val="28"/>
          <w:szCs w:val="28"/>
          <w:highlight w:val="none"/>
          <w:lang w:val="en-US" w:eastAsia="zh-CN"/>
        </w:rPr>
        <w:t>②硬件服务费（</w:t>
      </w:r>
      <w:r>
        <w:rPr>
          <w:rFonts w:hint="eastAsia" w:ascii="宋体" w:hAnsi="宋体"/>
          <w:color w:val="auto"/>
          <w:sz w:val="28"/>
          <w:szCs w:val="28"/>
          <w:highlight w:val="none"/>
        </w:rPr>
        <w:t>具体详见附件</w:t>
      </w:r>
      <w:r>
        <w:rPr>
          <w:rFonts w:hint="eastAsia" w:ascii="宋体" w:hAnsi="宋体"/>
          <w:color w:val="auto"/>
          <w:sz w:val="28"/>
          <w:szCs w:val="28"/>
          <w:highlight w:val="none"/>
          <w:lang w:val="en-US" w:eastAsia="zh-CN"/>
        </w:rPr>
        <w:t>3</w:t>
      </w:r>
      <w:r>
        <w:rPr>
          <w:rFonts w:ascii="宋体" w:hAnsi="宋体"/>
          <w:color w:val="auto"/>
          <w:sz w:val="28"/>
          <w:szCs w:val="28"/>
          <w:highlight w:val="none"/>
        </w:rPr>
        <w:t>）：本</w:t>
      </w:r>
      <w:r>
        <w:rPr>
          <w:rFonts w:hint="eastAsia" w:ascii="宋体" w:hAnsi="宋体"/>
          <w:color w:val="auto"/>
          <w:sz w:val="28"/>
          <w:szCs w:val="28"/>
          <w:highlight w:val="none"/>
        </w:rPr>
        <w:t>合同</w:t>
      </w:r>
      <w:r>
        <w:rPr>
          <w:rFonts w:hint="eastAsia" w:ascii="宋体" w:hAnsi="宋体"/>
          <w:color w:val="auto"/>
          <w:sz w:val="28"/>
          <w:szCs w:val="28"/>
          <w:highlight w:val="none"/>
          <w:lang w:val="en-US" w:eastAsia="zh-CN"/>
        </w:rPr>
        <w:t>服务</w:t>
      </w:r>
      <w:r>
        <w:rPr>
          <w:rFonts w:hint="eastAsia" w:ascii="宋体" w:hAnsi="宋体"/>
          <w:color w:val="auto"/>
          <w:sz w:val="28"/>
          <w:szCs w:val="28"/>
          <w:highlight w:val="none"/>
        </w:rPr>
        <w:t>期</w:t>
      </w:r>
      <w:r>
        <w:rPr>
          <w:rFonts w:hint="eastAsia" w:ascii="宋体" w:hAnsi="宋体"/>
          <w:color w:val="auto"/>
          <w:sz w:val="28"/>
          <w:szCs w:val="28"/>
          <w:highlight w:val="none"/>
          <w:lang w:val="en-US" w:eastAsia="zh-CN"/>
        </w:rPr>
        <w:t>限</w:t>
      </w:r>
      <w:r>
        <w:rPr>
          <w:rFonts w:ascii="宋体" w:hAnsi="宋体"/>
          <w:color w:val="auto"/>
          <w:sz w:val="28"/>
          <w:szCs w:val="28"/>
          <w:highlight w:val="none"/>
        </w:rPr>
        <w:t>内为</w:t>
      </w:r>
      <w:r>
        <w:rPr>
          <w:rFonts w:hint="eastAsia"/>
          <w:color w:val="auto"/>
          <w:sz w:val="28"/>
          <w:szCs w:val="28"/>
          <w:highlight w:val="none"/>
          <w:lang w:val="en-US" w:eastAsia="zh-CN"/>
        </w:rPr>
        <w:t>_______________________</w:t>
      </w:r>
      <w:r>
        <w:rPr>
          <w:rFonts w:hint="eastAsia" w:ascii="宋体" w:hAnsi="宋体"/>
          <w:color w:val="auto"/>
          <w:sz w:val="28"/>
          <w:szCs w:val="28"/>
          <w:highlight w:val="none"/>
        </w:rPr>
        <w:t>元</w:t>
      </w:r>
      <w:r>
        <w:rPr>
          <w:rFonts w:hint="eastAsia" w:ascii="宋体" w:hAnsi="宋体"/>
          <w:color w:val="auto"/>
          <w:sz w:val="28"/>
          <w:szCs w:val="28"/>
          <w:highlight w:val="none"/>
          <w:lang w:val="en-US" w:eastAsia="zh-CN"/>
        </w:rPr>
        <w:t>整</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小写</w:t>
      </w:r>
      <w:r>
        <w:rPr>
          <w:rFonts w:hint="default" w:ascii="Arial" w:hAnsi="Arial" w:cs="Arial"/>
          <w:color w:val="auto"/>
          <w:sz w:val="28"/>
          <w:szCs w:val="28"/>
          <w:highlight w:val="none"/>
          <w:lang w:val="en-US" w:eastAsia="zh-CN"/>
        </w:rPr>
        <w:t>¥</w:t>
      </w:r>
      <w:r>
        <w:rPr>
          <w:rFonts w:hint="eastAsia" w:ascii="Arial" w:hAnsi="Arial" w:cs="Arial"/>
          <w:color w:val="auto"/>
          <w:sz w:val="28"/>
          <w:szCs w:val="28"/>
          <w:highlight w:val="none"/>
          <w:lang w:val="en-US" w:eastAsia="zh-CN"/>
        </w:rPr>
        <w:t>__________元</w:t>
      </w:r>
      <w:r>
        <w:rPr>
          <w:rFonts w:hint="eastAsia" w:ascii="宋体" w:hAnsi="宋体"/>
          <w:color w:val="auto"/>
          <w:sz w:val="28"/>
          <w:szCs w:val="28"/>
          <w:highlight w:val="none"/>
          <w:lang w:eastAsia="zh-CN"/>
        </w:rPr>
        <w:t>）。</w:t>
      </w:r>
    </w:p>
    <w:p w14:paraId="437B77A3">
      <w:pPr>
        <w:spacing w:line="560" w:lineRule="exact"/>
        <w:ind w:firstLine="560" w:firstLineChars="200"/>
        <w:rPr>
          <w:rFonts w:hint="eastAsia" w:ascii="宋体" w:hAnsi="宋体" w:eastAsia="宋体"/>
          <w:color w:val="auto"/>
          <w:sz w:val="28"/>
          <w:szCs w:val="28"/>
          <w:highlight w:val="none"/>
          <w:lang w:val="en-US" w:eastAsia="zh-CN"/>
        </w:rPr>
      </w:pPr>
      <w:r>
        <w:rPr>
          <w:rFonts w:hint="eastAsia" w:ascii="宋体" w:hAnsi="宋体"/>
          <w:color w:val="auto"/>
          <w:sz w:val="28"/>
          <w:szCs w:val="28"/>
          <w:highlight w:val="none"/>
          <w:lang w:val="en-US" w:eastAsia="zh-CN"/>
        </w:rPr>
        <w:t>③</w:t>
      </w:r>
      <w:r>
        <w:rPr>
          <w:rFonts w:hint="eastAsia"/>
          <w:color w:val="auto"/>
          <w:sz w:val="28"/>
          <w:szCs w:val="28"/>
          <w:highlight w:val="none"/>
          <w:lang w:val="en-US" w:eastAsia="zh-CN"/>
        </w:rPr>
        <w:t>网络租赁服务</w:t>
      </w:r>
      <w:r>
        <w:rPr>
          <w:rFonts w:hint="eastAsia" w:ascii="宋体" w:hAnsi="宋体"/>
          <w:color w:val="auto"/>
          <w:sz w:val="28"/>
          <w:szCs w:val="28"/>
          <w:highlight w:val="none"/>
          <w:lang w:val="en-US" w:eastAsia="zh-CN"/>
        </w:rPr>
        <w:t>费（</w:t>
      </w:r>
      <w:r>
        <w:rPr>
          <w:rFonts w:hint="eastAsia" w:ascii="宋体" w:hAnsi="宋体"/>
          <w:color w:val="auto"/>
          <w:sz w:val="28"/>
          <w:szCs w:val="28"/>
          <w:highlight w:val="none"/>
        </w:rPr>
        <w:t>具体详见附件</w:t>
      </w:r>
      <w:r>
        <w:rPr>
          <w:rFonts w:hint="eastAsia" w:ascii="宋体" w:hAnsi="宋体"/>
          <w:color w:val="auto"/>
          <w:sz w:val="28"/>
          <w:szCs w:val="28"/>
          <w:highlight w:val="none"/>
          <w:lang w:val="en-US" w:eastAsia="zh-CN"/>
        </w:rPr>
        <w:t>3</w:t>
      </w:r>
      <w:r>
        <w:rPr>
          <w:rFonts w:ascii="宋体" w:hAnsi="宋体"/>
          <w:color w:val="auto"/>
          <w:sz w:val="28"/>
          <w:szCs w:val="28"/>
          <w:highlight w:val="none"/>
        </w:rPr>
        <w:t>）：本</w:t>
      </w:r>
      <w:r>
        <w:rPr>
          <w:rFonts w:hint="eastAsia" w:ascii="宋体" w:hAnsi="宋体"/>
          <w:color w:val="auto"/>
          <w:sz w:val="28"/>
          <w:szCs w:val="28"/>
          <w:highlight w:val="none"/>
        </w:rPr>
        <w:t>合同</w:t>
      </w:r>
      <w:r>
        <w:rPr>
          <w:rFonts w:hint="eastAsia" w:ascii="宋体" w:hAnsi="宋体"/>
          <w:color w:val="auto"/>
          <w:sz w:val="28"/>
          <w:szCs w:val="28"/>
          <w:highlight w:val="none"/>
          <w:lang w:val="en-US" w:eastAsia="zh-CN"/>
        </w:rPr>
        <w:t>服务</w:t>
      </w:r>
      <w:r>
        <w:rPr>
          <w:rFonts w:hint="eastAsia" w:ascii="宋体" w:hAnsi="宋体"/>
          <w:color w:val="auto"/>
          <w:sz w:val="28"/>
          <w:szCs w:val="28"/>
          <w:highlight w:val="none"/>
        </w:rPr>
        <w:t>期</w:t>
      </w:r>
      <w:r>
        <w:rPr>
          <w:rFonts w:hint="eastAsia" w:ascii="宋体" w:hAnsi="宋体"/>
          <w:color w:val="auto"/>
          <w:sz w:val="28"/>
          <w:szCs w:val="28"/>
          <w:highlight w:val="none"/>
          <w:lang w:val="en-US" w:eastAsia="zh-CN"/>
        </w:rPr>
        <w:t>限</w:t>
      </w:r>
      <w:r>
        <w:rPr>
          <w:rFonts w:ascii="宋体" w:hAnsi="宋体"/>
          <w:color w:val="auto"/>
          <w:sz w:val="28"/>
          <w:szCs w:val="28"/>
          <w:highlight w:val="none"/>
        </w:rPr>
        <w:t>内为</w:t>
      </w:r>
      <w:r>
        <w:rPr>
          <w:rFonts w:hint="eastAsia"/>
          <w:color w:val="auto"/>
          <w:sz w:val="28"/>
          <w:szCs w:val="28"/>
          <w:highlight w:val="none"/>
          <w:lang w:val="en-US" w:eastAsia="zh-CN"/>
        </w:rPr>
        <w:t>_______________________</w:t>
      </w:r>
      <w:r>
        <w:rPr>
          <w:rFonts w:hint="eastAsia" w:ascii="宋体" w:hAnsi="宋体"/>
          <w:color w:val="auto"/>
          <w:sz w:val="28"/>
          <w:szCs w:val="28"/>
          <w:highlight w:val="none"/>
        </w:rPr>
        <w:t>元</w:t>
      </w:r>
      <w:r>
        <w:rPr>
          <w:rFonts w:hint="eastAsia" w:ascii="宋体" w:hAnsi="宋体"/>
          <w:color w:val="auto"/>
          <w:sz w:val="28"/>
          <w:szCs w:val="28"/>
          <w:highlight w:val="none"/>
          <w:lang w:val="en-US" w:eastAsia="zh-CN"/>
        </w:rPr>
        <w:t>整</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小写</w:t>
      </w:r>
      <w:r>
        <w:rPr>
          <w:rFonts w:hint="default" w:ascii="Arial" w:hAnsi="Arial" w:cs="Arial"/>
          <w:color w:val="auto"/>
          <w:sz w:val="28"/>
          <w:szCs w:val="28"/>
          <w:highlight w:val="none"/>
          <w:lang w:val="en-US" w:eastAsia="zh-CN"/>
        </w:rPr>
        <w:t>¥</w:t>
      </w:r>
      <w:r>
        <w:rPr>
          <w:rFonts w:hint="eastAsia" w:ascii="Arial" w:hAnsi="Arial" w:cs="Arial"/>
          <w:color w:val="auto"/>
          <w:sz w:val="28"/>
          <w:szCs w:val="28"/>
          <w:highlight w:val="none"/>
          <w:lang w:val="en-US" w:eastAsia="zh-CN"/>
        </w:rPr>
        <w:t>__________元</w:t>
      </w:r>
      <w:r>
        <w:rPr>
          <w:rFonts w:hint="eastAsia" w:ascii="宋体" w:hAnsi="宋体"/>
          <w:color w:val="auto"/>
          <w:sz w:val="28"/>
          <w:szCs w:val="28"/>
          <w:highlight w:val="none"/>
          <w:lang w:eastAsia="zh-CN"/>
        </w:rPr>
        <w:t>）。</w:t>
      </w:r>
    </w:p>
    <w:p w14:paraId="3C4F6F14">
      <w:pPr>
        <w:spacing w:line="560" w:lineRule="exact"/>
        <w:ind w:firstLine="560" w:firstLineChars="200"/>
        <w:rPr>
          <w:rFonts w:hint="eastAsia" w:ascii="宋体" w:hAnsi="宋体" w:eastAsia="宋体"/>
          <w:color w:val="auto"/>
          <w:sz w:val="28"/>
          <w:szCs w:val="28"/>
          <w:highlight w:val="none"/>
          <w:lang w:val="en-US" w:eastAsia="zh-CN"/>
        </w:rPr>
      </w:pPr>
      <w:r>
        <w:rPr>
          <w:rFonts w:hint="eastAsia" w:ascii="宋体" w:hAnsi="宋体"/>
          <w:color w:val="auto"/>
          <w:sz w:val="28"/>
          <w:szCs w:val="28"/>
          <w:highlight w:val="none"/>
          <w:lang w:val="en-US" w:eastAsia="zh-CN"/>
        </w:rPr>
        <w:t>④</w:t>
      </w:r>
      <w:r>
        <w:rPr>
          <w:rFonts w:hint="eastAsia"/>
          <w:color w:val="auto"/>
          <w:sz w:val="28"/>
          <w:szCs w:val="28"/>
          <w:highlight w:val="none"/>
          <w:lang w:val="en-US" w:eastAsia="zh-CN"/>
        </w:rPr>
        <w:t>固话语音服务费</w:t>
      </w:r>
      <w:r>
        <w:rPr>
          <w:rFonts w:hint="eastAsia" w:ascii="宋体" w:hAnsi="宋体"/>
          <w:color w:val="auto"/>
          <w:sz w:val="28"/>
          <w:szCs w:val="28"/>
          <w:highlight w:val="none"/>
          <w:lang w:val="en-US" w:eastAsia="zh-CN"/>
        </w:rPr>
        <w:t>（</w:t>
      </w:r>
      <w:r>
        <w:rPr>
          <w:rFonts w:hint="eastAsia" w:ascii="宋体" w:hAnsi="宋体"/>
          <w:color w:val="auto"/>
          <w:sz w:val="28"/>
          <w:szCs w:val="28"/>
          <w:highlight w:val="none"/>
        </w:rPr>
        <w:t>具体详见附件</w:t>
      </w:r>
      <w:r>
        <w:rPr>
          <w:rFonts w:hint="eastAsia" w:ascii="宋体" w:hAnsi="宋体"/>
          <w:color w:val="auto"/>
          <w:sz w:val="28"/>
          <w:szCs w:val="28"/>
          <w:highlight w:val="none"/>
          <w:lang w:val="en-US" w:eastAsia="zh-CN"/>
        </w:rPr>
        <w:t>3</w:t>
      </w:r>
      <w:r>
        <w:rPr>
          <w:rFonts w:ascii="宋体" w:hAnsi="宋体"/>
          <w:color w:val="auto"/>
          <w:sz w:val="28"/>
          <w:szCs w:val="28"/>
          <w:highlight w:val="none"/>
        </w:rPr>
        <w:t>）：本</w:t>
      </w:r>
      <w:r>
        <w:rPr>
          <w:rFonts w:hint="eastAsia" w:ascii="宋体" w:hAnsi="宋体"/>
          <w:color w:val="auto"/>
          <w:sz w:val="28"/>
          <w:szCs w:val="28"/>
          <w:highlight w:val="none"/>
        </w:rPr>
        <w:t>合同</w:t>
      </w:r>
      <w:r>
        <w:rPr>
          <w:rFonts w:hint="eastAsia" w:ascii="宋体" w:hAnsi="宋体"/>
          <w:color w:val="auto"/>
          <w:sz w:val="28"/>
          <w:szCs w:val="28"/>
          <w:highlight w:val="none"/>
          <w:lang w:val="en-US" w:eastAsia="zh-CN"/>
        </w:rPr>
        <w:t>服务</w:t>
      </w:r>
      <w:r>
        <w:rPr>
          <w:rFonts w:hint="eastAsia" w:ascii="宋体" w:hAnsi="宋体"/>
          <w:color w:val="auto"/>
          <w:sz w:val="28"/>
          <w:szCs w:val="28"/>
          <w:highlight w:val="none"/>
        </w:rPr>
        <w:t>期</w:t>
      </w:r>
      <w:r>
        <w:rPr>
          <w:rFonts w:hint="eastAsia" w:ascii="宋体" w:hAnsi="宋体"/>
          <w:color w:val="auto"/>
          <w:sz w:val="28"/>
          <w:szCs w:val="28"/>
          <w:highlight w:val="none"/>
          <w:lang w:val="en-US" w:eastAsia="zh-CN"/>
        </w:rPr>
        <w:t>限</w:t>
      </w:r>
      <w:r>
        <w:rPr>
          <w:rFonts w:ascii="宋体" w:hAnsi="宋体"/>
          <w:color w:val="auto"/>
          <w:sz w:val="28"/>
          <w:szCs w:val="28"/>
          <w:highlight w:val="none"/>
        </w:rPr>
        <w:t>内为</w:t>
      </w:r>
      <w:r>
        <w:rPr>
          <w:rFonts w:hint="eastAsia"/>
          <w:color w:val="auto"/>
          <w:sz w:val="28"/>
          <w:szCs w:val="28"/>
          <w:highlight w:val="none"/>
          <w:lang w:val="en-US" w:eastAsia="zh-CN"/>
        </w:rPr>
        <w:t>_______________________</w:t>
      </w:r>
      <w:r>
        <w:rPr>
          <w:rFonts w:hint="eastAsia" w:ascii="宋体" w:hAnsi="宋体"/>
          <w:color w:val="auto"/>
          <w:sz w:val="28"/>
          <w:szCs w:val="28"/>
          <w:highlight w:val="none"/>
        </w:rPr>
        <w:t>元</w:t>
      </w:r>
      <w:r>
        <w:rPr>
          <w:rFonts w:hint="eastAsia" w:ascii="宋体" w:hAnsi="宋体"/>
          <w:color w:val="auto"/>
          <w:sz w:val="28"/>
          <w:szCs w:val="28"/>
          <w:highlight w:val="none"/>
          <w:lang w:val="en-US" w:eastAsia="zh-CN"/>
        </w:rPr>
        <w:t>整</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小写</w:t>
      </w:r>
      <w:r>
        <w:rPr>
          <w:rFonts w:hint="default" w:ascii="Arial" w:hAnsi="Arial" w:cs="Arial"/>
          <w:color w:val="auto"/>
          <w:sz w:val="28"/>
          <w:szCs w:val="28"/>
          <w:highlight w:val="none"/>
          <w:lang w:val="en-US" w:eastAsia="zh-CN"/>
        </w:rPr>
        <w:t>¥</w:t>
      </w:r>
      <w:r>
        <w:rPr>
          <w:rFonts w:hint="eastAsia" w:ascii="Arial" w:hAnsi="Arial" w:cs="Arial"/>
          <w:color w:val="auto"/>
          <w:sz w:val="28"/>
          <w:szCs w:val="28"/>
          <w:highlight w:val="none"/>
          <w:lang w:val="en-US" w:eastAsia="zh-CN"/>
        </w:rPr>
        <w:t>__________元</w:t>
      </w:r>
      <w:r>
        <w:rPr>
          <w:rFonts w:hint="eastAsia" w:ascii="宋体" w:hAnsi="宋体"/>
          <w:color w:val="auto"/>
          <w:sz w:val="28"/>
          <w:szCs w:val="28"/>
          <w:highlight w:val="none"/>
          <w:lang w:eastAsia="zh-CN"/>
        </w:rPr>
        <w:t>）。</w:t>
      </w:r>
    </w:p>
    <w:p w14:paraId="316E61BA">
      <w:pPr>
        <w:spacing w:line="560" w:lineRule="exact"/>
        <w:ind w:firstLine="560" w:firstLineChars="200"/>
        <w:rPr>
          <w:rFonts w:hint="eastAsia" w:ascii="宋体" w:hAnsi="宋体" w:eastAsia="宋体"/>
          <w:color w:val="auto"/>
          <w:sz w:val="28"/>
          <w:szCs w:val="28"/>
          <w:highlight w:val="none"/>
          <w:lang w:val="en-US" w:eastAsia="zh-CN"/>
        </w:rPr>
      </w:pPr>
      <w:r>
        <w:rPr>
          <w:rFonts w:hint="eastAsia" w:ascii="宋体" w:hAnsi="宋体"/>
          <w:color w:val="auto"/>
          <w:sz w:val="28"/>
          <w:szCs w:val="28"/>
          <w:highlight w:val="none"/>
          <w:lang w:val="en-US" w:eastAsia="zh-CN"/>
        </w:rPr>
        <w:t>⑤</w:t>
      </w:r>
      <w:r>
        <w:rPr>
          <w:rFonts w:hint="eastAsia"/>
          <w:color w:val="auto"/>
          <w:sz w:val="28"/>
          <w:szCs w:val="28"/>
          <w:highlight w:val="none"/>
          <w:lang w:val="en-US" w:eastAsia="zh-CN"/>
        </w:rPr>
        <w:t>坐席热线</w:t>
      </w:r>
      <w:r>
        <w:rPr>
          <w:rFonts w:hint="eastAsia"/>
          <w:color w:val="auto"/>
          <w:sz w:val="28"/>
          <w:szCs w:val="28"/>
          <w:highlight w:val="none"/>
        </w:rPr>
        <w:t>运营费</w:t>
      </w:r>
      <w:r>
        <w:rPr>
          <w:rFonts w:hint="eastAsia" w:ascii="宋体" w:hAnsi="宋体"/>
          <w:color w:val="auto"/>
          <w:sz w:val="28"/>
          <w:szCs w:val="28"/>
          <w:highlight w:val="none"/>
          <w:lang w:val="en-US" w:eastAsia="zh-CN"/>
        </w:rPr>
        <w:t>（</w:t>
      </w:r>
      <w:r>
        <w:rPr>
          <w:rFonts w:hint="eastAsia" w:ascii="宋体" w:hAnsi="宋体"/>
          <w:color w:val="auto"/>
          <w:sz w:val="28"/>
          <w:szCs w:val="28"/>
          <w:highlight w:val="none"/>
        </w:rPr>
        <w:t>具体详见附件</w:t>
      </w:r>
      <w:r>
        <w:rPr>
          <w:rFonts w:hint="eastAsia" w:ascii="宋体" w:hAnsi="宋体"/>
          <w:color w:val="auto"/>
          <w:sz w:val="28"/>
          <w:szCs w:val="28"/>
          <w:highlight w:val="none"/>
          <w:lang w:val="en-US" w:eastAsia="zh-CN"/>
        </w:rPr>
        <w:t>3</w:t>
      </w:r>
      <w:r>
        <w:rPr>
          <w:rFonts w:ascii="宋体" w:hAnsi="宋体"/>
          <w:color w:val="auto"/>
          <w:sz w:val="28"/>
          <w:szCs w:val="28"/>
          <w:highlight w:val="none"/>
        </w:rPr>
        <w:t>）：本</w:t>
      </w:r>
      <w:r>
        <w:rPr>
          <w:rFonts w:hint="eastAsia" w:ascii="宋体" w:hAnsi="宋体"/>
          <w:color w:val="auto"/>
          <w:sz w:val="28"/>
          <w:szCs w:val="28"/>
          <w:highlight w:val="none"/>
        </w:rPr>
        <w:t>合同</w:t>
      </w:r>
      <w:r>
        <w:rPr>
          <w:rFonts w:hint="eastAsia" w:ascii="宋体" w:hAnsi="宋体"/>
          <w:color w:val="auto"/>
          <w:sz w:val="28"/>
          <w:szCs w:val="28"/>
          <w:highlight w:val="none"/>
          <w:lang w:val="en-US" w:eastAsia="zh-CN"/>
        </w:rPr>
        <w:t>服务</w:t>
      </w:r>
      <w:r>
        <w:rPr>
          <w:rFonts w:hint="eastAsia" w:ascii="宋体" w:hAnsi="宋体"/>
          <w:color w:val="auto"/>
          <w:sz w:val="28"/>
          <w:szCs w:val="28"/>
          <w:highlight w:val="none"/>
        </w:rPr>
        <w:t>期</w:t>
      </w:r>
      <w:r>
        <w:rPr>
          <w:rFonts w:hint="eastAsia" w:ascii="宋体" w:hAnsi="宋体"/>
          <w:color w:val="auto"/>
          <w:sz w:val="28"/>
          <w:szCs w:val="28"/>
          <w:highlight w:val="none"/>
          <w:lang w:val="en-US" w:eastAsia="zh-CN"/>
        </w:rPr>
        <w:t>限</w:t>
      </w:r>
      <w:r>
        <w:rPr>
          <w:rFonts w:ascii="宋体" w:hAnsi="宋体"/>
          <w:color w:val="auto"/>
          <w:sz w:val="28"/>
          <w:szCs w:val="28"/>
          <w:highlight w:val="none"/>
        </w:rPr>
        <w:t>内为</w:t>
      </w:r>
      <w:r>
        <w:rPr>
          <w:rFonts w:hint="eastAsia"/>
          <w:color w:val="auto"/>
          <w:sz w:val="28"/>
          <w:szCs w:val="28"/>
          <w:highlight w:val="none"/>
          <w:lang w:val="en-US" w:eastAsia="zh-CN"/>
        </w:rPr>
        <w:t>_______________________</w:t>
      </w:r>
      <w:r>
        <w:rPr>
          <w:rFonts w:hint="eastAsia" w:ascii="宋体" w:hAnsi="宋体"/>
          <w:color w:val="auto"/>
          <w:sz w:val="28"/>
          <w:szCs w:val="28"/>
          <w:highlight w:val="none"/>
        </w:rPr>
        <w:t>元</w:t>
      </w:r>
      <w:r>
        <w:rPr>
          <w:rFonts w:hint="eastAsia" w:ascii="宋体" w:hAnsi="宋体"/>
          <w:color w:val="auto"/>
          <w:sz w:val="28"/>
          <w:szCs w:val="28"/>
          <w:highlight w:val="none"/>
          <w:lang w:val="en-US" w:eastAsia="zh-CN"/>
        </w:rPr>
        <w:t>整</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小写</w:t>
      </w:r>
      <w:r>
        <w:rPr>
          <w:rFonts w:hint="default" w:ascii="Arial" w:hAnsi="Arial" w:cs="Arial"/>
          <w:color w:val="auto"/>
          <w:sz w:val="28"/>
          <w:szCs w:val="28"/>
          <w:highlight w:val="none"/>
          <w:lang w:val="en-US" w:eastAsia="zh-CN"/>
        </w:rPr>
        <w:t>¥</w:t>
      </w:r>
      <w:r>
        <w:rPr>
          <w:rFonts w:hint="eastAsia" w:ascii="Arial" w:hAnsi="Arial" w:cs="Arial"/>
          <w:color w:val="auto"/>
          <w:sz w:val="28"/>
          <w:szCs w:val="28"/>
          <w:highlight w:val="none"/>
          <w:lang w:val="en-US" w:eastAsia="zh-CN"/>
        </w:rPr>
        <w:t>__________元</w:t>
      </w:r>
      <w:r>
        <w:rPr>
          <w:rFonts w:hint="eastAsia" w:ascii="宋体" w:hAnsi="宋体"/>
          <w:color w:val="auto"/>
          <w:sz w:val="28"/>
          <w:szCs w:val="28"/>
          <w:highlight w:val="none"/>
          <w:lang w:eastAsia="zh-CN"/>
        </w:rPr>
        <w:t>）。</w:t>
      </w:r>
    </w:p>
    <w:p w14:paraId="12C4E67C">
      <w:pPr>
        <w:spacing w:line="560" w:lineRule="exact"/>
        <w:ind w:firstLine="560" w:firstLineChars="200"/>
        <w:rPr>
          <w:rFonts w:hint="eastAsia" w:ascii="宋体" w:hAnsi="宋体" w:eastAsia="宋体"/>
          <w:color w:val="auto"/>
          <w:sz w:val="28"/>
          <w:szCs w:val="28"/>
          <w:highlight w:val="none"/>
          <w:lang w:val="en-US" w:eastAsia="zh-CN"/>
        </w:rPr>
      </w:pPr>
      <w:r>
        <w:rPr>
          <w:rFonts w:hint="eastAsia" w:ascii="宋体" w:hAnsi="宋体"/>
          <w:color w:val="auto"/>
          <w:sz w:val="28"/>
          <w:szCs w:val="28"/>
          <w:highlight w:val="none"/>
          <w:lang w:val="en-US" w:eastAsia="zh-CN"/>
        </w:rPr>
        <w:t>⑥</w:t>
      </w:r>
      <w:r>
        <w:rPr>
          <w:rFonts w:hint="eastAsia"/>
          <w:color w:val="auto"/>
          <w:sz w:val="28"/>
          <w:szCs w:val="28"/>
          <w:highlight w:val="none"/>
        </w:rPr>
        <w:t>场地租赁及物业服务费</w:t>
      </w:r>
      <w:r>
        <w:rPr>
          <w:rFonts w:hint="eastAsia" w:ascii="宋体" w:hAnsi="宋体"/>
          <w:color w:val="auto"/>
          <w:sz w:val="28"/>
          <w:szCs w:val="28"/>
          <w:highlight w:val="none"/>
          <w:lang w:val="en-US" w:eastAsia="zh-CN"/>
        </w:rPr>
        <w:t>（</w:t>
      </w:r>
      <w:r>
        <w:rPr>
          <w:rFonts w:hint="eastAsia" w:ascii="宋体" w:hAnsi="宋体"/>
          <w:color w:val="auto"/>
          <w:sz w:val="28"/>
          <w:szCs w:val="28"/>
          <w:highlight w:val="none"/>
        </w:rPr>
        <w:t>具体详见附件</w:t>
      </w:r>
      <w:r>
        <w:rPr>
          <w:rFonts w:hint="eastAsia" w:ascii="宋体" w:hAnsi="宋体"/>
          <w:color w:val="auto"/>
          <w:sz w:val="28"/>
          <w:szCs w:val="28"/>
          <w:highlight w:val="none"/>
          <w:lang w:val="en-US" w:eastAsia="zh-CN"/>
        </w:rPr>
        <w:t>3</w:t>
      </w:r>
      <w:r>
        <w:rPr>
          <w:rFonts w:ascii="宋体" w:hAnsi="宋体"/>
          <w:color w:val="auto"/>
          <w:sz w:val="28"/>
          <w:szCs w:val="28"/>
          <w:highlight w:val="none"/>
        </w:rPr>
        <w:t>）：本</w:t>
      </w:r>
      <w:r>
        <w:rPr>
          <w:rFonts w:hint="eastAsia" w:ascii="宋体" w:hAnsi="宋体"/>
          <w:color w:val="auto"/>
          <w:sz w:val="28"/>
          <w:szCs w:val="28"/>
          <w:highlight w:val="none"/>
        </w:rPr>
        <w:t>合同</w:t>
      </w:r>
      <w:r>
        <w:rPr>
          <w:rFonts w:hint="eastAsia" w:ascii="宋体" w:hAnsi="宋体"/>
          <w:color w:val="auto"/>
          <w:sz w:val="28"/>
          <w:szCs w:val="28"/>
          <w:highlight w:val="none"/>
          <w:lang w:val="en-US" w:eastAsia="zh-CN"/>
        </w:rPr>
        <w:t>服务</w:t>
      </w:r>
      <w:r>
        <w:rPr>
          <w:rFonts w:hint="eastAsia" w:ascii="宋体" w:hAnsi="宋体"/>
          <w:color w:val="auto"/>
          <w:sz w:val="28"/>
          <w:szCs w:val="28"/>
          <w:highlight w:val="none"/>
        </w:rPr>
        <w:t>期</w:t>
      </w:r>
      <w:r>
        <w:rPr>
          <w:rFonts w:hint="eastAsia" w:ascii="宋体" w:hAnsi="宋体"/>
          <w:color w:val="auto"/>
          <w:sz w:val="28"/>
          <w:szCs w:val="28"/>
          <w:highlight w:val="none"/>
          <w:lang w:val="en-US" w:eastAsia="zh-CN"/>
        </w:rPr>
        <w:t>限</w:t>
      </w:r>
      <w:r>
        <w:rPr>
          <w:rFonts w:ascii="宋体" w:hAnsi="宋体"/>
          <w:color w:val="auto"/>
          <w:sz w:val="28"/>
          <w:szCs w:val="28"/>
          <w:highlight w:val="none"/>
        </w:rPr>
        <w:t>内为</w:t>
      </w:r>
      <w:r>
        <w:rPr>
          <w:rFonts w:hint="eastAsia"/>
          <w:color w:val="auto"/>
          <w:sz w:val="28"/>
          <w:szCs w:val="28"/>
          <w:highlight w:val="none"/>
          <w:lang w:val="en-US" w:eastAsia="zh-CN"/>
        </w:rPr>
        <w:t>_______________________</w:t>
      </w:r>
      <w:r>
        <w:rPr>
          <w:rFonts w:hint="eastAsia" w:ascii="宋体" w:hAnsi="宋体"/>
          <w:color w:val="auto"/>
          <w:sz w:val="28"/>
          <w:szCs w:val="28"/>
          <w:highlight w:val="none"/>
        </w:rPr>
        <w:t>元</w:t>
      </w:r>
      <w:r>
        <w:rPr>
          <w:rFonts w:hint="eastAsia" w:ascii="宋体" w:hAnsi="宋体"/>
          <w:color w:val="auto"/>
          <w:sz w:val="28"/>
          <w:szCs w:val="28"/>
          <w:highlight w:val="none"/>
          <w:lang w:val="en-US" w:eastAsia="zh-CN"/>
        </w:rPr>
        <w:t>整</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小写</w:t>
      </w:r>
      <w:r>
        <w:rPr>
          <w:rFonts w:hint="default" w:ascii="Arial" w:hAnsi="Arial" w:cs="Arial"/>
          <w:color w:val="auto"/>
          <w:sz w:val="28"/>
          <w:szCs w:val="28"/>
          <w:highlight w:val="none"/>
          <w:lang w:val="en-US" w:eastAsia="zh-CN"/>
        </w:rPr>
        <w:t>¥</w:t>
      </w:r>
      <w:r>
        <w:rPr>
          <w:rFonts w:hint="eastAsia" w:ascii="Arial" w:hAnsi="Arial" w:cs="Arial"/>
          <w:color w:val="auto"/>
          <w:sz w:val="28"/>
          <w:szCs w:val="28"/>
          <w:highlight w:val="none"/>
          <w:lang w:val="en-US" w:eastAsia="zh-CN"/>
        </w:rPr>
        <w:t>__________元</w:t>
      </w:r>
      <w:r>
        <w:rPr>
          <w:rFonts w:hint="eastAsia" w:ascii="宋体" w:hAnsi="宋体"/>
          <w:color w:val="auto"/>
          <w:sz w:val="28"/>
          <w:szCs w:val="28"/>
          <w:highlight w:val="none"/>
          <w:lang w:eastAsia="zh-CN"/>
        </w:rPr>
        <w:t>）。</w:t>
      </w:r>
    </w:p>
    <w:p w14:paraId="3DBC08FD">
      <w:pPr>
        <w:spacing w:line="560" w:lineRule="exact"/>
        <w:ind w:firstLine="560" w:firstLineChars="200"/>
        <w:rPr>
          <w:rFonts w:ascii="宋体" w:hAnsi="宋体"/>
          <w:color w:val="auto"/>
          <w:sz w:val="28"/>
          <w:szCs w:val="28"/>
          <w:highlight w:val="none"/>
        </w:rPr>
      </w:pPr>
      <w:r>
        <w:rPr>
          <w:rFonts w:ascii="宋体" w:hAnsi="宋体"/>
          <w:color w:val="auto"/>
          <w:sz w:val="28"/>
          <w:szCs w:val="28"/>
          <w:highlight w:val="none"/>
        </w:rPr>
        <w:t>3.付费方式：银行转账。</w:t>
      </w:r>
    </w:p>
    <w:p w14:paraId="5FE63058">
      <w:pPr>
        <w:tabs>
          <w:tab w:val="center" w:pos="4433"/>
        </w:tabs>
        <w:spacing w:line="560" w:lineRule="exact"/>
        <w:ind w:firstLine="560" w:firstLineChars="200"/>
        <w:rPr>
          <w:rFonts w:ascii="宋体" w:hAnsi="宋体"/>
          <w:color w:val="auto"/>
          <w:sz w:val="28"/>
          <w:szCs w:val="28"/>
          <w:highlight w:val="none"/>
        </w:rPr>
      </w:pPr>
      <w:r>
        <w:rPr>
          <w:rFonts w:hint="eastAsia" w:ascii="宋体" w:hAnsi="宋体"/>
          <w:color w:val="auto"/>
          <w:sz w:val="28"/>
          <w:szCs w:val="28"/>
          <w:highlight w:val="none"/>
        </w:rPr>
        <w:t>4.付款方式及发票开具条款如下：</w:t>
      </w:r>
    </w:p>
    <w:p w14:paraId="628AAAE8">
      <w:pPr>
        <w:spacing w:line="560" w:lineRule="exact"/>
        <w:ind w:firstLine="560" w:firstLineChars="200"/>
        <w:rPr>
          <w:rFonts w:hint="eastAsia" w:ascii="宋体" w:hAnsi="宋体"/>
          <w:color w:val="auto"/>
          <w:sz w:val="28"/>
          <w:szCs w:val="28"/>
          <w:highlight w:val="none"/>
        </w:rPr>
      </w:pPr>
      <w:r>
        <w:rPr>
          <w:rFonts w:hint="eastAsia" w:ascii="宋体" w:hAnsi="宋体"/>
          <w:color w:val="auto"/>
          <w:sz w:val="28"/>
          <w:szCs w:val="28"/>
          <w:highlight w:val="none"/>
        </w:rPr>
        <w:t>1.</w:t>
      </w:r>
      <w:r>
        <w:rPr>
          <w:rFonts w:hint="eastAsia" w:ascii="宋体" w:hAnsi="宋体"/>
          <w:color w:val="auto"/>
          <w:sz w:val="28"/>
          <w:szCs w:val="28"/>
          <w:highlight w:val="none"/>
          <w:lang w:val="en-US" w:eastAsia="zh-CN"/>
        </w:rPr>
        <w:t>本</w:t>
      </w:r>
      <w:r>
        <w:rPr>
          <w:rFonts w:hint="eastAsia" w:ascii="宋体" w:hAnsi="宋体"/>
          <w:color w:val="auto"/>
          <w:sz w:val="28"/>
          <w:szCs w:val="28"/>
          <w:highlight w:val="none"/>
        </w:rPr>
        <w:t>合同生效后，</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向</w:t>
      </w:r>
      <w:r>
        <w:rPr>
          <w:rFonts w:hint="eastAsia" w:ascii="宋体" w:hAnsi="宋体"/>
          <w:strike w:val="0"/>
          <w:dstrike w:val="0"/>
          <w:color w:val="auto"/>
          <w:sz w:val="28"/>
          <w:szCs w:val="28"/>
          <w:highlight w:val="none"/>
          <w:lang w:val="en-US" w:eastAsia="zh-CN"/>
        </w:rPr>
        <w:t>乙方</w:t>
      </w:r>
      <w:r>
        <w:rPr>
          <w:rFonts w:hint="eastAsia" w:ascii="宋体" w:hAnsi="宋体"/>
          <w:color w:val="auto"/>
          <w:sz w:val="28"/>
          <w:szCs w:val="28"/>
          <w:highlight w:val="none"/>
        </w:rPr>
        <w:t>支付服务总费用的40%。服务总费用的60%作为</w:t>
      </w:r>
      <w:r>
        <w:rPr>
          <w:rFonts w:hint="eastAsia" w:ascii="宋体" w:hAnsi="宋体"/>
          <w:color w:val="auto"/>
          <w:sz w:val="28"/>
          <w:szCs w:val="28"/>
          <w:highlight w:val="none"/>
          <w:lang w:val="en-US" w:eastAsia="zh-CN"/>
        </w:rPr>
        <w:t>月度</w:t>
      </w:r>
      <w:r>
        <w:rPr>
          <w:rFonts w:hint="eastAsia" w:ascii="宋体" w:hAnsi="宋体"/>
          <w:color w:val="auto"/>
          <w:sz w:val="28"/>
          <w:szCs w:val="28"/>
          <w:highlight w:val="none"/>
        </w:rPr>
        <w:t>考核</w:t>
      </w:r>
      <w:r>
        <w:rPr>
          <w:rFonts w:hint="eastAsia" w:ascii="宋体" w:hAnsi="宋体"/>
          <w:color w:val="auto"/>
          <w:sz w:val="28"/>
          <w:szCs w:val="28"/>
          <w:highlight w:val="none"/>
          <w:lang w:val="en-US" w:eastAsia="zh-CN"/>
        </w:rPr>
        <w:t>金额</w:t>
      </w:r>
      <w:r>
        <w:rPr>
          <w:rFonts w:hint="eastAsia" w:ascii="宋体" w:hAnsi="宋体"/>
          <w:color w:val="auto"/>
          <w:sz w:val="28"/>
          <w:szCs w:val="28"/>
          <w:highlight w:val="none"/>
        </w:rPr>
        <w:t>，</w:t>
      </w:r>
      <w:r>
        <w:rPr>
          <w:rFonts w:hint="eastAsia" w:ascii="宋体" w:hAnsi="宋体"/>
          <w:color w:val="auto"/>
          <w:sz w:val="28"/>
          <w:szCs w:val="28"/>
          <w:highlight w:val="none"/>
          <w:lang w:val="en-US" w:eastAsia="zh-CN"/>
        </w:rPr>
        <w:t>每</w:t>
      </w:r>
      <w:r>
        <w:rPr>
          <w:rFonts w:hint="eastAsia" w:ascii="宋体" w:hAnsi="宋体"/>
          <w:color w:val="auto"/>
          <w:sz w:val="28"/>
          <w:szCs w:val="28"/>
          <w:highlight w:val="none"/>
        </w:rPr>
        <w:t>3个月为一个考核周期，</w:t>
      </w:r>
      <w:r>
        <w:rPr>
          <w:rFonts w:hint="eastAsia" w:ascii="宋体" w:hAnsi="宋体"/>
          <w:color w:val="auto"/>
          <w:sz w:val="28"/>
          <w:szCs w:val="28"/>
          <w:highlight w:val="none"/>
          <w:lang w:val="en-US" w:eastAsia="zh-CN"/>
        </w:rPr>
        <w:t>前三个考核期</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(每个考核期满后次月的15日</w:t>
      </w:r>
      <w:r>
        <w:rPr>
          <w:rFonts w:hint="eastAsia" w:ascii="宋体" w:hAnsi="宋体"/>
          <w:color w:val="auto"/>
          <w:sz w:val="28"/>
          <w:szCs w:val="28"/>
          <w:highlight w:val="none"/>
          <w:lang w:val="en-US" w:eastAsia="zh-CN"/>
        </w:rPr>
        <w:t>前</w:t>
      </w:r>
      <w:r>
        <w:rPr>
          <w:rFonts w:hint="eastAsia" w:ascii="宋体" w:hAnsi="宋体"/>
          <w:color w:val="auto"/>
          <w:sz w:val="28"/>
          <w:szCs w:val="28"/>
          <w:highlight w:val="none"/>
        </w:rPr>
        <w:t>完成考核)</w:t>
      </w:r>
      <w:r>
        <w:rPr>
          <w:rFonts w:hint="eastAsia" w:ascii="宋体" w:hAnsi="宋体"/>
          <w:color w:val="auto"/>
          <w:sz w:val="28"/>
          <w:szCs w:val="28"/>
          <w:highlight w:val="none"/>
          <w:lang w:val="en-US" w:eastAsia="zh-CN"/>
        </w:rPr>
        <w:t>向</w:t>
      </w:r>
      <w:r>
        <w:rPr>
          <w:rFonts w:hint="eastAsia" w:ascii="宋体" w:hAnsi="宋体"/>
          <w:strike w:val="0"/>
          <w:dstrike w:val="0"/>
          <w:color w:val="auto"/>
          <w:sz w:val="28"/>
          <w:szCs w:val="28"/>
          <w:highlight w:val="none"/>
          <w:lang w:val="en-US" w:eastAsia="zh-CN"/>
        </w:rPr>
        <w:t>乙方支付</w:t>
      </w:r>
      <w:r>
        <w:rPr>
          <w:rFonts w:hint="eastAsia" w:ascii="宋体" w:hAnsi="宋体"/>
          <w:color w:val="auto"/>
          <w:sz w:val="28"/>
          <w:szCs w:val="28"/>
          <w:highlight w:val="none"/>
        </w:rPr>
        <w:t>服务总费用的12%，剩余的服务总费用的12%作为绩效考核</w:t>
      </w:r>
      <w:r>
        <w:rPr>
          <w:rFonts w:hint="eastAsia" w:ascii="宋体" w:hAnsi="宋体"/>
          <w:color w:val="auto"/>
          <w:sz w:val="28"/>
          <w:szCs w:val="28"/>
          <w:highlight w:val="none"/>
          <w:lang w:val="en-US" w:eastAsia="zh-CN"/>
        </w:rPr>
        <w:t>金额</w:t>
      </w:r>
      <w:r>
        <w:rPr>
          <w:rFonts w:hint="eastAsia" w:ascii="宋体" w:hAnsi="宋体"/>
          <w:color w:val="auto"/>
          <w:sz w:val="28"/>
          <w:szCs w:val="28"/>
          <w:highlight w:val="none"/>
        </w:rPr>
        <w:t>同第四</w:t>
      </w:r>
      <w:r>
        <w:rPr>
          <w:rFonts w:hint="eastAsia" w:ascii="宋体" w:hAnsi="宋体"/>
          <w:color w:val="auto"/>
          <w:sz w:val="28"/>
          <w:szCs w:val="28"/>
          <w:highlight w:val="none"/>
          <w:lang w:val="en-US" w:eastAsia="zh-CN"/>
        </w:rPr>
        <w:t>个</w:t>
      </w:r>
      <w:r>
        <w:rPr>
          <w:rFonts w:hint="eastAsia" w:ascii="宋体" w:hAnsi="宋体"/>
          <w:color w:val="auto"/>
          <w:sz w:val="28"/>
          <w:szCs w:val="28"/>
          <w:highlight w:val="none"/>
        </w:rPr>
        <w:t>考核期</w:t>
      </w:r>
      <w:r>
        <w:rPr>
          <w:rFonts w:hint="eastAsia" w:ascii="宋体" w:hAnsi="宋体"/>
          <w:color w:val="auto"/>
          <w:sz w:val="28"/>
          <w:szCs w:val="28"/>
          <w:highlight w:val="none"/>
          <w:lang w:val="en-US" w:eastAsia="zh-CN"/>
        </w:rPr>
        <w:t>考核金额</w:t>
      </w:r>
      <w:r>
        <w:rPr>
          <w:rFonts w:hint="eastAsia" w:ascii="宋体" w:hAnsi="宋体"/>
          <w:color w:val="auto"/>
          <w:sz w:val="28"/>
          <w:szCs w:val="28"/>
          <w:highlight w:val="none"/>
        </w:rPr>
        <w:t>一起支付(以上约定经考核后支付的金额为当期付款基数，具体付款金额以最终考核确认的金额为准，考核成绩统计周期为12个月的月平均分数)。</w:t>
      </w:r>
    </w:p>
    <w:p w14:paraId="3E07396E">
      <w:pPr>
        <w:spacing w:line="560" w:lineRule="exact"/>
        <w:ind w:firstLine="560" w:firstLineChars="200"/>
        <w:rPr>
          <w:rFonts w:hint="eastAsia" w:ascii="宋体" w:hAnsi="宋体"/>
          <w:color w:val="auto"/>
          <w:sz w:val="28"/>
          <w:szCs w:val="28"/>
          <w:highlight w:val="none"/>
        </w:rPr>
      </w:pPr>
      <w:r>
        <w:rPr>
          <w:rFonts w:hint="eastAsia" w:ascii="宋体" w:hAnsi="宋体"/>
          <w:color w:val="auto"/>
          <w:sz w:val="28"/>
          <w:szCs w:val="28"/>
          <w:highlight w:val="none"/>
        </w:rPr>
        <w:t>2.双方根据附件</w:t>
      </w:r>
      <w:r>
        <w:rPr>
          <w:rFonts w:hint="eastAsia" w:ascii="宋体" w:hAnsi="宋体"/>
          <w:color w:val="auto"/>
          <w:sz w:val="28"/>
          <w:szCs w:val="28"/>
          <w:highlight w:val="none"/>
          <w:lang w:val="en-US" w:eastAsia="zh-CN"/>
        </w:rPr>
        <w:t>2</w:t>
      </w:r>
      <w:r>
        <w:rPr>
          <w:rFonts w:hint="eastAsia" w:ascii="宋体" w:hAnsi="宋体"/>
          <w:color w:val="auto"/>
          <w:sz w:val="28"/>
          <w:szCs w:val="28"/>
          <w:highlight w:val="none"/>
        </w:rPr>
        <w:t>《三亚12345热线运营考核标准》进行考核，考核按月度、年度考核，并将年度考核分值进行分档，根据不同等次进行绩效考核确认后的金额支付。</w:t>
      </w:r>
    </w:p>
    <w:p w14:paraId="5E472745">
      <w:pPr>
        <w:spacing w:line="560" w:lineRule="exact"/>
        <w:ind w:firstLine="560" w:firstLineChars="200"/>
        <w:rPr>
          <w:rFonts w:hint="eastAsia" w:ascii="宋体" w:hAnsi="宋体"/>
          <w:color w:val="auto"/>
          <w:sz w:val="28"/>
          <w:szCs w:val="28"/>
          <w:highlight w:val="none"/>
        </w:rPr>
      </w:pPr>
      <w:r>
        <w:rPr>
          <w:rFonts w:hint="eastAsia" w:ascii="宋体" w:hAnsi="宋体"/>
          <w:color w:val="auto"/>
          <w:sz w:val="28"/>
          <w:szCs w:val="28"/>
          <w:highlight w:val="none"/>
        </w:rPr>
        <w:t>①三亚12345热线运营考核标准由12项组成，总分值共计110分。</w:t>
      </w:r>
    </w:p>
    <w:p w14:paraId="2A36B3F4">
      <w:pPr>
        <w:spacing w:line="560" w:lineRule="exact"/>
        <w:ind w:firstLine="560" w:firstLineChars="200"/>
        <w:rPr>
          <w:rFonts w:hint="eastAsia" w:ascii="宋体" w:hAnsi="宋体"/>
          <w:color w:val="auto"/>
          <w:sz w:val="28"/>
          <w:szCs w:val="28"/>
          <w:highlight w:val="none"/>
        </w:rPr>
      </w:pPr>
      <w:r>
        <w:rPr>
          <w:rFonts w:hint="eastAsia" w:ascii="宋体" w:hAnsi="宋体"/>
          <w:color w:val="auto"/>
          <w:sz w:val="28"/>
          <w:szCs w:val="28"/>
          <w:highlight w:val="none"/>
        </w:rPr>
        <w:t>②分值≧90，支付100%绩效考核</w:t>
      </w:r>
      <w:r>
        <w:rPr>
          <w:rFonts w:hint="eastAsia" w:ascii="宋体" w:hAnsi="宋体"/>
          <w:color w:val="auto"/>
          <w:sz w:val="28"/>
          <w:szCs w:val="28"/>
          <w:highlight w:val="none"/>
          <w:lang w:val="en-US" w:eastAsia="zh-CN"/>
        </w:rPr>
        <w:t>金额</w:t>
      </w:r>
      <w:r>
        <w:rPr>
          <w:rFonts w:hint="eastAsia" w:ascii="宋体" w:hAnsi="宋体"/>
          <w:color w:val="auto"/>
          <w:sz w:val="28"/>
          <w:szCs w:val="28"/>
          <w:highlight w:val="none"/>
        </w:rPr>
        <w:t>；80≦分值&lt;90，支付85%绩效考核</w:t>
      </w:r>
      <w:r>
        <w:rPr>
          <w:rFonts w:hint="eastAsia" w:ascii="宋体" w:hAnsi="宋体"/>
          <w:color w:val="auto"/>
          <w:sz w:val="28"/>
          <w:szCs w:val="28"/>
          <w:highlight w:val="none"/>
          <w:lang w:val="en-US" w:eastAsia="zh-CN"/>
        </w:rPr>
        <w:t>金额</w:t>
      </w:r>
      <w:r>
        <w:rPr>
          <w:rFonts w:hint="eastAsia" w:ascii="宋体" w:hAnsi="宋体"/>
          <w:color w:val="auto"/>
          <w:sz w:val="28"/>
          <w:szCs w:val="28"/>
          <w:highlight w:val="none"/>
        </w:rPr>
        <w:t>；70≤分值&lt;80，支付70%绩效考核</w:t>
      </w:r>
      <w:r>
        <w:rPr>
          <w:rFonts w:hint="eastAsia" w:ascii="宋体" w:hAnsi="宋体"/>
          <w:color w:val="auto"/>
          <w:sz w:val="28"/>
          <w:szCs w:val="28"/>
          <w:highlight w:val="none"/>
          <w:lang w:val="en-US" w:eastAsia="zh-CN"/>
        </w:rPr>
        <w:t>金额</w:t>
      </w:r>
      <w:r>
        <w:rPr>
          <w:rFonts w:hint="eastAsia" w:ascii="宋体" w:hAnsi="宋体"/>
          <w:color w:val="auto"/>
          <w:sz w:val="28"/>
          <w:szCs w:val="28"/>
          <w:highlight w:val="none"/>
        </w:rPr>
        <w:t>；60≤分值&lt;70，支付50%绩效考核</w:t>
      </w:r>
      <w:r>
        <w:rPr>
          <w:rFonts w:hint="eastAsia" w:ascii="宋体" w:hAnsi="宋体"/>
          <w:color w:val="auto"/>
          <w:sz w:val="28"/>
          <w:szCs w:val="28"/>
          <w:highlight w:val="none"/>
          <w:lang w:val="en-US" w:eastAsia="zh-CN"/>
        </w:rPr>
        <w:t>金额</w:t>
      </w:r>
      <w:r>
        <w:rPr>
          <w:rFonts w:hint="eastAsia" w:ascii="宋体" w:hAnsi="宋体"/>
          <w:color w:val="auto"/>
          <w:sz w:val="28"/>
          <w:szCs w:val="28"/>
          <w:highlight w:val="none"/>
        </w:rPr>
        <w:t>；分值&lt;60，扣除</w:t>
      </w:r>
      <w:r>
        <w:rPr>
          <w:rFonts w:hint="eastAsia" w:ascii="宋体" w:hAnsi="宋体"/>
          <w:color w:val="auto"/>
          <w:sz w:val="28"/>
          <w:szCs w:val="28"/>
          <w:highlight w:val="none"/>
          <w:lang w:val="en-US" w:eastAsia="zh-CN"/>
        </w:rPr>
        <w:t>全部</w:t>
      </w:r>
      <w:r>
        <w:rPr>
          <w:rFonts w:hint="eastAsia" w:ascii="宋体" w:hAnsi="宋体"/>
          <w:color w:val="auto"/>
          <w:sz w:val="28"/>
          <w:szCs w:val="28"/>
          <w:highlight w:val="none"/>
        </w:rPr>
        <w:t>绩效考核</w:t>
      </w:r>
      <w:r>
        <w:rPr>
          <w:rFonts w:hint="eastAsia" w:ascii="宋体" w:hAnsi="宋体"/>
          <w:color w:val="auto"/>
          <w:sz w:val="28"/>
          <w:szCs w:val="28"/>
          <w:highlight w:val="none"/>
          <w:lang w:val="en-US" w:eastAsia="zh-CN"/>
        </w:rPr>
        <w:t>金额</w:t>
      </w:r>
      <w:r>
        <w:rPr>
          <w:rFonts w:hint="eastAsia" w:ascii="宋体" w:hAnsi="宋体"/>
          <w:color w:val="auto"/>
          <w:sz w:val="28"/>
          <w:szCs w:val="28"/>
          <w:highlight w:val="none"/>
        </w:rPr>
        <w:t>,且</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有权单方解除本合同，本合同约定的其他扣款条款根据实际服务情况另行扣除，不在绩效分数的约束范围内。</w:t>
      </w:r>
    </w:p>
    <w:p w14:paraId="5DD9CE9C">
      <w:pPr>
        <w:spacing w:line="560" w:lineRule="exact"/>
        <w:ind w:firstLine="560" w:firstLineChars="200"/>
        <w:rPr>
          <w:rFonts w:hint="eastAsia" w:ascii="宋体" w:hAnsi="宋体"/>
          <w:color w:val="auto"/>
          <w:sz w:val="28"/>
          <w:szCs w:val="28"/>
          <w:highlight w:val="none"/>
        </w:rPr>
      </w:pPr>
      <w:r>
        <w:rPr>
          <w:rFonts w:hint="eastAsia" w:ascii="宋体" w:hAnsi="宋体"/>
          <w:color w:val="auto"/>
          <w:sz w:val="28"/>
          <w:szCs w:val="28"/>
          <w:highlight w:val="none"/>
        </w:rPr>
        <w:t>③一年内累计有3个月月均接通量低于考核指标的80%（考核指标以运行管理的接通率考核为准）时，</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有权单方解除本合同。</w:t>
      </w:r>
    </w:p>
    <w:p w14:paraId="6430ACC9">
      <w:pPr>
        <w:spacing w:line="560" w:lineRule="exact"/>
        <w:ind w:firstLine="560" w:firstLineChars="200"/>
        <w:rPr>
          <w:rFonts w:hint="eastAsia" w:ascii="宋体" w:hAnsi="宋体"/>
          <w:color w:val="auto"/>
          <w:sz w:val="28"/>
          <w:szCs w:val="28"/>
          <w:highlight w:val="none"/>
        </w:rPr>
      </w:pPr>
      <w:r>
        <w:rPr>
          <w:rFonts w:hint="eastAsia" w:ascii="宋体" w:hAnsi="宋体"/>
          <w:color w:val="auto"/>
          <w:sz w:val="28"/>
          <w:szCs w:val="28"/>
          <w:highlight w:val="none"/>
        </w:rPr>
        <w:t>3.双方同意，经双方协商一致，可对考核内容进行调整，双方对考核内容调整的，按调整后的内容执行。</w:t>
      </w:r>
    </w:p>
    <w:p w14:paraId="723CB2C4">
      <w:pPr>
        <w:tabs>
          <w:tab w:val="center" w:pos="4433"/>
        </w:tabs>
        <w:spacing w:line="560" w:lineRule="exact"/>
        <w:ind w:firstLine="560" w:firstLineChars="200"/>
        <w:rPr>
          <w:rFonts w:ascii="宋体" w:hAnsi="宋体"/>
          <w:color w:val="auto"/>
          <w:sz w:val="28"/>
          <w:szCs w:val="28"/>
          <w:highlight w:val="none"/>
        </w:rPr>
      </w:pPr>
      <w:r>
        <w:rPr>
          <w:rFonts w:hint="eastAsia" w:ascii="宋体" w:hAnsi="宋体"/>
          <w:color w:val="auto"/>
          <w:sz w:val="28"/>
          <w:szCs w:val="28"/>
          <w:highlight w:val="none"/>
        </w:rPr>
        <w:t>4.</w:t>
      </w:r>
      <w:r>
        <w:rPr>
          <w:rFonts w:hint="eastAsia" w:ascii="宋体" w:hAnsi="宋体"/>
          <w:strike w:val="0"/>
          <w:dstrike w:val="0"/>
          <w:color w:val="auto"/>
          <w:sz w:val="28"/>
          <w:szCs w:val="28"/>
          <w:highlight w:val="none"/>
          <w:lang w:val="en-US" w:eastAsia="zh-CN"/>
        </w:rPr>
        <w:t>乙方</w:t>
      </w:r>
      <w:r>
        <w:rPr>
          <w:rFonts w:hint="eastAsia" w:ascii="宋体" w:hAnsi="宋体"/>
          <w:color w:val="auto"/>
          <w:sz w:val="28"/>
          <w:szCs w:val="28"/>
          <w:highlight w:val="none"/>
        </w:rPr>
        <w:t>自收到</w:t>
      </w:r>
      <w:r>
        <w:rPr>
          <w:rFonts w:hint="eastAsia" w:ascii="宋体" w:hAnsi="宋体"/>
          <w:strike w:val="0"/>
          <w:dstrike w:val="0"/>
          <w:color w:val="auto"/>
          <w:sz w:val="28"/>
          <w:szCs w:val="28"/>
          <w:highlight w:val="none"/>
          <w:lang w:val="en-US" w:eastAsia="zh-CN"/>
        </w:rPr>
        <w:t>甲方的</w:t>
      </w:r>
      <w:r>
        <w:rPr>
          <w:rFonts w:hint="eastAsia" w:ascii="宋体" w:hAnsi="宋体"/>
          <w:color w:val="auto"/>
          <w:sz w:val="28"/>
          <w:szCs w:val="28"/>
          <w:highlight w:val="none"/>
        </w:rPr>
        <w:t>考核结果之日起【5】个工作日内未提出异议的，视为</w:t>
      </w:r>
      <w:r>
        <w:rPr>
          <w:rFonts w:hint="eastAsia" w:ascii="宋体" w:hAnsi="宋体"/>
          <w:strike w:val="0"/>
          <w:dstrike w:val="0"/>
          <w:color w:val="auto"/>
          <w:sz w:val="28"/>
          <w:szCs w:val="28"/>
          <w:highlight w:val="none"/>
          <w:lang w:val="en-US" w:eastAsia="zh-CN"/>
        </w:rPr>
        <w:t>乙方</w:t>
      </w:r>
      <w:r>
        <w:rPr>
          <w:rFonts w:hint="eastAsia" w:ascii="宋体" w:hAnsi="宋体"/>
          <w:color w:val="auto"/>
          <w:sz w:val="28"/>
          <w:szCs w:val="28"/>
          <w:highlight w:val="none"/>
        </w:rPr>
        <w:t>接受</w:t>
      </w:r>
      <w:r>
        <w:rPr>
          <w:rFonts w:hint="eastAsia" w:ascii="宋体" w:hAnsi="宋体"/>
          <w:strike w:val="0"/>
          <w:dstrike w:val="0"/>
          <w:color w:val="auto"/>
          <w:sz w:val="28"/>
          <w:szCs w:val="28"/>
          <w:highlight w:val="none"/>
          <w:lang w:val="en-US" w:eastAsia="zh-CN"/>
        </w:rPr>
        <w:t>甲方的</w:t>
      </w:r>
      <w:r>
        <w:rPr>
          <w:rFonts w:hint="eastAsia" w:ascii="宋体" w:hAnsi="宋体"/>
          <w:color w:val="auto"/>
          <w:sz w:val="28"/>
          <w:szCs w:val="28"/>
          <w:highlight w:val="none"/>
        </w:rPr>
        <w:t>考核结果。</w:t>
      </w:r>
      <w:r>
        <w:rPr>
          <w:rFonts w:hint="eastAsia" w:ascii="宋体" w:hAnsi="宋体"/>
          <w:strike w:val="0"/>
          <w:dstrike w:val="0"/>
          <w:color w:val="auto"/>
          <w:sz w:val="28"/>
          <w:szCs w:val="28"/>
          <w:highlight w:val="none"/>
          <w:lang w:val="en-US" w:eastAsia="zh-CN"/>
        </w:rPr>
        <w:t>乙方</w:t>
      </w:r>
      <w:r>
        <w:rPr>
          <w:rFonts w:hint="eastAsia" w:ascii="宋体" w:hAnsi="宋体"/>
          <w:color w:val="auto"/>
          <w:sz w:val="28"/>
          <w:szCs w:val="28"/>
          <w:highlight w:val="none"/>
        </w:rPr>
        <w:t>根据合同约定以及考核结果相应向</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申请支付以上款项，</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自收到</w:t>
      </w:r>
      <w:r>
        <w:rPr>
          <w:rFonts w:hint="eastAsia" w:ascii="宋体" w:hAnsi="宋体"/>
          <w:strike w:val="0"/>
          <w:dstrike w:val="0"/>
          <w:color w:val="auto"/>
          <w:sz w:val="28"/>
          <w:szCs w:val="28"/>
          <w:highlight w:val="none"/>
          <w:lang w:val="en-US" w:eastAsia="zh-CN"/>
        </w:rPr>
        <w:t>乙方</w:t>
      </w:r>
      <w:r>
        <w:rPr>
          <w:rFonts w:hint="eastAsia" w:ascii="宋体" w:hAnsi="宋体"/>
          <w:color w:val="auto"/>
          <w:sz w:val="28"/>
          <w:szCs w:val="28"/>
          <w:highlight w:val="none"/>
        </w:rPr>
        <w:t>向</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开具的符合</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要求的增值税普通发票后3个工作日内支付价款，因</w:t>
      </w:r>
      <w:r>
        <w:rPr>
          <w:rFonts w:hint="eastAsia" w:ascii="宋体" w:hAnsi="宋体"/>
          <w:strike w:val="0"/>
          <w:dstrike w:val="0"/>
          <w:color w:val="auto"/>
          <w:sz w:val="28"/>
          <w:szCs w:val="28"/>
          <w:highlight w:val="none"/>
          <w:lang w:val="en-US" w:eastAsia="zh-CN"/>
        </w:rPr>
        <w:t>乙方</w:t>
      </w:r>
      <w:r>
        <w:rPr>
          <w:rFonts w:hint="eastAsia" w:ascii="宋体" w:hAnsi="宋体"/>
          <w:color w:val="auto"/>
          <w:sz w:val="28"/>
          <w:szCs w:val="28"/>
          <w:highlight w:val="none"/>
        </w:rPr>
        <w:t>未提供发票、财政拨款、内部审批等原因导致</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迟延履行付款业务的，不视为</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逾期付款，</w:t>
      </w:r>
      <w:r>
        <w:rPr>
          <w:rFonts w:hint="eastAsia" w:ascii="宋体" w:hAnsi="宋体"/>
          <w:strike w:val="0"/>
          <w:dstrike w:val="0"/>
          <w:color w:val="auto"/>
          <w:sz w:val="28"/>
          <w:szCs w:val="28"/>
          <w:highlight w:val="none"/>
          <w:lang w:val="en-US" w:eastAsia="zh-CN"/>
        </w:rPr>
        <w:t>甲方</w:t>
      </w:r>
      <w:r>
        <w:rPr>
          <w:rFonts w:hint="eastAsia" w:ascii="宋体" w:hAnsi="宋体"/>
          <w:color w:val="auto"/>
          <w:sz w:val="28"/>
          <w:szCs w:val="28"/>
          <w:highlight w:val="none"/>
        </w:rPr>
        <w:t>不承担违约责任。</w:t>
      </w:r>
    </w:p>
    <w:p w14:paraId="05349096">
      <w:pPr>
        <w:spacing w:line="560" w:lineRule="exact"/>
        <w:ind w:firstLine="560" w:firstLineChars="200"/>
        <w:outlineLvl w:val="0"/>
        <w:rPr>
          <w:color w:val="auto"/>
          <w:sz w:val="28"/>
          <w:szCs w:val="28"/>
          <w:highlight w:val="none"/>
        </w:rPr>
      </w:pPr>
      <w:r>
        <w:rPr>
          <w:rFonts w:hint="eastAsia" w:ascii="宋体" w:hAnsi="宋体"/>
          <w:color w:val="auto"/>
          <w:sz w:val="28"/>
          <w:szCs w:val="28"/>
          <w:highlight w:val="none"/>
        </w:rPr>
        <w:t>5.</w:t>
      </w:r>
      <w:r>
        <w:rPr>
          <w:color w:val="auto"/>
          <w:sz w:val="28"/>
          <w:szCs w:val="28"/>
          <w:highlight w:val="none"/>
        </w:rPr>
        <w:t>乙方的收款账户</w:t>
      </w:r>
    </w:p>
    <w:p w14:paraId="41C7A0A2">
      <w:pPr>
        <w:spacing w:line="560" w:lineRule="exact"/>
        <w:ind w:firstLine="560" w:firstLineChars="200"/>
        <w:outlineLvl w:val="0"/>
        <w:rPr>
          <w:color w:val="auto"/>
          <w:sz w:val="28"/>
          <w:szCs w:val="28"/>
          <w:highlight w:val="none"/>
        </w:rPr>
      </w:pPr>
      <w:r>
        <w:rPr>
          <w:color w:val="auto"/>
          <w:sz w:val="28"/>
          <w:szCs w:val="28"/>
          <w:highlight w:val="none"/>
        </w:rPr>
        <w:t>开户名称：</w:t>
      </w:r>
    </w:p>
    <w:p w14:paraId="1D483688">
      <w:pPr>
        <w:spacing w:line="560" w:lineRule="exact"/>
        <w:ind w:firstLine="560" w:firstLineChars="200"/>
        <w:outlineLvl w:val="0"/>
        <w:rPr>
          <w:color w:val="auto"/>
          <w:sz w:val="28"/>
          <w:szCs w:val="28"/>
          <w:highlight w:val="none"/>
        </w:rPr>
      </w:pPr>
      <w:r>
        <w:rPr>
          <w:color w:val="auto"/>
          <w:sz w:val="28"/>
          <w:szCs w:val="28"/>
          <w:highlight w:val="none"/>
        </w:rPr>
        <w:t>开户银行：</w:t>
      </w:r>
    </w:p>
    <w:p w14:paraId="49A8ADCA">
      <w:pPr>
        <w:spacing w:line="560" w:lineRule="exact"/>
        <w:ind w:firstLine="560" w:firstLineChars="200"/>
        <w:outlineLvl w:val="0"/>
        <w:rPr>
          <w:color w:val="auto"/>
          <w:sz w:val="28"/>
          <w:szCs w:val="28"/>
          <w:highlight w:val="none"/>
        </w:rPr>
      </w:pPr>
      <w:r>
        <w:rPr>
          <w:color w:val="auto"/>
          <w:sz w:val="28"/>
          <w:szCs w:val="28"/>
          <w:highlight w:val="none"/>
        </w:rPr>
        <w:t>账号：</w:t>
      </w:r>
    </w:p>
    <w:p w14:paraId="61F01757">
      <w:pPr>
        <w:spacing w:line="560" w:lineRule="exact"/>
        <w:ind w:firstLine="562" w:firstLineChars="200"/>
        <w:outlineLvl w:val="0"/>
        <w:rPr>
          <w:rFonts w:ascii="宋体" w:hAnsi="宋体"/>
          <w:b/>
          <w:bCs/>
          <w:color w:val="auto"/>
          <w:sz w:val="28"/>
          <w:highlight w:val="none"/>
        </w:rPr>
      </w:pPr>
      <w:r>
        <w:rPr>
          <w:rFonts w:hint="eastAsia" w:ascii="宋体" w:hAnsi="宋体"/>
          <w:b/>
          <w:bCs/>
          <w:color w:val="auto"/>
          <w:sz w:val="28"/>
          <w:highlight w:val="none"/>
        </w:rPr>
        <w:t>第六条  保密</w:t>
      </w:r>
    </w:p>
    <w:p w14:paraId="68578E12">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1.甲、乙双方对双方合作及本合同的内容负有保密义务。未经对方事先书面同意，任何一方不得将双方的合作及合同的具体内容披露给第三方。但如因政府监管、审计、法律法规要求，甲方有权向相关部门或第三方依法披露相关信息，且不视为违约。</w:t>
      </w:r>
    </w:p>
    <w:p w14:paraId="7BAFC801">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2.乙方对甲方提供的政府直属各相关部门领导和负责人的联系电话号码具有保密的义务，非因业务需要不得对外泄露。</w:t>
      </w:r>
    </w:p>
    <w:p w14:paraId="1E4FF384">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3.乙方应保证，乙方相关工作人员依法或在履行本合同过程中取得的该项目文件、资料及数据等保密信息和了解的情况，不得用于进行项目管理、执行及维护以外的任何其他目的；一旦发生员工向第三方披露该项目保密信息的，由此引发的任何法律责任由乙方承担。</w:t>
      </w:r>
    </w:p>
    <w:p w14:paraId="7F08AACD">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4.本条中的保密规定在本合同期满或终止后仍然有效。</w:t>
      </w:r>
    </w:p>
    <w:p w14:paraId="3D3BB68B">
      <w:pPr>
        <w:spacing w:line="560" w:lineRule="exact"/>
        <w:ind w:firstLine="562" w:firstLineChars="200"/>
        <w:outlineLvl w:val="0"/>
        <w:rPr>
          <w:rFonts w:ascii="宋体" w:hAnsi="宋体"/>
          <w:b/>
          <w:bCs/>
          <w:color w:val="auto"/>
          <w:sz w:val="28"/>
          <w:highlight w:val="none"/>
        </w:rPr>
      </w:pPr>
      <w:r>
        <w:rPr>
          <w:rFonts w:hint="eastAsia" w:ascii="宋体" w:hAnsi="宋体"/>
          <w:b/>
          <w:bCs/>
          <w:color w:val="auto"/>
          <w:sz w:val="28"/>
          <w:highlight w:val="none"/>
        </w:rPr>
        <w:t>第七条  违约责任</w:t>
      </w:r>
    </w:p>
    <w:p w14:paraId="081C5CFA">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1.甲方应及时、足额地向乙方支付本合同第五条中约定的呼叫中心相关费用。甲方如</w:t>
      </w:r>
      <w:r>
        <w:rPr>
          <w:rFonts w:ascii="宋体" w:hAnsi="宋体"/>
          <w:color w:val="auto"/>
          <w:sz w:val="28"/>
          <w:highlight w:val="none"/>
        </w:rPr>
        <w:t>无正当理由</w:t>
      </w:r>
      <w:r>
        <w:rPr>
          <w:rFonts w:hint="eastAsia" w:ascii="宋体" w:hAnsi="宋体"/>
          <w:color w:val="auto"/>
          <w:sz w:val="28"/>
          <w:highlight w:val="none"/>
        </w:rPr>
        <w:t>逾期不支付费用，乙方有权要求甲方补交所欠费用，并向甲方每日加收所欠费用万分之壹的违约金。甲方如超过约定期限90日仍未支付费用，乙方将暂停向甲方提供服务；甲方如在乙方暂停服务90日内仍未补交费用和违约金，乙方将终止提供服务，并将依法追缴欠费和违约金，直到甲方足额支付费用并向乙方提供出书面的继续使用电信业务的申请。</w:t>
      </w:r>
    </w:p>
    <w:p w14:paraId="54A92B84">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2.在合同</w:t>
      </w:r>
      <w:r>
        <w:rPr>
          <w:rFonts w:hint="eastAsia" w:ascii="宋体" w:hAnsi="宋体"/>
          <w:strike w:val="0"/>
          <w:dstrike w:val="0"/>
          <w:color w:val="auto"/>
          <w:sz w:val="28"/>
          <w:szCs w:val="28"/>
          <w:highlight w:val="none"/>
          <w:lang w:val="en-US" w:eastAsia="zh-CN"/>
        </w:rPr>
        <w:t>服务</w:t>
      </w:r>
      <w:r>
        <w:rPr>
          <w:rFonts w:hint="eastAsia" w:ascii="宋体" w:hAnsi="宋体"/>
          <w:color w:val="auto"/>
          <w:sz w:val="28"/>
          <w:szCs w:val="28"/>
          <w:highlight w:val="none"/>
        </w:rPr>
        <w:t>期</w:t>
      </w:r>
      <w:r>
        <w:rPr>
          <w:rFonts w:hint="eastAsia" w:ascii="宋体" w:hAnsi="宋体"/>
          <w:color w:val="auto"/>
          <w:sz w:val="28"/>
          <w:szCs w:val="28"/>
          <w:highlight w:val="none"/>
          <w:lang w:val="en-US" w:eastAsia="zh-CN"/>
        </w:rPr>
        <w:t>限</w:t>
      </w:r>
      <w:r>
        <w:rPr>
          <w:rFonts w:hint="eastAsia" w:ascii="宋体" w:hAnsi="宋体"/>
          <w:color w:val="auto"/>
          <w:sz w:val="28"/>
          <w:highlight w:val="none"/>
        </w:rPr>
        <w:t>内若甲方擅自终止合同或超过合同约定付款期6个月时间不支付费用的，则视为甲方违约，甲方应按服务总费用的5%向乙方支付违约金。</w:t>
      </w:r>
    </w:p>
    <w:p w14:paraId="19D70A3A">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3.在合同</w:t>
      </w:r>
      <w:r>
        <w:rPr>
          <w:rFonts w:hint="eastAsia" w:ascii="宋体" w:hAnsi="宋体"/>
          <w:strike w:val="0"/>
          <w:dstrike w:val="0"/>
          <w:color w:val="auto"/>
          <w:sz w:val="28"/>
          <w:szCs w:val="28"/>
          <w:highlight w:val="none"/>
          <w:lang w:val="en-US" w:eastAsia="zh-CN"/>
        </w:rPr>
        <w:t>服务</w:t>
      </w:r>
      <w:r>
        <w:rPr>
          <w:rFonts w:hint="eastAsia" w:ascii="宋体" w:hAnsi="宋体"/>
          <w:color w:val="auto"/>
          <w:sz w:val="28"/>
          <w:szCs w:val="28"/>
          <w:highlight w:val="none"/>
        </w:rPr>
        <w:t>期</w:t>
      </w:r>
      <w:r>
        <w:rPr>
          <w:rFonts w:hint="eastAsia" w:ascii="宋体" w:hAnsi="宋体"/>
          <w:color w:val="auto"/>
          <w:sz w:val="28"/>
          <w:szCs w:val="28"/>
          <w:highlight w:val="none"/>
          <w:lang w:val="en-US" w:eastAsia="zh-CN"/>
        </w:rPr>
        <w:t>限</w:t>
      </w:r>
      <w:r>
        <w:rPr>
          <w:rFonts w:hint="eastAsia" w:ascii="宋体" w:hAnsi="宋体"/>
          <w:color w:val="auto"/>
          <w:sz w:val="28"/>
          <w:highlight w:val="none"/>
        </w:rPr>
        <w:t>内，若乙方擅自终止合同或停止服务，则视为乙方违约，乙方应退还甲方已支付的使用费，并按服务总费用的5%向甲方支付违约金。</w:t>
      </w:r>
    </w:p>
    <w:p w14:paraId="32787CB0">
      <w:pPr>
        <w:spacing w:line="560" w:lineRule="exact"/>
        <w:ind w:firstLine="540"/>
        <w:rPr>
          <w:rFonts w:ascii="宋体" w:hAnsi="宋体"/>
          <w:color w:val="auto"/>
          <w:sz w:val="28"/>
          <w:szCs w:val="28"/>
          <w:highlight w:val="none"/>
        </w:rPr>
      </w:pPr>
      <w:r>
        <w:rPr>
          <w:rFonts w:hint="eastAsia" w:ascii="宋体" w:hAnsi="宋体"/>
          <w:color w:val="auto"/>
          <w:sz w:val="28"/>
          <w:szCs w:val="28"/>
          <w:highlight w:val="none"/>
        </w:rPr>
        <w:t>4.乙方未能按合同约定及附件的要求</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或者招标文件的要求</w:t>
      </w:r>
      <w:r>
        <w:rPr>
          <w:rFonts w:hint="eastAsia" w:ascii="宋体" w:hAnsi="宋体"/>
          <w:color w:val="auto"/>
          <w:sz w:val="28"/>
          <w:szCs w:val="28"/>
          <w:highlight w:val="none"/>
        </w:rPr>
        <w:t>提供服务的，则每日向甲方支付1000元的违约金，同时须按甲方要求继续履行合同。</w:t>
      </w:r>
    </w:p>
    <w:p w14:paraId="03AA566C">
      <w:pPr>
        <w:spacing w:line="560" w:lineRule="exact"/>
        <w:ind w:firstLine="560" w:firstLineChars="200"/>
        <w:rPr>
          <w:rFonts w:ascii="宋体" w:hAnsi="宋体"/>
          <w:color w:val="auto"/>
          <w:sz w:val="28"/>
          <w:highlight w:val="none"/>
        </w:rPr>
      </w:pPr>
      <w:r>
        <w:rPr>
          <w:rFonts w:hint="eastAsia" w:ascii="宋体" w:hAnsi="宋体"/>
          <w:color w:val="auto"/>
          <w:sz w:val="28"/>
          <w:szCs w:val="28"/>
          <w:highlight w:val="none"/>
        </w:rPr>
        <w:t>5.乙方未依约履行本合同及附件，</w:t>
      </w:r>
      <w:r>
        <w:rPr>
          <w:rFonts w:hint="eastAsia" w:ascii="宋体" w:hAnsi="宋体"/>
          <w:color w:val="auto"/>
          <w:sz w:val="28"/>
          <w:szCs w:val="28"/>
          <w:highlight w:val="none"/>
          <w:lang w:val="en-US" w:eastAsia="zh-CN"/>
        </w:rPr>
        <w:t>或者违反招标文件的要求的，</w:t>
      </w:r>
      <w:r>
        <w:rPr>
          <w:rFonts w:hint="eastAsia" w:ascii="宋体" w:hAnsi="宋体"/>
          <w:color w:val="auto"/>
          <w:sz w:val="28"/>
          <w:szCs w:val="28"/>
          <w:highlight w:val="none"/>
        </w:rPr>
        <w:t>应承担相应的违约责任；乙</w:t>
      </w:r>
      <w:r>
        <w:rPr>
          <w:rFonts w:hint="eastAsia" w:ascii="宋体" w:hAnsi="宋体"/>
          <w:color w:val="auto"/>
          <w:sz w:val="28"/>
          <w:highlight w:val="none"/>
        </w:rPr>
        <w:t>方的违约影响本合同履行的，甲方可解除本合同，并由乙方按服务总费用的10%向甲方支付违约金。</w:t>
      </w:r>
    </w:p>
    <w:p w14:paraId="315647A5">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6.</w:t>
      </w:r>
      <w:r>
        <w:rPr>
          <w:rFonts w:ascii="宋体" w:hAnsi="宋体"/>
          <w:color w:val="auto"/>
          <w:sz w:val="28"/>
          <w:highlight w:val="none"/>
        </w:rPr>
        <w:t>乙方提供外包服务不符合本合同</w:t>
      </w:r>
      <w:r>
        <w:rPr>
          <w:rFonts w:hint="eastAsia" w:ascii="宋体" w:hAnsi="宋体"/>
          <w:color w:val="auto"/>
          <w:sz w:val="28"/>
          <w:szCs w:val="28"/>
          <w:highlight w:val="none"/>
        </w:rPr>
        <w:t>约定及附件的要求</w:t>
      </w:r>
      <w:r>
        <w:rPr>
          <w:rFonts w:hint="eastAsia" w:ascii="宋体" w:hAnsi="宋体"/>
          <w:color w:val="auto"/>
          <w:sz w:val="28"/>
          <w:szCs w:val="28"/>
          <w:highlight w:val="none"/>
          <w:lang w:eastAsia="zh-CN"/>
        </w:rPr>
        <w:t>，</w:t>
      </w:r>
      <w:r>
        <w:rPr>
          <w:rFonts w:hint="eastAsia" w:ascii="宋体" w:hAnsi="宋体"/>
          <w:color w:val="auto"/>
          <w:sz w:val="28"/>
          <w:szCs w:val="28"/>
          <w:highlight w:val="none"/>
          <w:lang w:val="en-US" w:eastAsia="zh-CN"/>
        </w:rPr>
        <w:t>或者不符合招标文件的要求的，</w:t>
      </w:r>
      <w:r>
        <w:rPr>
          <w:rFonts w:ascii="宋体" w:hAnsi="宋体"/>
          <w:color w:val="auto"/>
          <w:sz w:val="28"/>
          <w:highlight w:val="none"/>
        </w:rPr>
        <w:t>乙方应当负责更正和修改，并承担由此产生的费用；</w:t>
      </w:r>
      <w:r>
        <w:rPr>
          <w:rFonts w:hint="eastAsia" w:ascii="宋体" w:hAnsi="宋体"/>
          <w:color w:val="auto"/>
          <w:sz w:val="28"/>
          <w:highlight w:val="none"/>
        </w:rPr>
        <w:t>经过</w:t>
      </w:r>
      <w:r>
        <w:rPr>
          <w:rFonts w:ascii="宋体" w:hAnsi="宋体"/>
          <w:color w:val="auto"/>
          <w:sz w:val="28"/>
          <w:highlight w:val="none"/>
        </w:rPr>
        <w:t>三次更正和修改后仍</w:t>
      </w:r>
      <w:r>
        <w:rPr>
          <w:rFonts w:hint="eastAsia" w:ascii="宋体" w:hAnsi="宋体"/>
          <w:color w:val="auto"/>
          <w:sz w:val="28"/>
          <w:highlight w:val="none"/>
        </w:rPr>
        <w:t>未</w:t>
      </w:r>
      <w:r>
        <w:rPr>
          <w:rFonts w:ascii="宋体" w:hAnsi="宋体"/>
          <w:color w:val="auto"/>
          <w:sz w:val="28"/>
          <w:highlight w:val="none"/>
        </w:rPr>
        <w:t>达到</w:t>
      </w:r>
      <w:r>
        <w:rPr>
          <w:rFonts w:hint="eastAsia" w:ascii="宋体" w:hAnsi="宋体"/>
          <w:strike w:val="0"/>
          <w:dstrike w:val="0"/>
          <w:color w:val="auto"/>
          <w:sz w:val="28"/>
          <w:highlight w:val="none"/>
          <w:lang w:val="en-US" w:eastAsia="zh-CN"/>
        </w:rPr>
        <w:t>相关约定或</w:t>
      </w:r>
      <w:r>
        <w:rPr>
          <w:rFonts w:ascii="宋体" w:hAnsi="宋体"/>
          <w:color w:val="auto"/>
          <w:sz w:val="28"/>
          <w:highlight w:val="none"/>
        </w:rPr>
        <w:t>要求的，甲方有权解除本合同及具体技术服务外包合同，</w:t>
      </w:r>
      <w:r>
        <w:rPr>
          <w:rFonts w:hint="eastAsia" w:ascii="宋体" w:hAnsi="宋体"/>
          <w:color w:val="auto"/>
          <w:sz w:val="28"/>
          <w:highlight w:val="none"/>
        </w:rPr>
        <w:t>乙方应退还甲方已支付的费用，并按服务总费用的10%向甲方支付违约金。</w:t>
      </w:r>
    </w:p>
    <w:p w14:paraId="6AEE064B">
      <w:pPr>
        <w:spacing w:line="560" w:lineRule="exact"/>
        <w:ind w:firstLine="562" w:firstLineChars="200"/>
        <w:rPr>
          <w:rFonts w:ascii="宋体" w:hAnsi="宋体"/>
          <w:b/>
          <w:bCs/>
          <w:color w:val="auto"/>
          <w:sz w:val="28"/>
          <w:highlight w:val="none"/>
        </w:rPr>
      </w:pPr>
      <w:r>
        <w:rPr>
          <w:rFonts w:hint="eastAsia" w:ascii="宋体" w:hAnsi="宋体"/>
          <w:b/>
          <w:bCs/>
          <w:color w:val="auto"/>
          <w:sz w:val="28"/>
          <w:highlight w:val="none"/>
        </w:rPr>
        <w:t>第八条  免责条款</w:t>
      </w:r>
    </w:p>
    <w:p w14:paraId="36579F4C">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由于不可抗力</w:t>
      </w:r>
      <w:r>
        <w:rPr>
          <w:rFonts w:hint="eastAsia" w:ascii="宋体" w:hAnsi="宋体"/>
          <w:color w:val="auto"/>
          <w:sz w:val="28"/>
          <w:highlight w:val="none"/>
          <w:lang w:val="en-US" w:eastAsia="zh-CN"/>
        </w:rPr>
        <w:t>或</w:t>
      </w:r>
      <w:r>
        <w:rPr>
          <w:rFonts w:hint="eastAsia" w:ascii="宋体" w:hAnsi="宋体"/>
          <w:color w:val="auto"/>
          <w:sz w:val="28"/>
          <w:highlight w:val="none"/>
        </w:rPr>
        <w:t>相关管理政策变更因素，导致甲乙双方或一方不能履行或不能完全履行本合同项下的有关义务时，甲乙双方相互不承担违约责任；在不可抗力影响消除后的合理时间内，甲乙双方</w:t>
      </w:r>
      <w:r>
        <w:rPr>
          <w:rFonts w:ascii="宋体" w:hAnsi="宋体"/>
          <w:color w:val="auto"/>
          <w:sz w:val="28"/>
          <w:highlight w:val="none"/>
        </w:rPr>
        <w:t>经过友好协商之后</w:t>
      </w:r>
      <w:r>
        <w:rPr>
          <w:rFonts w:hint="eastAsia" w:ascii="宋体" w:hAnsi="宋体"/>
          <w:color w:val="auto"/>
          <w:sz w:val="28"/>
          <w:highlight w:val="none"/>
        </w:rPr>
        <w:t>或一方应当继续履行合同各项条款。</w:t>
      </w:r>
    </w:p>
    <w:p w14:paraId="55992A38">
      <w:pPr>
        <w:spacing w:line="560" w:lineRule="exact"/>
        <w:ind w:firstLine="562" w:firstLineChars="200"/>
        <w:rPr>
          <w:rFonts w:ascii="宋体" w:hAnsi="宋体"/>
          <w:b/>
          <w:bCs/>
          <w:color w:val="auto"/>
          <w:sz w:val="28"/>
          <w:highlight w:val="none"/>
        </w:rPr>
      </w:pPr>
      <w:r>
        <w:rPr>
          <w:rFonts w:hint="eastAsia" w:ascii="宋体" w:hAnsi="宋体"/>
          <w:b/>
          <w:bCs/>
          <w:color w:val="auto"/>
          <w:sz w:val="28"/>
          <w:highlight w:val="none"/>
        </w:rPr>
        <w:t>第九条  服务要求条款</w:t>
      </w:r>
    </w:p>
    <w:p w14:paraId="5E32E48D">
      <w:pPr>
        <w:spacing w:line="560" w:lineRule="exact"/>
        <w:ind w:firstLine="560" w:firstLineChars="200"/>
        <w:outlineLvl w:val="0"/>
        <w:rPr>
          <w:rFonts w:hint="eastAsia" w:ascii="宋体" w:hAnsi="宋体"/>
          <w:color w:val="auto"/>
          <w:sz w:val="28"/>
          <w:highlight w:val="none"/>
        </w:rPr>
      </w:pPr>
      <w:r>
        <w:rPr>
          <w:rFonts w:hint="eastAsia" w:ascii="宋体" w:hAnsi="宋体"/>
          <w:color w:val="auto"/>
          <w:sz w:val="28"/>
          <w:highlight w:val="none"/>
        </w:rPr>
        <w:t>1.热线平台因业务失误、网络安全问题被市级及以上主管部门通报批评的，</w:t>
      </w:r>
      <w:r>
        <w:rPr>
          <w:rFonts w:hint="eastAsia" w:ascii="宋体" w:hAnsi="宋体"/>
          <w:color w:val="auto"/>
          <w:sz w:val="28"/>
          <w:highlight w:val="none"/>
          <w:lang w:val="en-US" w:eastAsia="zh-CN"/>
        </w:rPr>
        <w:t>或</w:t>
      </w:r>
      <w:r>
        <w:rPr>
          <w:rFonts w:hint="eastAsia" w:ascii="宋体" w:hAnsi="宋体"/>
          <w:color w:val="auto"/>
          <w:sz w:val="28"/>
          <w:highlight w:val="none"/>
          <w:lang w:eastAsia="zh-CN"/>
        </w:rPr>
        <w:t>造成业务停滞超过一小时以上的，或造成</w:t>
      </w:r>
      <w:r>
        <w:rPr>
          <w:rFonts w:hint="eastAsia" w:ascii="宋体" w:hAnsi="宋体"/>
          <w:strike w:val="0"/>
          <w:dstrike w:val="0"/>
          <w:color w:val="auto"/>
          <w:sz w:val="28"/>
          <w:highlight w:val="none"/>
          <w:lang w:val="en-US" w:eastAsia="zh-CN"/>
        </w:rPr>
        <w:t>不良</w:t>
      </w:r>
      <w:r>
        <w:rPr>
          <w:rFonts w:hint="eastAsia" w:ascii="宋体" w:hAnsi="宋体"/>
          <w:color w:val="auto"/>
          <w:sz w:val="28"/>
          <w:highlight w:val="none"/>
          <w:lang w:eastAsia="zh-CN"/>
        </w:rPr>
        <w:t>社会影响的</w:t>
      </w:r>
      <w:r>
        <w:rPr>
          <w:rFonts w:hint="eastAsia" w:ascii="宋体" w:hAnsi="宋体"/>
          <w:strike w:val="0"/>
          <w:dstrike w:val="0"/>
          <w:color w:val="auto"/>
          <w:sz w:val="28"/>
          <w:highlight w:val="none"/>
          <w:lang w:eastAsia="zh-CN"/>
        </w:rPr>
        <w:t>；</w:t>
      </w:r>
      <w:r>
        <w:rPr>
          <w:rFonts w:hint="eastAsia" w:ascii="宋体" w:hAnsi="宋体"/>
          <w:color w:val="auto"/>
          <w:sz w:val="28"/>
          <w:highlight w:val="none"/>
          <w:lang w:eastAsia="zh-CN"/>
        </w:rPr>
        <w:t>根据问题严重程度，每</w:t>
      </w:r>
      <w:r>
        <w:rPr>
          <w:rFonts w:hint="eastAsia" w:ascii="宋体" w:hAnsi="宋体"/>
          <w:strike w:val="0"/>
          <w:dstrike w:val="0"/>
          <w:color w:val="auto"/>
          <w:sz w:val="28"/>
          <w:highlight w:val="none"/>
          <w:lang w:val="en-US" w:eastAsia="zh-CN"/>
        </w:rPr>
        <w:t>次</w:t>
      </w:r>
      <w:r>
        <w:rPr>
          <w:rFonts w:hint="eastAsia" w:ascii="宋体" w:hAnsi="宋体"/>
          <w:color w:val="auto"/>
          <w:sz w:val="28"/>
          <w:highlight w:val="none"/>
          <w:lang w:eastAsia="zh-CN"/>
        </w:rPr>
        <w:t>问题扣减不少于</w:t>
      </w:r>
      <w:r>
        <w:rPr>
          <w:rFonts w:hint="eastAsia" w:ascii="宋体" w:hAnsi="宋体"/>
          <w:color w:val="auto"/>
          <w:sz w:val="28"/>
          <w:highlight w:val="none"/>
          <w:lang w:val="en-US" w:eastAsia="zh-CN"/>
        </w:rPr>
        <w:t>三亚</w:t>
      </w:r>
      <w:r>
        <w:rPr>
          <w:rFonts w:ascii="宋体" w:hAnsi="宋体"/>
          <w:color w:val="auto"/>
          <w:sz w:val="28"/>
          <w:szCs w:val="28"/>
          <w:highlight w:val="none"/>
        </w:rPr>
        <w:t>12345热线</w:t>
      </w:r>
      <w:r>
        <w:rPr>
          <w:rFonts w:hint="eastAsia"/>
          <w:color w:val="auto"/>
          <w:sz w:val="28"/>
          <w:szCs w:val="28"/>
          <w:highlight w:val="none"/>
        </w:rPr>
        <w:t>外包服务总费用</w:t>
      </w:r>
      <w:r>
        <w:rPr>
          <w:rFonts w:hint="eastAsia"/>
          <w:color w:val="auto"/>
          <w:sz w:val="28"/>
          <w:szCs w:val="28"/>
          <w:highlight w:val="none"/>
          <w:lang w:eastAsia="zh-CN"/>
        </w:rPr>
        <w:t>的</w:t>
      </w:r>
      <w:r>
        <w:rPr>
          <w:rFonts w:hint="eastAsia" w:ascii="宋体" w:hAnsi="宋体"/>
          <w:color w:val="auto"/>
          <w:sz w:val="28"/>
          <w:highlight w:val="none"/>
          <w:lang w:val="en-US" w:eastAsia="zh-CN"/>
        </w:rPr>
        <w:t>0.1%</w:t>
      </w:r>
      <w:r>
        <w:rPr>
          <w:rFonts w:hint="eastAsia" w:ascii="宋体" w:hAnsi="宋体"/>
          <w:color w:val="auto"/>
          <w:sz w:val="28"/>
          <w:highlight w:val="none"/>
        </w:rPr>
        <w:t>。</w:t>
      </w:r>
    </w:p>
    <w:p w14:paraId="07D143CB">
      <w:pPr>
        <w:keepNext w:val="0"/>
        <w:keepLines w:val="0"/>
        <w:pageBreakBefore w:val="0"/>
        <w:widowControl w:val="0"/>
        <w:kinsoku/>
        <w:wordWrap/>
        <w:overflowPunct/>
        <w:topLinePunct w:val="0"/>
        <w:autoSpaceDE/>
        <w:autoSpaceDN/>
        <w:bidi w:val="0"/>
        <w:adjustRightInd/>
        <w:snapToGrid/>
        <w:spacing w:line="578" w:lineRule="exact"/>
        <w:ind w:firstLine="560" w:firstLineChars="200"/>
        <w:textAlignment w:val="auto"/>
        <w:rPr>
          <w:rFonts w:ascii="宋体" w:hAnsi="宋体"/>
          <w:color w:val="auto"/>
          <w:sz w:val="28"/>
          <w:highlight w:val="none"/>
        </w:rPr>
      </w:pPr>
      <w:r>
        <w:rPr>
          <w:rFonts w:hint="eastAsia" w:ascii="宋体" w:hAnsi="宋体"/>
          <w:color w:val="auto"/>
          <w:sz w:val="28"/>
          <w:highlight w:val="none"/>
          <w:lang w:val="en-US" w:eastAsia="zh-CN"/>
        </w:rPr>
        <w:t>2.</w:t>
      </w:r>
      <w:r>
        <w:rPr>
          <w:rFonts w:hint="eastAsia" w:ascii="宋体" w:hAnsi="宋体"/>
          <w:color w:val="auto"/>
          <w:sz w:val="28"/>
          <w:highlight w:val="none"/>
        </w:rPr>
        <w:t>关于话务员</w:t>
      </w:r>
      <w:r>
        <w:rPr>
          <w:rFonts w:hint="eastAsia" w:ascii="宋体" w:hAnsi="宋体"/>
          <w:color w:val="auto"/>
          <w:sz w:val="28"/>
          <w:highlight w:val="none"/>
          <w:lang w:val="en-US" w:eastAsia="zh-CN"/>
        </w:rPr>
        <w:t>的</w:t>
      </w:r>
      <w:r>
        <w:rPr>
          <w:rFonts w:hint="eastAsia" w:ascii="宋体" w:hAnsi="宋体"/>
          <w:color w:val="auto"/>
          <w:sz w:val="28"/>
          <w:highlight w:val="none"/>
        </w:rPr>
        <w:t>管理，乙方</w:t>
      </w:r>
      <w:r>
        <w:rPr>
          <w:rFonts w:hint="eastAsia" w:ascii="宋体" w:hAnsi="宋体"/>
          <w:strike w:val="0"/>
          <w:dstrike w:val="0"/>
          <w:color w:val="auto"/>
          <w:sz w:val="28"/>
          <w:highlight w:val="none"/>
          <w:lang w:val="en-US" w:eastAsia="zh-CN"/>
        </w:rPr>
        <w:t>应</w:t>
      </w:r>
      <w:r>
        <w:rPr>
          <w:rFonts w:hint="eastAsia" w:ascii="宋体" w:hAnsi="宋体"/>
          <w:color w:val="auto"/>
          <w:sz w:val="28"/>
          <w:highlight w:val="none"/>
        </w:rPr>
        <w:t>设置明晰人员管理职级，构成合理，鼓励能上能下，明确职务晋升，深挖潜能，激发活力。乙方应协助12345热线运营管理中心在每个考核周期开始10日内将人员岗位情况报备</w:t>
      </w:r>
      <w:r>
        <w:rPr>
          <w:rFonts w:hint="eastAsia" w:ascii="宋体" w:hAnsi="宋体"/>
          <w:strike w:val="0"/>
          <w:dstrike w:val="0"/>
          <w:color w:val="auto"/>
          <w:sz w:val="28"/>
          <w:highlight w:val="none"/>
          <w:lang w:val="en-US" w:eastAsia="zh-CN"/>
        </w:rPr>
        <w:t>甲方</w:t>
      </w:r>
      <w:r>
        <w:rPr>
          <w:rFonts w:hint="eastAsia" w:ascii="宋体" w:hAnsi="宋体"/>
          <w:color w:val="auto"/>
          <w:sz w:val="28"/>
          <w:highlight w:val="none"/>
        </w:rPr>
        <w:t>。</w:t>
      </w:r>
    </w:p>
    <w:p w14:paraId="5ADFD7F4">
      <w:pPr>
        <w:spacing w:line="560" w:lineRule="exact"/>
        <w:ind w:firstLine="560" w:firstLineChars="200"/>
        <w:outlineLvl w:val="0"/>
        <w:rPr>
          <w:rFonts w:ascii="宋体" w:hAnsi="宋体"/>
          <w:color w:val="auto"/>
          <w:sz w:val="28"/>
          <w:highlight w:val="none"/>
        </w:rPr>
      </w:pPr>
      <w:r>
        <w:rPr>
          <w:rFonts w:hint="eastAsia" w:ascii="宋体" w:hAnsi="宋体"/>
          <w:color w:val="auto"/>
          <w:sz w:val="28"/>
          <w:highlight w:val="none"/>
          <w:lang w:val="en-US" w:eastAsia="zh-CN"/>
        </w:rPr>
        <w:t>3</w:t>
      </w:r>
      <w:r>
        <w:rPr>
          <w:rFonts w:hint="eastAsia" w:ascii="宋体" w:hAnsi="宋体"/>
          <w:color w:val="auto"/>
          <w:sz w:val="28"/>
          <w:highlight w:val="none"/>
        </w:rPr>
        <w:t>.乙方</w:t>
      </w:r>
      <w:r>
        <w:rPr>
          <w:rFonts w:hint="eastAsia" w:ascii="宋体" w:hAnsi="宋体"/>
          <w:color w:val="auto"/>
          <w:sz w:val="28"/>
          <w:highlight w:val="none"/>
          <w:lang w:val="en-US" w:eastAsia="zh-CN"/>
        </w:rPr>
        <w:t>派驻12345热线运营中心管理人员</w:t>
      </w:r>
      <w:r>
        <w:rPr>
          <w:rFonts w:hint="eastAsia" w:ascii="宋体" w:hAnsi="宋体"/>
          <w:strike w:val="0"/>
          <w:dstrike w:val="0"/>
          <w:color w:val="auto"/>
          <w:sz w:val="28"/>
          <w:highlight w:val="none"/>
          <w:lang w:val="en-US" w:eastAsia="zh-CN"/>
        </w:rPr>
        <w:t>须</w:t>
      </w:r>
      <w:r>
        <w:rPr>
          <w:rFonts w:hint="eastAsia" w:ascii="宋体" w:hAnsi="宋体"/>
          <w:color w:val="auto"/>
          <w:sz w:val="28"/>
          <w:highlight w:val="none"/>
        </w:rPr>
        <w:t>征得</w:t>
      </w:r>
      <w:r>
        <w:rPr>
          <w:rFonts w:hint="eastAsia" w:ascii="宋体" w:hAnsi="宋体"/>
          <w:strike w:val="0"/>
          <w:dstrike w:val="0"/>
          <w:color w:val="auto"/>
          <w:sz w:val="28"/>
          <w:highlight w:val="none"/>
          <w:lang w:val="en-US" w:eastAsia="zh-CN"/>
        </w:rPr>
        <w:t>甲方</w:t>
      </w:r>
      <w:r>
        <w:rPr>
          <w:rFonts w:hint="eastAsia" w:ascii="宋体" w:hAnsi="宋体"/>
          <w:color w:val="auto"/>
          <w:sz w:val="28"/>
          <w:highlight w:val="none"/>
        </w:rPr>
        <w:t>同意。不能胜任工作的</w:t>
      </w:r>
      <w:r>
        <w:rPr>
          <w:rFonts w:hint="eastAsia" w:ascii="宋体" w:hAnsi="宋体"/>
          <w:color w:val="auto"/>
          <w:sz w:val="28"/>
          <w:highlight w:val="none"/>
          <w:lang w:val="en-US" w:eastAsia="zh-CN"/>
        </w:rPr>
        <w:t>12345热线运营中心</w:t>
      </w:r>
      <w:r>
        <w:rPr>
          <w:rFonts w:hint="eastAsia" w:ascii="宋体" w:hAnsi="宋体"/>
          <w:color w:val="auto"/>
          <w:sz w:val="28"/>
          <w:highlight w:val="none"/>
        </w:rPr>
        <w:t>管理人员，</w:t>
      </w:r>
      <w:r>
        <w:rPr>
          <w:rFonts w:hint="eastAsia" w:ascii="宋体" w:hAnsi="宋体"/>
          <w:strike w:val="0"/>
          <w:dstrike w:val="0"/>
          <w:color w:val="auto"/>
          <w:sz w:val="28"/>
          <w:highlight w:val="none"/>
          <w:lang w:val="en-US" w:eastAsia="zh-CN"/>
        </w:rPr>
        <w:t>甲方</w:t>
      </w:r>
      <w:r>
        <w:rPr>
          <w:rFonts w:hint="eastAsia" w:ascii="宋体" w:hAnsi="宋体"/>
          <w:color w:val="auto"/>
          <w:sz w:val="28"/>
          <w:highlight w:val="none"/>
        </w:rPr>
        <w:t>提出意见后，乙方应在</w:t>
      </w:r>
      <w:r>
        <w:rPr>
          <w:rFonts w:hint="eastAsia" w:ascii="宋体" w:hAnsi="宋体"/>
          <w:color w:val="auto"/>
          <w:sz w:val="28"/>
          <w:highlight w:val="none"/>
          <w:lang w:val="en-US" w:eastAsia="zh-CN"/>
        </w:rPr>
        <w:t>两</w:t>
      </w:r>
      <w:r>
        <w:rPr>
          <w:rFonts w:hint="eastAsia" w:ascii="宋体" w:hAnsi="宋体"/>
          <w:color w:val="auto"/>
          <w:sz w:val="28"/>
          <w:highlight w:val="none"/>
        </w:rPr>
        <w:t>周内予以调整或撤换。</w:t>
      </w:r>
    </w:p>
    <w:p w14:paraId="1FE6C26E">
      <w:pPr>
        <w:spacing w:line="560" w:lineRule="exact"/>
        <w:ind w:firstLine="560" w:firstLineChars="200"/>
        <w:outlineLvl w:val="0"/>
        <w:rPr>
          <w:rFonts w:ascii="宋体" w:hAnsi="宋体"/>
          <w:color w:val="auto"/>
          <w:sz w:val="28"/>
          <w:highlight w:val="none"/>
        </w:rPr>
      </w:pPr>
      <w:r>
        <w:rPr>
          <w:rFonts w:hint="eastAsia" w:ascii="宋体" w:hAnsi="宋体"/>
          <w:color w:val="auto"/>
          <w:sz w:val="28"/>
          <w:highlight w:val="none"/>
          <w:lang w:val="en-US" w:eastAsia="zh-CN"/>
        </w:rPr>
        <w:t>4</w:t>
      </w:r>
      <w:r>
        <w:rPr>
          <w:rFonts w:hint="eastAsia" w:ascii="宋体" w:hAnsi="宋体"/>
          <w:color w:val="auto"/>
          <w:sz w:val="28"/>
          <w:highlight w:val="none"/>
        </w:rPr>
        <w:t>.现有三亚12345热线话务员工资全部执行明薪制，针对所有入职人员，应每月末向甲方提交工资报表，工资报表应明确工资</w:t>
      </w:r>
      <w:r>
        <w:rPr>
          <w:rFonts w:hint="eastAsia" w:ascii="宋体" w:hAnsi="宋体"/>
          <w:strike w:val="0"/>
          <w:dstrike w:val="0"/>
          <w:color w:val="auto"/>
          <w:sz w:val="28"/>
          <w:highlight w:val="none"/>
          <w:lang w:val="en-US" w:eastAsia="zh-CN"/>
        </w:rPr>
        <w:t>构成、</w:t>
      </w:r>
      <w:r>
        <w:rPr>
          <w:rFonts w:hint="eastAsia" w:ascii="宋体" w:hAnsi="宋体"/>
          <w:color w:val="auto"/>
          <w:sz w:val="28"/>
          <w:highlight w:val="none"/>
        </w:rPr>
        <w:t>工资明细和计算依据。对乱发乱扣工资行为要及时纠正。若经</w:t>
      </w:r>
      <w:r>
        <w:rPr>
          <w:rFonts w:hint="eastAsia" w:ascii="宋体" w:hAnsi="宋体"/>
          <w:strike w:val="0"/>
          <w:dstrike w:val="0"/>
          <w:color w:val="auto"/>
          <w:sz w:val="28"/>
          <w:highlight w:val="none"/>
          <w:lang w:val="en-US" w:eastAsia="zh-CN"/>
        </w:rPr>
        <w:t>甲方</w:t>
      </w:r>
      <w:r>
        <w:rPr>
          <w:rFonts w:hint="eastAsia" w:ascii="宋体" w:hAnsi="宋体"/>
          <w:color w:val="auto"/>
          <w:sz w:val="28"/>
          <w:highlight w:val="none"/>
        </w:rPr>
        <w:t>发现并核实后仍不予纠正的，每确认1起，扣减当期人员管理运营总费用的3％。</w:t>
      </w:r>
    </w:p>
    <w:p w14:paraId="1509F86F">
      <w:pPr>
        <w:spacing w:line="560" w:lineRule="exact"/>
        <w:ind w:firstLine="560" w:firstLineChars="200"/>
        <w:outlineLvl w:val="0"/>
        <w:rPr>
          <w:rFonts w:ascii="宋体" w:hAnsi="宋体"/>
          <w:color w:val="auto"/>
          <w:sz w:val="28"/>
          <w:highlight w:val="none"/>
        </w:rPr>
      </w:pPr>
      <w:r>
        <w:rPr>
          <w:rFonts w:hint="eastAsia" w:ascii="宋体" w:hAnsi="宋体"/>
          <w:color w:val="auto"/>
          <w:sz w:val="28"/>
          <w:highlight w:val="none"/>
          <w:lang w:val="en-US" w:eastAsia="zh-CN"/>
        </w:rPr>
        <w:t>5</w:t>
      </w:r>
      <w:r>
        <w:rPr>
          <w:rFonts w:hint="eastAsia" w:ascii="宋体" w:hAnsi="宋体"/>
          <w:color w:val="auto"/>
          <w:sz w:val="28"/>
          <w:highlight w:val="none"/>
        </w:rPr>
        <w:t>.乙方要根据全体外包人员工作能力，量化取值，并划分为5级薪酬制，薪酬制应于本合同签订后一周内提交甲方征求意见，甲方同意后执行。</w:t>
      </w:r>
    </w:p>
    <w:p w14:paraId="1FD0D10A">
      <w:pPr>
        <w:spacing w:line="560" w:lineRule="exact"/>
        <w:ind w:firstLine="560" w:firstLineChars="200"/>
        <w:outlineLvl w:val="0"/>
        <w:rPr>
          <w:rFonts w:ascii="宋体" w:hAnsi="宋体"/>
          <w:color w:val="auto"/>
          <w:sz w:val="28"/>
          <w:highlight w:val="none"/>
        </w:rPr>
      </w:pPr>
      <w:r>
        <w:rPr>
          <w:rFonts w:hint="eastAsia" w:ascii="宋体" w:hAnsi="宋体"/>
          <w:color w:val="auto"/>
          <w:sz w:val="28"/>
          <w:highlight w:val="none"/>
          <w:lang w:val="en-US" w:eastAsia="zh-CN"/>
        </w:rPr>
        <w:t>6</w:t>
      </w:r>
      <w:r>
        <w:rPr>
          <w:rFonts w:hint="eastAsia" w:ascii="宋体" w:hAnsi="宋体"/>
          <w:color w:val="auto"/>
          <w:sz w:val="28"/>
          <w:highlight w:val="none"/>
        </w:rPr>
        <w:t>.乙方要保持队伍稳定，减少流失率，全年</w:t>
      </w:r>
      <w:r>
        <w:rPr>
          <w:rFonts w:hint="eastAsia" w:ascii="宋体" w:hAnsi="宋体"/>
          <w:color w:val="auto"/>
          <w:sz w:val="28"/>
          <w:highlight w:val="none"/>
          <w:lang w:val="en-US" w:eastAsia="zh-CN"/>
        </w:rPr>
        <w:t>总</w:t>
      </w:r>
      <w:r>
        <w:rPr>
          <w:rFonts w:hint="eastAsia" w:ascii="宋体" w:hAnsi="宋体"/>
          <w:color w:val="auto"/>
          <w:sz w:val="28"/>
          <w:highlight w:val="none"/>
        </w:rPr>
        <w:t>人员流失率不高于</w:t>
      </w:r>
      <w:r>
        <w:rPr>
          <w:rFonts w:hint="eastAsia" w:ascii="宋体" w:hAnsi="宋体"/>
          <w:color w:val="auto"/>
          <w:sz w:val="28"/>
          <w:highlight w:val="none"/>
          <w:lang w:val="en-US" w:eastAsia="zh-CN"/>
        </w:rPr>
        <w:t>1</w:t>
      </w:r>
      <w:r>
        <w:rPr>
          <w:rFonts w:hint="eastAsia" w:ascii="宋体" w:hAnsi="宋体"/>
          <w:color w:val="auto"/>
          <w:sz w:val="28"/>
          <w:highlight w:val="none"/>
        </w:rPr>
        <w:t>0%。</w:t>
      </w:r>
    </w:p>
    <w:p w14:paraId="5EAC5A42">
      <w:pPr>
        <w:spacing w:line="560" w:lineRule="exact"/>
        <w:ind w:firstLine="560" w:firstLineChars="200"/>
        <w:outlineLvl w:val="0"/>
        <w:rPr>
          <w:rFonts w:ascii="宋体" w:hAnsi="宋体"/>
          <w:color w:val="auto"/>
          <w:sz w:val="28"/>
          <w:highlight w:val="none"/>
        </w:rPr>
      </w:pPr>
      <w:r>
        <w:rPr>
          <w:rFonts w:hint="eastAsia" w:ascii="宋体" w:hAnsi="宋体"/>
          <w:color w:val="auto"/>
          <w:sz w:val="28"/>
          <w:highlight w:val="none"/>
          <w:lang w:val="en-US" w:eastAsia="zh-CN"/>
        </w:rPr>
        <w:t>7</w:t>
      </w:r>
      <w:r>
        <w:rPr>
          <w:rFonts w:hint="eastAsia" w:ascii="宋体" w:hAnsi="宋体"/>
          <w:color w:val="auto"/>
          <w:sz w:val="28"/>
          <w:highlight w:val="none"/>
        </w:rPr>
        <w:t>.如甲方发现乙方存在冒用人员领取工资行为，每发现1起，一经查实，</w:t>
      </w:r>
      <w:r>
        <w:rPr>
          <w:rFonts w:hint="eastAsia" w:ascii="宋体" w:hAnsi="宋体"/>
          <w:color w:val="auto"/>
          <w:sz w:val="28"/>
          <w:highlight w:val="none"/>
          <w:lang w:val="en-US" w:eastAsia="zh-CN"/>
        </w:rPr>
        <w:t>乙方应退还全部冒领工资，同时甲方有权</w:t>
      </w:r>
      <w:r>
        <w:rPr>
          <w:rFonts w:hint="eastAsia" w:ascii="宋体" w:hAnsi="宋体"/>
          <w:color w:val="auto"/>
          <w:sz w:val="28"/>
          <w:highlight w:val="none"/>
        </w:rPr>
        <w:t>扣减当期人员管理运营总费用的3％。</w:t>
      </w:r>
    </w:p>
    <w:p w14:paraId="5FF0FED7">
      <w:pPr>
        <w:spacing w:line="560" w:lineRule="exact"/>
        <w:ind w:firstLine="560" w:firstLineChars="200"/>
        <w:outlineLvl w:val="0"/>
        <w:rPr>
          <w:rFonts w:ascii="宋体" w:hAnsi="宋体"/>
          <w:color w:val="auto"/>
          <w:sz w:val="28"/>
          <w:highlight w:val="none"/>
        </w:rPr>
      </w:pPr>
      <w:r>
        <w:rPr>
          <w:rFonts w:hint="eastAsia" w:ascii="宋体" w:hAnsi="宋体"/>
          <w:color w:val="auto"/>
          <w:sz w:val="28"/>
          <w:highlight w:val="none"/>
          <w:lang w:val="en-US" w:eastAsia="zh-CN"/>
        </w:rPr>
        <w:t>8</w:t>
      </w:r>
      <w:r>
        <w:rPr>
          <w:rFonts w:hint="eastAsia" w:ascii="宋体" w:hAnsi="宋体"/>
          <w:color w:val="auto"/>
          <w:sz w:val="28"/>
          <w:highlight w:val="none"/>
        </w:rPr>
        <w:t>.乙方应确保夜班值守队伍稳定，加强夜班值守，保障夜间应急处置能力和接通率。</w:t>
      </w:r>
    </w:p>
    <w:p w14:paraId="518FBDB7">
      <w:pPr>
        <w:spacing w:line="560" w:lineRule="exact"/>
        <w:ind w:firstLine="560" w:firstLineChars="200"/>
        <w:outlineLvl w:val="0"/>
        <w:rPr>
          <w:rFonts w:ascii="宋体" w:hAnsi="宋体"/>
          <w:color w:val="auto"/>
          <w:sz w:val="28"/>
          <w:highlight w:val="none"/>
        </w:rPr>
      </w:pPr>
      <w:r>
        <w:rPr>
          <w:rFonts w:hint="eastAsia" w:ascii="宋体" w:hAnsi="宋体"/>
          <w:color w:val="auto"/>
          <w:sz w:val="28"/>
          <w:highlight w:val="none"/>
          <w:lang w:val="en-US" w:eastAsia="zh-CN"/>
        </w:rPr>
        <w:t>9</w:t>
      </w:r>
      <w:r>
        <w:rPr>
          <w:rFonts w:hint="eastAsia" w:ascii="宋体" w:hAnsi="宋体"/>
          <w:color w:val="auto"/>
          <w:sz w:val="28"/>
          <w:highlight w:val="none"/>
        </w:rPr>
        <w:t>.乙方应配合甲方委托的第三方开展本合同执行情况的业务审计。</w:t>
      </w:r>
    </w:p>
    <w:p w14:paraId="6F7D1CFE">
      <w:pPr>
        <w:spacing w:line="560" w:lineRule="exact"/>
        <w:ind w:firstLine="562" w:firstLineChars="200"/>
        <w:outlineLvl w:val="9"/>
        <w:rPr>
          <w:rFonts w:ascii="宋体" w:hAnsi="宋体"/>
          <w:b/>
          <w:bCs/>
          <w:color w:val="auto"/>
          <w:sz w:val="28"/>
          <w:highlight w:val="none"/>
        </w:rPr>
      </w:pPr>
      <w:r>
        <w:rPr>
          <w:rFonts w:hint="eastAsia" w:ascii="宋体" w:hAnsi="宋体"/>
          <w:b/>
          <w:bCs/>
          <w:color w:val="auto"/>
          <w:sz w:val="28"/>
          <w:highlight w:val="none"/>
        </w:rPr>
        <w:t>第十条  数据</w:t>
      </w:r>
      <w:r>
        <w:rPr>
          <w:rFonts w:hint="eastAsia" w:ascii="宋体" w:hAnsi="宋体"/>
          <w:b/>
          <w:bCs/>
          <w:color w:val="auto"/>
          <w:sz w:val="28"/>
          <w:highlight w:val="none"/>
          <w:lang w:val="en-US" w:eastAsia="zh-CN"/>
        </w:rPr>
        <w:t>知识</w:t>
      </w:r>
      <w:r>
        <w:rPr>
          <w:rFonts w:hint="eastAsia" w:ascii="宋体" w:hAnsi="宋体"/>
          <w:b/>
          <w:bCs/>
          <w:color w:val="auto"/>
          <w:sz w:val="28"/>
          <w:highlight w:val="none"/>
        </w:rPr>
        <w:t>产权</w:t>
      </w:r>
    </w:p>
    <w:p w14:paraId="5C22C814">
      <w:pPr>
        <w:spacing w:line="560" w:lineRule="exact"/>
        <w:ind w:firstLine="560" w:firstLineChars="200"/>
        <w:outlineLvl w:val="9"/>
        <w:rPr>
          <w:rFonts w:hint="eastAsia" w:ascii="宋体" w:hAnsi="宋体"/>
          <w:color w:val="auto"/>
          <w:sz w:val="28"/>
          <w:highlight w:val="none"/>
          <w:lang w:val="en-US" w:eastAsia="zh-CN"/>
        </w:rPr>
      </w:pPr>
      <w:bookmarkStart w:id="0" w:name="_Toc29846"/>
      <w:bookmarkStart w:id="1" w:name="_Toc32281"/>
      <w:bookmarkStart w:id="2" w:name="_Toc14381"/>
      <w:bookmarkStart w:id="3" w:name="_Toc10662"/>
      <w:bookmarkStart w:id="4" w:name="_Toc7551"/>
      <w:bookmarkStart w:id="5" w:name="_Toc16732"/>
      <w:bookmarkStart w:id="6" w:name="_Toc4355"/>
      <w:bookmarkStart w:id="7" w:name="_Toc23722"/>
      <w:bookmarkStart w:id="8" w:name="_Toc21099"/>
      <w:bookmarkStart w:id="9" w:name="_Toc13848"/>
      <w:bookmarkStart w:id="10" w:name="_Toc9280"/>
      <w:bookmarkStart w:id="11" w:name="_Toc2375"/>
      <w:bookmarkStart w:id="12" w:name="_Toc6444"/>
      <w:r>
        <w:rPr>
          <w:rFonts w:hint="eastAsia" w:ascii="宋体" w:hAnsi="宋体"/>
          <w:color w:val="auto"/>
          <w:sz w:val="28"/>
          <w:highlight w:val="none"/>
          <w:lang w:val="en-US" w:eastAsia="zh-CN"/>
        </w:rPr>
        <w:t>1.数据产权归属界定</w:t>
      </w:r>
      <w:bookmarkEnd w:id="0"/>
      <w:bookmarkEnd w:id="1"/>
      <w:bookmarkEnd w:id="2"/>
      <w:bookmarkEnd w:id="3"/>
      <w:bookmarkEnd w:id="4"/>
      <w:bookmarkEnd w:id="5"/>
      <w:bookmarkEnd w:id="6"/>
      <w:bookmarkEnd w:id="7"/>
      <w:bookmarkEnd w:id="8"/>
      <w:bookmarkEnd w:id="9"/>
      <w:bookmarkEnd w:id="10"/>
      <w:bookmarkEnd w:id="11"/>
      <w:bookmarkEnd w:id="12"/>
    </w:p>
    <w:p w14:paraId="71B1136E">
      <w:pPr>
        <w:spacing w:line="560" w:lineRule="exact"/>
        <w:ind w:firstLine="560" w:firstLineChars="200"/>
        <w:outlineLvl w:val="9"/>
        <w:rPr>
          <w:rFonts w:hint="eastAsia" w:ascii="宋体" w:hAnsi="宋体"/>
          <w:color w:val="auto"/>
          <w:sz w:val="28"/>
          <w:highlight w:val="none"/>
          <w:lang w:val="en-US" w:eastAsia="zh-CN"/>
        </w:rPr>
      </w:pPr>
      <w:r>
        <w:rPr>
          <w:rFonts w:hint="eastAsia" w:ascii="宋体" w:hAnsi="宋体"/>
          <w:color w:val="auto"/>
          <w:sz w:val="28"/>
          <w:highlight w:val="none"/>
          <w:lang w:val="en-US" w:eastAsia="zh-CN"/>
        </w:rPr>
        <w:t>（1）鉴于三亚市12345系三亚市政府设立的服务平台，承担着为市民、游客、企事业单位或其它组织提供非紧急类咨询、求助、投诉、建议、举报及其它有关公益服务的重要职责，在履行该职责过程中所积累的数据理应归属于三亚市营商环境综合服务中心，以保障数据能够持续服务于公共利益以及城市治理等相关工作。因此，本项目提供语音平台系统所产生的“热线来电信息”数据的产权归属于三亚市营商环境综合服务中心。</w:t>
      </w:r>
    </w:p>
    <w:p w14:paraId="684333D8">
      <w:pPr>
        <w:spacing w:line="560" w:lineRule="exact"/>
        <w:ind w:firstLine="560" w:firstLineChars="200"/>
        <w:outlineLvl w:val="9"/>
        <w:rPr>
          <w:rFonts w:hint="eastAsia" w:ascii="宋体" w:hAnsi="宋体"/>
          <w:color w:val="auto"/>
          <w:sz w:val="28"/>
          <w:highlight w:val="none"/>
          <w:lang w:val="en-US" w:eastAsia="zh-CN"/>
        </w:rPr>
      </w:pPr>
      <w:r>
        <w:rPr>
          <w:rFonts w:hint="eastAsia" w:ascii="宋体" w:hAnsi="宋体"/>
          <w:color w:val="auto"/>
          <w:sz w:val="28"/>
          <w:highlight w:val="none"/>
          <w:lang w:val="en-US" w:eastAsia="zh-CN"/>
        </w:rPr>
        <w:t>（2）乙方在提供服务期间，仅基于服务合同约定获得对数据的有限使用权，无权主张数据产权。具体而言，乙方参与热线运营工作，在处理热线来电信息时接触和运用相关数据，系为完成热线服务任务的必要操作，数据的所有权不因乙方的使用行为而发生转移。并且，来电群众虽为数据的产生源头，提供了个人诉求等信息，但在拨打12345热线时，已默认遵循热线的数据收集、使用规则，其目的是获取公共服务，并非保留对数据的产权，因此，乙方不享有热线来电信息数据的产权。</w:t>
      </w:r>
    </w:p>
    <w:p w14:paraId="52D21144">
      <w:pPr>
        <w:spacing w:line="560" w:lineRule="exact"/>
        <w:ind w:firstLine="560" w:firstLineChars="200"/>
        <w:outlineLvl w:val="9"/>
        <w:rPr>
          <w:rFonts w:hint="eastAsia" w:ascii="宋体" w:hAnsi="宋体"/>
          <w:color w:val="auto"/>
          <w:sz w:val="28"/>
          <w:highlight w:val="none"/>
          <w:lang w:val="en-US" w:eastAsia="zh-CN"/>
        </w:rPr>
      </w:pPr>
      <w:bookmarkStart w:id="13" w:name="_Toc31715"/>
      <w:bookmarkStart w:id="14" w:name="_Toc18806"/>
      <w:bookmarkStart w:id="15" w:name="_Toc20133"/>
      <w:bookmarkStart w:id="16" w:name="_Toc2428"/>
      <w:bookmarkStart w:id="17" w:name="_Toc5861"/>
      <w:bookmarkStart w:id="18" w:name="_Toc21619"/>
      <w:bookmarkStart w:id="19" w:name="_Toc27121"/>
      <w:bookmarkStart w:id="20" w:name="_Toc4122"/>
      <w:bookmarkStart w:id="21" w:name="_Toc10191"/>
      <w:bookmarkStart w:id="22" w:name="_Toc15974"/>
      <w:bookmarkStart w:id="23" w:name="_Toc20069"/>
      <w:bookmarkStart w:id="24" w:name="_Toc12464"/>
      <w:bookmarkStart w:id="25" w:name="_Toc7573"/>
      <w:r>
        <w:rPr>
          <w:rFonts w:hint="eastAsia" w:ascii="宋体" w:hAnsi="宋体"/>
          <w:color w:val="auto"/>
          <w:sz w:val="28"/>
          <w:highlight w:val="none"/>
          <w:lang w:val="en-US" w:eastAsia="zh-CN"/>
        </w:rPr>
        <w:t>2.数据使用规范</w:t>
      </w:r>
      <w:bookmarkEnd w:id="13"/>
      <w:bookmarkEnd w:id="14"/>
      <w:bookmarkEnd w:id="15"/>
      <w:bookmarkEnd w:id="16"/>
      <w:bookmarkEnd w:id="17"/>
      <w:bookmarkEnd w:id="18"/>
      <w:bookmarkEnd w:id="19"/>
      <w:bookmarkEnd w:id="20"/>
      <w:bookmarkEnd w:id="21"/>
      <w:bookmarkEnd w:id="22"/>
      <w:bookmarkEnd w:id="23"/>
      <w:bookmarkEnd w:id="24"/>
      <w:bookmarkEnd w:id="25"/>
    </w:p>
    <w:p w14:paraId="6ADC0EB6">
      <w:pPr>
        <w:spacing w:line="560" w:lineRule="exact"/>
        <w:ind w:firstLine="560" w:firstLineChars="200"/>
        <w:outlineLvl w:val="9"/>
        <w:rPr>
          <w:rFonts w:hint="eastAsia" w:ascii="宋体" w:hAnsi="宋体"/>
          <w:color w:val="auto"/>
          <w:sz w:val="28"/>
          <w:highlight w:val="none"/>
          <w:lang w:val="en-US" w:eastAsia="zh-CN"/>
        </w:rPr>
      </w:pPr>
      <w:bookmarkStart w:id="26" w:name="_Toc6423"/>
      <w:bookmarkStart w:id="27" w:name="_Toc28518"/>
      <w:bookmarkStart w:id="28" w:name="_Toc26495"/>
      <w:bookmarkStart w:id="29" w:name="_Toc7789"/>
      <w:bookmarkStart w:id="30" w:name="_Toc14098"/>
      <w:bookmarkStart w:id="31" w:name="_Toc28928"/>
      <w:bookmarkStart w:id="32" w:name="_Toc16689"/>
      <w:bookmarkStart w:id="33" w:name="_Toc32573"/>
      <w:bookmarkStart w:id="34" w:name="_Toc3737"/>
      <w:bookmarkStart w:id="35" w:name="_Toc15603"/>
      <w:bookmarkStart w:id="36" w:name="_Toc29692"/>
      <w:bookmarkStart w:id="37" w:name="_Toc24785"/>
      <w:bookmarkStart w:id="38" w:name="_Toc8378"/>
      <w:r>
        <w:rPr>
          <w:rFonts w:hint="eastAsia" w:ascii="宋体" w:hAnsi="宋体"/>
          <w:color w:val="auto"/>
          <w:sz w:val="28"/>
          <w:highlight w:val="none"/>
          <w:lang w:val="en-US" w:eastAsia="zh-CN"/>
        </w:rPr>
        <w:t>（1）新旧服务商使用规范</w:t>
      </w:r>
      <w:bookmarkEnd w:id="26"/>
      <w:bookmarkEnd w:id="27"/>
      <w:bookmarkEnd w:id="28"/>
      <w:bookmarkEnd w:id="29"/>
      <w:bookmarkEnd w:id="30"/>
      <w:bookmarkEnd w:id="31"/>
      <w:bookmarkEnd w:id="32"/>
      <w:bookmarkEnd w:id="33"/>
      <w:bookmarkEnd w:id="34"/>
      <w:bookmarkEnd w:id="35"/>
      <w:bookmarkEnd w:id="36"/>
      <w:bookmarkEnd w:id="37"/>
      <w:bookmarkEnd w:id="38"/>
    </w:p>
    <w:p w14:paraId="24F142C8">
      <w:pPr>
        <w:spacing w:line="560" w:lineRule="exact"/>
        <w:ind w:firstLine="560" w:firstLineChars="200"/>
        <w:outlineLvl w:val="9"/>
        <w:rPr>
          <w:rFonts w:hint="eastAsia" w:ascii="宋体" w:hAnsi="宋体"/>
          <w:color w:val="auto"/>
          <w:sz w:val="28"/>
          <w:highlight w:val="none"/>
          <w:lang w:val="en-US" w:eastAsia="zh-CN"/>
        </w:rPr>
      </w:pPr>
      <w:r>
        <w:rPr>
          <w:rFonts w:hint="default" w:ascii="Calibri" w:hAnsi="Calibri" w:cs="Calibri"/>
          <w:color w:val="auto"/>
          <w:sz w:val="28"/>
          <w:highlight w:val="none"/>
          <w:lang w:val="en-US" w:eastAsia="zh-CN"/>
        </w:rPr>
        <w:t>①</w:t>
      </w:r>
      <w:r>
        <w:rPr>
          <w:rFonts w:hint="eastAsia" w:ascii="宋体" w:hAnsi="宋体"/>
          <w:color w:val="auto"/>
          <w:sz w:val="28"/>
          <w:highlight w:val="none"/>
          <w:lang w:val="en-US" w:eastAsia="zh-CN"/>
        </w:rPr>
        <w:t>使用目的限定</w:t>
      </w:r>
    </w:p>
    <w:p w14:paraId="03F9758B">
      <w:pPr>
        <w:spacing w:line="560" w:lineRule="exact"/>
        <w:ind w:firstLine="560" w:firstLineChars="200"/>
        <w:outlineLvl w:val="9"/>
        <w:rPr>
          <w:rFonts w:hint="eastAsia" w:ascii="宋体" w:hAnsi="宋体"/>
          <w:color w:val="auto"/>
          <w:sz w:val="28"/>
          <w:highlight w:val="none"/>
          <w:lang w:val="en-US" w:eastAsia="zh-CN"/>
        </w:rPr>
      </w:pPr>
      <w:r>
        <w:rPr>
          <w:rFonts w:hint="eastAsia" w:ascii="宋体" w:hAnsi="宋体"/>
          <w:color w:val="auto"/>
          <w:sz w:val="28"/>
          <w:highlight w:val="none"/>
          <w:lang w:val="en-US" w:eastAsia="zh-CN"/>
        </w:rPr>
        <w:t>旧服务商在系统交接过渡阶段，使用数据仅用于确保服务的连续性以及协助新服务商熟悉业务。</w:t>
      </w:r>
    </w:p>
    <w:p w14:paraId="3DB7FFEE">
      <w:pPr>
        <w:spacing w:line="560" w:lineRule="exact"/>
        <w:ind w:firstLine="560" w:firstLineChars="200"/>
        <w:outlineLvl w:val="9"/>
        <w:rPr>
          <w:rFonts w:hint="eastAsia" w:ascii="宋体" w:hAnsi="宋体"/>
          <w:color w:val="auto"/>
          <w:sz w:val="28"/>
          <w:highlight w:val="none"/>
          <w:lang w:val="en-US" w:eastAsia="zh-CN"/>
        </w:rPr>
      </w:pPr>
      <w:r>
        <w:rPr>
          <w:rFonts w:hint="eastAsia" w:ascii="宋体" w:hAnsi="宋体"/>
          <w:color w:val="auto"/>
          <w:sz w:val="28"/>
          <w:highlight w:val="none"/>
          <w:lang w:val="en-US" w:eastAsia="zh-CN"/>
        </w:rPr>
        <w:t>新服务商在正式承接服务后，使用数据应严格围绕提升热线服务质量、优化业务流程以及为政府决策提供数据支持等目的。如通过分析来电数据的热点问题分布，优化知识库内容，提高话务员应答准确率；通过挖掘不同时间段的话务量数据，合理安排人力调度等。</w:t>
      </w:r>
    </w:p>
    <w:p w14:paraId="197968F4">
      <w:pPr>
        <w:spacing w:line="560" w:lineRule="exact"/>
        <w:ind w:firstLine="560" w:firstLineChars="200"/>
        <w:outlineLvl w:val="9"/>
        <w:rPr>
          <w:rFonts w:hint="eastAsia" w:ascii="宋体" w:hAnsi="宋体"/>
          <w:color w:val="auto"/>
          <w:sz w:val="28"/>
          <w:highlight w:val="none"/>
          <w:lang w:val="en-US" w:eastAsia="zh-CN"/>
        </w:rPr>
      </w:pPr>
      <w:r>
        <w:rPr>
          <w:rFonts w:hint="default" w:ascii="Calibri" w:hAnsi="Calibri" w:cs="Calibri"/>
          <w:color w:val="auto"/>
          <w:sz w:val="28"/>
          <w:highlight w:val="none"/>
          <w:lang w:val="en-US" w:eastAsia="zh-CN"/>
        </w:rPr>
        <w:t>②</w:t>
      </w:r>
      <w:r>
        <w:rPr>
          <w:rFonts w:hint="eastAsia" w:ascii="宋体" w:hAnsi="宋体"/>
          <w:color w:val="auto"/>
          <w:sz w:val="28"/>
          <w:highlight w:val="none"/>
          <w:lang w:val="en-US" w:eastAsia="zh-CN"/>
        </w:rPr>
        <w:t>使用权限分级：对新旧服务商的工作人员设置不同的数据使用权限。</w:t>
      </w:r>
    </w:p>
    <w:p w14:paraId="7DBD98BF">
      <w:pPr>
        <w:spacing w:line="560" w:lineRule="exact"/>
        <w:ind w:firstLine="560" w:firstLineChars="200"/>
        <w:outlineLvl w:val="9"/>
        <w:rPr>
          <w:rFonts w:hint="eastAsia" w:ascii="宋体" w:hAnsi="宋体"/>
          <w:color w:val="auto"/>
          <w:sz w:val="28"/>
          <w:highlight w:val="none"/>
          <w:lang w:val="en-US" w:eastAsia="zh-CN"/>
        </w:rPr>
      </w:pPr>
      <w:r>
        <w:rPr>
          <w:rFonts w:hint="eastAsia" w:ascii="宋体" w:hAnsi="宋体"/>
          <w:color w:val="auto"/>
          <w:sz w:val="28"/>
          <w:highlight w:val="none"/>
          <w:lang w:val="en-US" w:eastAsia="zh-CN"/>
        </w:rPr>
        <w:t>普通话务员仅能访问与当前工作任务直接相关的来电信息，如正在处理的工单详情、同类问题的历史案例参考等，且只能进行查看、阅读操作，无权对数据进行修改、导出。</w:t>
      </w:r>
    </w:p>
    <w:p w14:paraId="597B48F2">
      <w:pPr>
        <w:spacing w:line="560" w:lineRule="exact"/>
        <w:ind w:firstLine="560" w:firstLineChars="200"/>
        <w:outlineLvl w:val="9"/>
        <w:rPr>
          <w:rFonts w:hint="eastAsia" w:ascii="宋体" w:hAnsi="宋体"/>
          <w:color w:val="auto"/>
          <w:sz w:val="28"/>
          <w:highlight w:val="none"/>
          <w:lang w:val="en-US" w:eastAsia="zh-CN"/>
        </w:rPr>
      </w:pPr>
      <w:r>
        <w:rPr>
          <w:rFonts w:hint="eastAsia" w:ascii="宋体" w:hAnsi="宋体"/>
          <w:color w:val="auto"/>
          <w:sz w:val="28"/>
          <w:highlight w:val="none"/>
          <w:lang w:val="en-US" w:eastAsia="zh-CN"/>
        </w:rPr>
        <w:t>技术人员在进行系统维护、优化时，可在特定时间段内获得对部分技术相关数据（如系统日志数据、数据接口调用记录等）的访问权限，但需要提前提交详细的数据访问申请，说明访问目的、访问时间、访问数据范围等信息，经三亚市营商环境综合服务中心审批通过后方可操作，且操作过程需全程留痕。管理人员可查看汇总后的业务数据报表（如月度来电总量、各类诉求占比等），用于团队管理与业务决策，但对于涉及个人隐私的详细来电信息，如需查看，同样需遵循严格的审批流程。</w:t>
      </w:r>
    </w:p>
    <w:p w14:paraId="77439E40">
      <w:pPr>
        <w:spacing w:line="560" w:lineRule="exact"/>
        <w:ind w:firstLine="560" w:firstLineChars="200"/>
        <w:outlineLvl w:val="9"/>
        <w:rPr>
          <w:rFonts w:hint="eastAsia" w:ascii="宋体" w:hAnsi="宋体"/>
          <w:color w:val="auto"/>
          <w:sz w:val="28"/>
          <w:highlight w:val="none"/>
          <w:lang w:val="en-US" w:eastAsia="zh-CN"/>
        </w:rPr>
      </w:pPr>
      <w:r>
        <w:rPr>
          <w:rFonts w:hint="default" w:ascii="Calibri" w:hAnsi="Calibri" w:cs="Calibri"/>
          <w:color w:val="auto"/>
          <w:sz w:val="28"/>
          <w:highlight w:val="none"/>
          <w:lang w:val="en-US" w:eastAsia="zh-CN"/>
        </w:rPr>
        <w:t>③</w:t>
      </w:r>
      <w:r>
        <w:rPr>
          <w:rFonts w:hint="eastAsia" w:ascii="宋体" w:hAnsi="宋体"/>
          <w:color w:val="auto"/>
          <w:sz w:val="28"/>
          <w:highlight w:val="none"/>
          <w:lang w:val="en-US" w:eastAsia="zh-CN"/>
        </w:rPr>
        <w:t>数据脱敏处理</w:t>
      </w:r>
    </w:p>
    <w:p w14:paraId="6A4C20FA">
      <w:pPr>
        <w:spacing w:line="560" w:lineRule="exact"/>
        <w:ind w:firstLine="560" w:firstLineChars="200"/>
        <w:outlineLvl w:val="9"/>
        <w:rPr>
          <w:rFonts w:hint="eastAsia" w:ascii="宋体" w:hAnsi="宋体"/>
          <w:color w:val="auto"/>
          <w:sz w:val="28"/>
          <w:highlight w:val="none"/>
          <w:lang w:val="en-US" w:eastAsia="zh-CN"/>
        </w:rPr>
      </w:pPr>
      <w:r>
        <w:rPr>
          <w:rFonts w:hint="eastAsia" w:ascii="宋体" w:hAnsi="宋体"/>
          <w:color w:val="auto"/>
          <w:sz w:val="28"/>
          <w:highlight w:val="none"/>
          <w:lang w:val="en-US" w:eastAsia="zh-CN"/>
        </w:rPr>
        <w:t>在新旧服务商使用数据过程中，凡是涉及来电群众个人隐私的数据，如姓名、身份证号、联系方式、详细家庭住址等，必须进行脱敏处理。可采用替换、加密、掩码等多种脱敏方式，例如将姓名替换为姓氏加“先生/女士”，身份证号中间几位用“*”代替，联系方式仅显示前三位和后四位等。对于企业相关数据，涉及企业商业机密的部分（如企业未公开的财务数据、核心技术信息等）也应进行相应脱敏，确保数据在使用过程中不会对个人和企业权益造成损害。</w:t>
      </w:r>
    </w:p>
    <w:p w14:paraId="646D9245">
      <w:pPr>
        <w:spacing w:line="560" w:lineRule="exact"/>
        <w:ind w:firstLine="560" w:firstLineChars="200"/>
        <w:outlineLvl w:val="9"/>
        <w:rPr>
          <w:rFonts w:hint="eastAsia" w:ascii="宋体" w:hAnsi="宋体"/>
          <w:color w:val="auto"/>
          <w:sz w:val="28"/>
          <w:highlight w:val="none"/>
          <w:lang w:val="en-US" w:eastAsia="zh-CN"/>
        </w:rPr>
      </w:pPr>
      <w:bookmarkStart w:id="39" w:name="_Toc8960"/>
      <w:bookmarkStart w:id="40" w:name="_Toc21760"/>
      <w:bookmarkStart w:id="41" w:name="_Toc10244"/>
      <w:bookmarkStart w:id="42" w:name="_Toc21910"/>
      <w:bookmarkStart w:id="43" w:name="_Toc20597"/>
      <w:bookmarkStart w:id="44" w:name="_Toc6052"/>
      <w:bookmarkStart w:id="45" w:name="_Toc602"/>
      <w:bookmarkStart w:id="46" w:name="_Toc16544"/>
      <w:bookmarkStart w:id="47" w:name="_Toc5763"/>
      <w:bookmarkStart w:id="48" w:name="_Toc4569"/>
      <w:bookmarkStart w:id="49" w:name="_Toc15651"/>
      <w:bookmarkStart w:id="50" w:name="_Toc11068"/>
      <w:bookmarkStart w:id="51" w:name="_Toc1420"/>
      <w:r>
        <w:rPr>
          <w:rFonts w:hint="eastAsia" w:ascii="宋体" w:hAnsi="宋体"/>
          <w:color w:val="auto"/>
          <w:sz w:val="28"/>
          <w:highlight w:val="none"/>
          <w:lang w:val="en-US" w:eastAsia="zh-CN"/>
        </w:rPr>
        <w:t>（2）三亚市12345热线数据内部使用规范</w:t>
      </w:r>
      <w:bookmarkEnd w:id="39"/>
      <w:bookmarkEnd w:id="40"/>
      <w:bookmarkEnd w:id="41"/>
      <w:bookmarkEnd w:id="42"/>
      <w:bookmarkEnd w:id="43"/>
      <w:bookmarkEnd w:id="44"/>
      <w:bookmarkEnd w:id="45"/>
      <w:bookmarkEnd w:id="46"/>
      <w:bookmarkEnd w:id="47"/>
      <w:bookmarkEnd w:id="48"/>
      <w:bookmarkEnd w:id="49"/>
      <w:bookmarkEnd w:id="50"/>
      <w:bookmarkEnd w:id="51"/>
    </w:p>
    <w:p w14:paraId="52D54865">
      <w:pPr>
        <w:spacing w:line="560" w:lineRule="exact"/>
        <w:ind w:firstLine="560" w:firstLineChars="200"/>
        <w:outlineLvl w:val="9"/>
        <w:rPr>
          <w:rFonts w:hint="eastAsia" w:ascii="宋体" w:hAnsi="宋体"/>
          <w:color w:val="auto"/>
          <w:sz w:val="28"/>
          <w:highlight w:val="none"/>
          <w:lang w:val="en-US" w:eastAsia="zh-CN"/>
        </w:rPr>
      </w:pPr>
      <w:r>
        <w:rPr>
          <w:rFonts w:hint="default" w:ascii="Calibri" w:hAnsi="Calibri" w:cs="Calibri"/>
          <w:color w:val="auto"/>
          <w:sz w:val="28"/>
          <w:highlight w:val="none"/>
          <w:lang w:val="en-US" w:eastAsia="zh-CN"/>
        </w:rPr>
        <w:t>①</w:t>
      </w:r>
      <w:r>
        <w:rPr>
          <w:rFonts w:hint="eastAsia" w:ascii="宋体" w:hAnsi="宋体"/>
          <w:color w:val="auto"/>
          <w:sz w:val="28"/>
          <w:highlight w:val="none"/>
          <w:lang w:val="en-US" w:eastAsia="zh-CN"/>
        </w:rPr>
        <w:t>数据共享范围：三亚市12345热线内部不同部门、岗位之间的数据共享需基于工作需要进行严格限定。数据分析部门可获取全量的来电数据用于深度分析，但需对数据进行安全隔离，防止数据泄露至其他无关部门。与其他政府部门之间的数据共享，必须有工作协同需求。</w:t>
      </w:r>
    </w:p>
    <w:p w14:paraId="452F67BA">
      <w:pPr>
        <w:spacing w:line="560" w:lineRule="exact"/>
        <w:ind w:firstLine="560" w:firstLineChars="200"/>
        <w:outlineLvl w:val="9"/>
        <w:rPr>
          <w:rFonts w:hint="eastAsia" w:ascii="宋体" w:hAnsi="宋体"/>
          <w:color w:val="auto"/>
          <w:sz w:val="28"/>
          <w:highlight w:val="none"/>
          <w:lang w:val="en-US" w:eastAsia="zh-CN"/>
        </w:rPr>
      </w:pPr>
      <w:r>
        <w:rPr>
          <w:rFonts w:hint="default" w:ascii="Calibri" w:hAnsi="Calibri" w:cs="Calibri"/>
          <w:color w:val="auto"/>
          <w:sz w:val="28"/>
          <w:highlight w:val="none"/>
          <w:lang w:val="en-US" w:eastAsia="zh-CN"/>
        </w:rPr>
        <w:t>②</w:t>
      </w:r>
      <w:r>
        <w:rPr>
          <w:rFonts w:hint="eastAsia" w:ascii="宋体" w:hAnsi="宋体"/>
          <w:color w:val="auto"/>
          <w:sz w:val="28"/>
          <w:highlight w:val="none"/>
          <w:lang w:val="en-US" w:eastAsia="zh-CN"/>
        </w:rPr>
        <w:t>审批流程建立：内部人员如需使用超出其日常工作权限的数据，必须提交数据使用审批申请。申请内容包括使用目的、使用数据范围、使用方式、预计使用期限等信息。审批流程由数据管理部门负责牵头，涉及安全、合规等多部门联合审核。对于高敏感度数据（如涉及重大舆情、群体性事件的来电数据）的使用申请，需经三亚市12345热线管理部门高层领导审批通过后方可执行。在审批通过后，数据使用人员需严格按照审批内容使用数据，不得擅自扩大使用范围或改变使用方式。</w:t>
      </w:r>
    </w:p>
    <w:p w14:paraId="056EA592">
      <w:pPr>
        <w:spacing w:line="560" w:lineRule="exact"/>
        <w:ind w:firstLine="560" w:firstLineChars="200"/>
        <w:outlineLvl w:val="9"/>
        <w:rPr>
          <w:rFonts w:hint="eastAsia" w:ascii="宋体" w:hAnsi="宋体"/>
          <w:color w:val="auto"/>
          <w:sz w:val="28"/>
          <w:highlight w:val="none"/>
          <w:lang w:val="en-US" w:eastAsia="zh-CN"/>
        </w:rPr>
      </w:pPr>
      <w:bookmarkStart w:id="52" w:name="_Toc4556"/>
      <w:bookmarkStart w:id="53" w:name="_Toc10927"/>
      <w:bookmarkStart w:id="54" w:name="_Toc19618"/>
      <w:bookmarkStart w:id="55" w:name="_Toc23725"/>
      <w:bookmarkStart w:id="56" w:name="_Toc11973"/>
      <w:bookmarkStart w:id="57" w:name="_Toc15958"/>
      <w:bookmarkStart w:id="58" w:name="_Toc26733"/>
      <w:bookmarkStart w:id="59" w:name="_Toc16629"/>
      <w:bookmarkStart w:id="60" w:name="_Toc11592"/>
      <w:bookmarkStart w:id="61" w:name="_Toc24309"/>
      <w:bookmarkStart w:id="62" w:name="_Toc23649"/>
      <w:bookmarkStart w:id="63" w:name="_Toc792"/>
      <w:bookmarkStart w:id="64" w:name="_Toc30295"/>
      <w:r>
        <w:rPr>
          <w:rFonts w:hint="eastAsia" w:ascii="宋体" w:hAnsi="宋体"/>
          <w:color w:val="auto"/>
          <w:sz w:val="28"/>
          <w:highlight w:val="none"/>
          <w:lang w:val="en-US" w:eastAsia="zh-CN"/>
        </w:rPr>
        <w:t>3.监督与保障措施</w:t>
      </w:r>
      <w:bookmarkEnd w:id="52"/>
      <w:bookmarkEnd w:id="53"/>
      <w:bookmarkEnd w:id="54"/>
      <w:bookmarkEnd w:id="55"/>
      <w:bookmarkEnd w:id="56"/>
      <w:bookmarkEnd w:id="57"/>
      <w:bookmarkEnd w:id="58"/>
      <w:bookmarkEnd w:id="59"/>
      <w:bookmarkEnd w:id="60"/>
      <w:bookmarkEnd w:id="61"/>
      <w:bookmarkEnd w:id="62"/>
      <w:bookmarkEnd w:id="63"/>
      <w:bookmarkEnd w:id="64"/>
    </w:p>
    <w:p w14:paraId="64D72382">
      <w:pPr>
        <w:spacing w:line="560" w:lineRule="exact"/>
        <w:ind w:firstLine="560" w:firstLineChars="200"/>
        <w:outlineLvl w:val="9"/>
        <w:rPr>
          <w:rFonts w:hint="eastAsia" w:ascii="宋体" w:hAnsi="宋体"/>
          <w:color w:val="auto"/>
          <w:sz w:val="28"/>
          <w:highlight w:val="none"/>
          <w:lang w:val="en-US" w:eastAsia="zh-CN"/>
        </w:rPr>
      </w:pPr>
      <w:r>
        <w:rPr>
          <w:rFonts w:hint="eastAsia" w:ascii="宋体" w:hAnsi="宋体"/>
          <w:color w:val="auto"/>
          <w:sz w:val="28"/>
          <w:highlight w:val="none"/>
          <w:lang w:val="en-US" w:eastAsia="zh-CN"/>
        </w:rPr>
        <w:t>（1）设立监督机构：由三亚市12345热线管理部门的相关负责人组成监督小组。对数据产权归属情况进行定期审查，确保数据产权始终明确归属于三亚市营商环境综合服务中心，防止出现任何形式的产权纠纷或侵权行为。对数据使用情况进行日常监督，包括新旧服务商以及内部人员的数据操作行为，及时发现并纠正违规使用数据的现象。</w:t>
      </w:r>
    </w:p>
    <w:p w14:paraId="52410FD9">
      <w:pPr>
        <w:spacing w:line="560" w:lineRule="exact"/>
        <w:ind w:firstLine="560" w:firstLineChars="200"/>
        <w:outlineLvl w:val="9"/>
        <w:rPr>
          <w:rFonts w:hint="eastAsia" w:ascii="宋体" w:hAnsi="宋体"/>
          <w:color w:val="auto"/>
          <w:sz w:val="28"/>
          <w:highlight w:val="none"/>
          <w:lang w:val="en-US" w:eastAsia="zh-CN"/>
        </w:rPr>
      </w:pPr>
      <w:r>
        <w:rPr>
          <w:rFonts w:hint="eastAsia" w:ascii="宋体" w:hAnsi="宋体"/>
          <w:color w:val="auto"/>
          <w:sz w:val="28"/>
          <w:highlight w:val="none"/>
          <w:lang w:val="en-US" w:eastAsia="zh-CN"/>
        </w:rPr>
        <w:t>（2） 安全保障措施</w:t>
      </w:r>
    </w:p>
    <w:p w14:paraId="3862746A">
      <w:pPr>
        <w:spacing w:line="560" w:lineRule="exact"/>
        <w:ind w:firstLine="560" w:firstLineChars="200"/>
        <w:outlineLvl w:val="9"/>
        <w:rPr>
          <w:rFonts w:hint="eastAsia" w:ascii="宋体" w:hAnsi="宋体"/>
          <w:color w:val="auto"/>
          <w:sz w:val="28"/>
          <w:highlight w:val="none"/>
          <w:lang w:val="en-US" w:eastAsia="zh-CN"/>
        </w:rPr>
      </w:pPr>
      <w:r>
        <w:rPr>
          <w:rFonts w:hint="eastAsia" w:ascii="宋体" w:hAnsi="宋体"/>
          <w:color w:val="auto"/>
          <w:sz w:val="28"/>
          <w:highlight w:val="none"/>
          <w:lang w:val="en-US" w:eastAsia="zh-CN"/>
        </w:rPr>
        <w:t>制定严格的数据安全管理制度，明确规定数据采集、存储、使用、传输、销毁等各个环节的安全操作规范和责任人员。在数据采集环节，规定只能采集与热线服务相关的必要信息，不得过度采集；在数据销毁环节，明确规定数据销毁的条件、方式以及审批流程，确保数据在不再需要时能够安全、彻底地销毁。对违反数据安全管理制度的行为制定严厉的处罚措施，包括但不限于警告、罚款、解除合同（针对服务商）等，情节严重的依法追究法律责任。</w:t>
      </w:r>
    </w:p>
    <w:p w14:paraId="3CDC3176">
      <w:pPr>
        <w:spacing w:line="560" w:lineRule="exact"/>
        <w:ind w:firstLine="562" w:firstLineChars="200"/>
        <w:outlineLvl w:val="0"/>
        <w:rPr>
          <w:rFonts w:ascii="宋体" w:hAnsi="宋体"/>
          <w:b/>
          <w:bCs/>
          <w:color w:val="auto"/>
          <w:sz w:val="28"/>
          <w:highlight w:val="none"/>
        </w:rPr>
      </w:pPr>
      <w:r>
        <w:rPr>
          <w:rFonts w:hint="eastAsia" w:ascii="宋体" w:hAnsi="宋体"/>
          <w:b/>
          <w:bCs/>
          <w:color w:val="auto"/>
          <w:sz w:val="28"/>
          <w:highlight w:val="none"/>
        </w:rPr>
        <w:t>第十</w:t>
      </w:r>
      <w:r>
        <w:rPr>
          <w:rFonts w:hint="eastAsia" w:ascii="宋体" w:hAnsi="宋体"/>
          <w:b/>
          <w:bCs/>
          <w:color w:val="auto"/>
          <w:sz w:val="28"/>
          <w:highlight w:val="none"/>
          <w:lang w:val="en-US" w:eastAsia="zh-CN"/>
        </w:rPr>
        <w:t>一</w:t>
      </w:r>
      <w:r>
        <w:rPr>
          <w:rFonts w:hint="eastAsia" w:ascii="宋体" w:hAnsi="宋体"/>
          <w:b/>
          <w:bCs/>
          <w:color w:val="auto"/>
          <w:sz w:val="28"/>
          <w:highlight w:val="none"/>
        </w:rPr>
        <w:t>条  争议解决条款</w:t>
      </w:r>
    </w:p>
    <w:p w14:paraId="1F69D51C">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1.本合同为双方共同意愿签订，若有未尽事宜，由双方协商解决。双方可另行签订相应的补充合同或附件，有关的补充合同或附件与本合同具有同等法律效力。</w:t>
      </w:r>
    </w:p>
    <w:p w14:paraId="54801DE1">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2.本合同期间如有争议，可由双方通过友好协商解决；如协商无法解决，任何一方有权向</w:t>
      </w:r>
      <w:r>
        <w:rPr>
          <w:rFonts w:ascii="宋体" w:hAnsi="宋体"/>
          <w:color w:val="auto"/>
          <w:sz w:val="28"/>
          <w:highlight w:val="none"/>
        </w:rPr>
        <w:t>甲方</w:t>
      </w:r>
      <w:r>
        <w:rPr>
          <w:rFonts w:hint="eastAsia" w:ascii="宋体" w:hAnsi="宋体"/>
          <w:color w:val="auto"/>
          <w:sz w:val="28"/>
          <w:highlight w:val="none"/>
        </w:rPr>
        <w:t>所在地的人民法院提起诉讼。</w:t>
      </w:r>
    </w:p>
    <w:p w14:paraId="4D77956B">
      <w:pPr>
        <w:spacing w:line="560" w:lineRule="exact"/>
        <w:ind w:firstLine="562" w:firstLineChars="200"/>
        <w:outlineLvl w:val="0"/>
        <w:rPr>
          <w:rFonts w:ascii="宋体" w:hAnsi="宋体"/>
          <w:b/>
          <w:bCs/>
          <w:color w:val="auto"/>
          <w:sz w:val="28"/>
          <w:highlight w:val="none"/>
        </w:rPr>
      </w:pPr>
      <w:r>
        <w:rPr>
          <w:rFonts w:hint="eastAsia" w:ascii="宋体" w:hAnsi="宋体"/>
          <w:b/>
          <w:bCs/>
          <w:color w:val="auto"/>
          <w:sz w:val="28"/>
          <w:highlight w:val="none"/>
        </w:rPr>
        <w:t>第十</w:t>
      </w:r>
      <w:r>
        <w:rPr>
          <w:rFonts w:hint="eastAsia" w:ascii="宋体" w:hAnsi="宋体"/>
          <w:b/>
          <w:bCs/>
          <w:color w:val="auto"/>
          <w:sz w:val="28"/>
          <w:highlight w:val="none"/>
          <w:lang w:val="en-US" w:eastAsia="zh-CN"/>
        </w:rPr>
        <w:t>二</w:t>
      </w:r>
      <w:r>
        <w:rPr>
          <w:rFonts w:hint="eastAsia" w:ascii="宋体" w:hAnsi="宋体"/>
          <w:b/>
          <w:bCs/>
          <w:color w:val="auto"/>
          <w:sz w:val="28"/>
          <w:highlight w:val="none"/>
        </w:rPr>
        <w:t>条  协议生效及其他</w:t>
      </w:r>
    </w:p>
    <w:p w14:paraId="0CA708AC">
      <w:pPr>
        <w:spacing w:line="560" w:lineRule="exact"/>
        <w:ind w:firstLine="560" w:firstLineChars="200"/>
        <w:rPr>
          <w:rFonts w:ascii="宋体" w:hAnsi="宋体"/>
          <w:color w:val="auto"/>
          <w:sz w:val="28"/>
          <w:highlight w:val="none"/>
        </w:rPr>
      </w:pPr>
      <w:r>
        <w:rPr>
          <w:rFonts w:hint="eastAsia" w:ascii="宋体" w:hAnsi="宋体"/>
          <w:bCs/>
          <w:color w:val="auto"/>
          <w:sz w:val="28"/>
          <w:highlight w:val="none"/>
        </w:rPr>
        <w:t>1.</w:t>
      </w:r>
      <w:r>
        <w:rPr>
          <w:rFonts w:hint="eastAsia" w:ascii="宋体" w:hAnsi="宋体"/>
          <w:color w:val="auto"/>
          <w:sz w:val="28"/>
          <w:highlight w:val="none"/>
        </w:rPr>
        <w:t>本合同自甲乙双方签字盖章之日生效。</w:t>
      </w:r>
    </w:p>
    <w:p w14:paraId="3AF80249">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2.本合同一式[</w:t>
      </w:r>
      <w:r>
        <w:rPr>
          <w:rFonts w:hint="eastAsia" w:ascii="宋体" w:hAnsi="宋体"/>
          <w:color w:val="auto"/>
          <w:sz w:val="28"/>
          <w:highlight w:val="none"/>
          <w:lang w:val="en-US" w:eastAsia="zh-CN"/>
        </w:rPr>
        <w:t>六</w:t>
      </w:r>
      <w:r>
        <w:rPr>
          <w:rFonts w:hint="eastAsia" w:ascii="宋体" w:hAnsi="宋体"/>
          <w:color w:val="auto"/>
          <w:sz w:val="28"/>
          <w:highlight w:val="none"/>
        </w:rPr>
        <w:t>]份，甲乙双方各执[贰]份，</w:t>
      </w:r>
      <w:r>
        <w:rPr>
          <w:rFonts w:hint="eastAsia" w:ascii="宋体" w:hAnsi="宋体"/>
          <w:color w:val="auto"/>
          <w:sz w:val="28"/>
          <w:highlight w:val="none"/>
          <w:lang w:val="en-US" w:eastAsia="zh-CN"/>
        </w:rPr>
        <w:t>代理公司</w:t>
      </w:r>
      <w:r>
        <w:rPr>
          <w:rFonts w:hint="eastAsia" w:ascii="宋体" w:hAnsi="宋体"/>
          <w:color w:val="auto"/>
          <w:sz w:val="28"/>
          <w:highlight w:val="none"/>
        </w:rPr>
        <w:t>[贰]</w:t>
      </w:r>
      <w:r>
        <w:rPr>
          <w:rFonts w:hint="eastAsia" w:ascii="宋体" w:hAnsi="宋体"/>
          <w:color w:val="auto"/>
          <w:sz w:val="28"/>
          <w:highlight w:val="none"/>
          <w:lang w:val="en-US" w:eastAsia="zh-CN"/>
        </w:rPr>
        <w:t>份，</w:t>
      </w:r>
      <w:r>
        <w:rPr>
          <w:rFonts w:hint="eastAsia" w:ascii="宋体" w:hAnsi="宋体"/>
          <w:color w:val="auto"/>
          <w:sz w:val="28"/>
          <w:highlight w:val="none"/>
        </w:rPr>
        <w:t>具有同等法律效力。</w:t>
      </w:r>
    </w:p>
    <w:p w14:paraId="37EB03CA">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3.任何一方未经另一方同意不得向任何第三方透露本合同的签订及其内容。任何一方向其关联公司透露的，不受此限。</w:t>
      </w:r>
    </w:p>
    <w:p w14:paraId="6DBFA32A">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4.如果本合同的任何条款在任何时候变成不合法、无效或不可强制执行而不从根本上影响本合同的效力时，本合同的其它条款不受影响。</w:t>
      </w:r>
    </w:p>
    <w:p w14:paraId="5C225A14">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5.对本合同内容做出的任何修改和补充应为书面形式，由双方签字盖章后成为本合同不可分割的部分。</w:t>
      </w:r>
    </w:p>
    <w:p w14:paraId="532B5781">
      <w:pPr>
        <w:spacing w:line="560" w:lineRule="exact"/>
        <w:ind w:firstLine="560" w:firstLineChars="200"/>
        <w:rPr>
          <w:rFonts w:ascii="宋体" w:hAnsi="宋体"/>
          <w:color w:val="auto"/>
          <w:sz w:val="28"/>
          <w:highlight w:val="none"/>
        </w:rPr>
      </w:pPr>
      <w:r>
        <w:rPr>
          <w:rFonts w:hint="eastAsia" w:ascii="宋体" w:hAnsi="宋体"/>
          <w:color w:val="auto"/>
          <w:sz w:val="28"/>
          <w:highlight w:val="none"/>
        </w:rPr>
        <w:t>6.本合同各条标题仅为提示之用，应以条文内同确定各方的权利义务。</w:t>
      </w:r>
    </w:p>
    <w:p w14:paraId="54A77E73">
      <w:pPr>
        <w:spacing w:line="560" w:lineRule="exact"/>
        <w:ind w:firstLine="560" w:firstLineChars="200"/>
        <w:rPr>
          <w:rFonts w:hint="eastAsia" w:ascii="宋体" w:hAnsi="宋体"/>
          <w:color w:val="auto"/>
          <w:sz w:val="28"/>
          <w:highlight w:val="none"/>
        </w:rPr>
      </w:pPr>
      <w:r>
        <w:rPr>
          <w:rFonts w:hint="eastAsia" w:ascii="宋体" w:hAnsi="宋体"/>
          <w:color w:val="auto"/>
          <w:sz w:val="28"/>
          <w:highlight w:val="none"/>
        </w:rPr>
        <w:t>7.本合同附件为不可分割的组成部分，与合同具有同等法律效力。</w:t>
      </w:r>
    </w:p>
    <w:p w14:paraId="260A819A">
      <w:pPr>
        <w:spacing w:line="560" w:lineRule="exact"/>
        <w:ind w:firstLine="560" w:firstLineChars="200"/>
        <w:rPr>
          <w:rFonts w:hint="eastAsia" w:ascii="宋体" w:hAnsi="宋体"/>
          <w:color w:val="auto"/>
          <w:sz w:val="28"/>
          <w:highlight w:val="none"/>
          <w:lang w:val="en-US" w:eastAsia="zh-CN"/>
        </w:rPr>
      </w:pPr>
      <w:r>
        <w:rPr>
          <w:rFonts w:hint="eastAsia" w:ascii="宋体" w:hAnsi="宋体"/>
          <w:color w:val="auto"/>
          <w:sz w:val="28"/>
          <w:highlight w:val="none"/>
          <w:lang w:val="en-US" w:eastAsia="zh-CN"/>
        </w:rPr>
        <w:t>8.鉴于三亚</w:t>
      </w:r>
      <w:r>
        <w:rPr>
          <w:rFonts w:hint="eastAsia" w:ascii="宋体" w:hAnsi="宋体"/>
          <w:color w:val="auto"/>
          <w:sz w:val="28"/>
          <w:highlight w:val="none"/>
        </w:rPr>
        <w:t>12345热线</w:t>
      </w:r>
      <w:r>
        <w:rPr>
          <w:rFonts w:hint="eastAsia" w:ascii="宋体" w:hAnsi="宋体"/>
          <w:color w:val="auto"/>
          <w:sz w:val="28"/>
          <w:highlight w:val="none"/>
          <w:lang w:val="en-US" w:eastAsia="zh-CN"/>
        </w:rPr>
        <w:t>运营服务外包项目每年要进行公开招标，如202</w:t>
      </w:r>
      <w:r>
        <w:rPr>
          <w:rFonts w:hint="eastAsia" w:ascii="宋体" w:hAnsi="宋体"/>
          <w:strike w:val="0"/>
          <w:dstrike w:val="0"/>
          <w:color w:val="auto"/>
          <w:sz w:val="28"/>
          <w:highlight w:val="none"/>
          <w:lang w:val="en-US" w:eastAsia="zh-CN"/>
        </w:rPr>
        <w:t>5</w:t>
      </w:r>
      <w:r>
        <w:rPr>
          <w:rFonts w:hint="eastAsia" w:ascii="宋体" w:hAnsi="宋体"/>
          <w:color w:val="auto"/>
          <w:sz w:val="28"/>
          <w:highlight w:val="none"/>
          <w:lang w:val="en-US" w:eastAsia="zh-CN"/>
        </w:rPr>
        <w:t>年度项目的中标单位是第三方，在本合同履行期限届满前10日，乙方</w:t>
      </w:r>
      <w:r>
        <w:rPr>
          <w:rFonts w:hint="eastAsia" w:ascii="宋体" w:hAnsi="宋体"/>
          <w:strike w:val="0"/>
          <w:dstrike w:val="0"/>
          <w:color w:val="auto"/>
          <w:sz w:val="28"/>
          <w:highlight w:val="none"/>
          <w:lang w:val="en-US" w:eastAsia="zh-CN"/>
        </w:rPr>
        <w:t>负有</w:t>
      </w:r>
      <w:r>
        <w:rPr>
          <w:rFonts w:hint="eastAsia" w:ascii="宋体" w:hAnsi="宋体"/>
          <w:color w:val="auto"/>
          <w:sz w:val="28"/>
          <w:highlight w:val="none"/>
          <w:lang w:val="en-US" w:eastAsia="zh-CN"/>
        </w:rPr>
        <w:t>配合新的中标单位办理好相关的交接手续的义务，以确保在交接过渡期内12345热线平台平稳过渡。</w:t>
      </w:r>
    </w:p>
    <w:p w14:paraId="4DED43CD">
      <w:pPr>
        <w:spacing w:line="560" w:lineRule="exact"/>
        <w:ind w:firstLine="560" w:firstLineChars="200"/>
        <w:rPr>
          <w:rFonts w:hint="eastAsia" w:ascii="宋体" w:hAnsi="宋体"/>
          <w:color w:val="auto"/>
          <w:sz w:val="28"/>
          <w:highlight w:val="none"/>
        </w:rPr>
      </w:pPr>
      <w:r>
        <w:rPr>
          <w:rFonts w:hint="eastAsia" w:ascii="宋体" w:hAnsi="宋体"/>
          <w:color w:val="auto"/>
          <w:sz w:val="28"/>
          <w:highlight w:val="none"/>
          <w:lang w:val="en-US" w:eastAsia="zh-CN"/>
        </w:rPr>
        <w:t>本合同</w:t>
      </w:r>
      <w:r>
        <w:rPr>
          <w:rFonts w:hint="eastAsia" w:ascii="宋体" w:hAnsi="宋体"/>
          <w:color w:val="auto"/>
          <w:sz w:val="28"/>
          <w:highlight w:val="none"/>
        </w:rPr>
        <w:t>附件：</w:t>
      </w:r>
    </w:p>
    <w:p w14:paraId="2A94C3A1">
      <w:pPr>
        <w:spacing w:line="560" w:lineRule="exact"/>
        <w:ind w:firstLine="560" w:firstLineChars="200"/>
        <w:rPr>
          <w:rFonts w:hint="default" w:ascii="宋体" w:hAnsi="宋体" w:eastAsia="宋体"/>
          <w:color w:val="auto"/>
          <w:sz w:val="28"/>
          <w:highlight w:val="none"/>
          <w:lang w:val="en-US" w:eastAsia="zh-CN"/>
        </w:rPr>
      </w:pPr>
      <w:r>
        <w:rPr>
          <w:rFonts w:hint="eastAsia" w:ascii="宋体" w:hAnsi="宋体"/>
          <w:color w:val="auto"/>
          <w:sz w:val="28"/>
          <w:highlight w:val="none"/>
        </w:rPr>
        <w:t>1.</w:t>
      </w:r>
      <w:r>
        <w:rPr>
          <w:rFonts w:hint="eastAsia" w:ascii="宋体" w:hAnsi="宋体"/>
          <w:color w:val="auto"/>
          <w:sz w:val="28"/>
          <w:highlight w:val="none"/>
          <w:lang w:val="en-US" w:eastAsia="zh-CN"/>
        </w:rPr>
        <w:t>采购需求-技术要求</w:t>
      </w:r>
    </w:p>
    <w:p w14:paraId="36CC9784">
      <w:pPr>
        <w:spacing w:line="560" w:lineRule="exact"/>
        <w:ind w:firstLine="560" w:firstLineChars="200"/>
        <w:rPr>
          <w:rFonts w:ascii="宋体" w:hAnsi="宋体"/>
          <w:color w:val="auto"/>
          <w:sz w:val="28"/>
          <w:highlight w:val="none"/>
        </w:rPr>
      </w:pPr>
      <w:r>
        <w:rPr>
          <w:rFonts w:hint="eastAsia" w:ascii="宋体" w:hAnsi="宋体"/>
          <w:color w:val="auto"/>
          <w:sz w:val="28"/>
          <w:highlight w:val="none"/>
          <w:lang w:val="en-US" w:eastAsia="zh-CN"/>
        </w:rPr>
        <w:t>2.</w:t>
      </w:r>
      <w:r>
        <w:rPr>
          <w:rFonts w:hint="eastAsia" w:ascii="宋体" w:hAnsi="宋体"/>
          <w:color w:val="auto"/>
          <w:sz w:val="28"/>
          <w:highlight w:val="none"/>
        </w:rPr>
        <w:t>三亚12345热线运营考核标准</w:t>
      </w:r>
    </w:p>
    <w:p w14:paraId="18F11986">
      <w:pPr>
        <w:widowControl/>
        <w:numPr>
          <w:ilvl w:val="0"/>
          <w:numId w:val="0"/>
        </w:numPr>
        <w:ind w:firstLine="560" w:firstLineChars="200"/>
        <w:jc w:val="left"/>
        <w:rPr>
          <w:rFonts w:hint="eastAsia" w:ascii="宋体" w:hAnsi="宋体"/>
          <w:color w:val="auto"/>
          <w:sz w:val="28"/>
          <w:highlight w:val="none"/>
        </w:rPr>
      </w:pPr>
      <w:r>
        <w:rPr>
          <w:rFonts w:hint="eastAsia" w:ascii="宋体" w:hAnsi="宋体"/>
          <w:color w:val="auto"/>
          <w:sz w:val="28"/>
          <w:highlight w:val="none"/>
          <w:lang w:val="en-US" w:eastAsia="zh-CN"/>
        </w:rPr>
        <w:t>3.</w:t>
      </w:r>
      <w:r>
        <w:rPr>
          <w:rFonts w:hint="eastAsia" w:ascii="宋体" w:hAnsi="宋体"/>
          <w:color w:val="auto"/>
          <w:sz w:val="28"/>
          <w:highlight w:val="none"/>
        </w:rPr>
        <w:t>台服务费和人员管理运营费</w:t>
      </w:r>
    </w:p>
    <w:p w14:paraId="3DE0E1FD">
      <w:pPr>
        <w:widowControl/>
        <w:numPr>
          <w:ilvl w:val="0"/>
          <w:numId w:val="0"/>
        </w:numPr>
        <w:ind w:firstLine="560" w:firstLineChars="200"/>
        <w:jc w:val="left"/>
        <w:rPr>
          <w:rFonts w:hint="default" w:ascii="宋体" w:hAnsi="宋体" w:eastAsia="宋体"/>
          <w:color w:val="auto"/>
          <w:sz w:val="28"/>
          <w:highlight w:val="none"/>
          <w:lang w:val="en-US" w:eastAsia="zh-CN"/>
        </w:rPr>
      </w:pPr>
      <w:r>
        <w:rPr>
          <w:rFonts w:hint="eastAsia" w:ascii="宋体" w:hAnsi="宋体"/>
          <w:color w:val="auto"/>
          <w:sz w:val="28"/>
          <w:highlight w:val="none"/>
          <w:lang w:val="en-US" w:eastAsia="zh-CN"/>
        </w:rPr>
        <w:t>4.《2025-2026年三亚12345政府服务热线服务外包项目交接风险防控方案》</w:t>
      </w:r>
    </w:p>
    <w:p w14:paraId="248E44AD">
      <w:pPr>
        <w:widowControl/>
        <w:numPr>
          <w:ilvl w:val="0"/>
          <w:numId w:val="0"/>
        </w:numPr>
        <w:jc w:val="left"/>
        <w:rPr>
          <w:rFonts w:hint="default" w:ascii="宋体" w:hAnsi="宋体" w:eastAsia="宋体"/>
          <w:color w:val="auto"/>
          <w:sz w:val="28"/>
          <w:highlight w:val="none"/>
          <w:lang w:val="en-US" w:eastAsia="zh-CN"/>
        </w:rPr>
      </w:pPr>
      <w:r>
        <w:rPr>
          <w:rFonts w:hint="eastAsia" w:ascii="宋体" w:hAnsi="宋体"/>
          <w:color w:val="auto"/>
          <w:sz w:val="28"/>
          <w:highlight w:val="none"/>
          <w:lang w:val="en-US" w:eastAsia="zh-CN"/>
        </w:rPr>
        <w:t xml:space="preserve">  （以下无合同正文）</w:t>
      </w:r>
    </w:p>
    <w:p w14:paraId="74DEB4E8">
      <w:pPr>
        <w:spacing w:before="240" w:line="360" w:lineRule="exact"/>
        <w:ind w:firstLine="482"/>
        <w:jc w:val="left"/>
        <w:rPr>
          <w:rFonts w:ascii="宋体" w:hAnsi="宋体"/>
          <w:color w:val="auto"/>
          <w:sz w:val="28"/>
          <w:highlight w:val="none"/>
        </w:rPr>
      </w:pPr>
    </w:p>
    <w:p w14:paraId="573508F2">
      <w:pPr>
        <w:rPr>
          <w:rFonts w:ascii="宋体" w:hAnsi="宋体"/>
          <w:color w:val="auto"/>
          <w:sz w:val="28"/>
          <w:highlight w:val="none"/>
        </w:rPr>
      </w:pPr>
      <w:r>
        <w:rPr>
          <w:rFonts w:ascii="宋体" w:hAnsi="宋体"/>
          <w:color w:val="auto"/>
          <w:sz w:val="28"/>
          <w:highlight w:val="none"/>
        </w:rPr>
        <w:br w:type="page"/>
      </w:r>
    </w:p>
    <w:p w14:paraId="02E1910F">
      <w:pPr>
        <w:widowControl/>
        <w:numPr>
          <w:ilvl w:val="0"/>
          <w:numId w:val="0"/>
        </w:numPr>
        <w:jc w:val="left"/>
        <w:rPr>
          <w:rFonts w:hint="default" w:ascii="宋体" w:hAnsi="宋体" w:eastAsia="宋体"/>
          <w:color w:val="auto"/>
          <w:sz w:val="28"/>
          <w:highlight w:val="none"/>
          <w:lang w:val="en-US" w:eastAsia="zh-CN"/>
        </w:rPr>
      </w:pPr>
      <w:r>
        <w:rPr>
          <w:rFonts w:hint="eastAsia" w:ascii="宋体" w:hAnsi="宋体"/>
          <w:color w:val="auto"/>
          <w:sz w:val="28"/>
          <w:highlight w:val="none"/>
          <w:lang w:val="en-US" w:eastAsia="zh-CN"/>
        </w:rPr>
        <w:t xml:space="preserve">  （合同签署页）</w:t>
      </w:r>
    </w:p>
    <w:p w14:paraId="16E80CB8">
      <w:pPr>
        <w:spacing w:before="240" w:line="360" w:lineRule="exact"/>
        <w:ind w:firstLine="482"/>
        <w:jc w:val="left"/>
        <w:rPr>
          <w:rFonts w:ascii="宋体" w:hAnsi="宋体"/>
          <w:color w:val="auto"/>
          <w:sz w:val="28"/>
          <w:highlight w:val="none"/>
        </w:rPr>
      </w:pPr>
    </w:p>
    <w:p w14:paraId="59F73944">
      <w:pPr>
        <w:spacing w:before="240" w:line="360" w:lineRule="exact"/>
        <w:ind w:firstLine="482"/>
        <w:jc w:val="left"/>
        <w:rPr>
          <w:rFonts w:ascii="宋体" w:hAnsi="宋体"/>
          <w:color w:val="auto"/>
          <w:sz w:val="28"/>
          <w:highlight w:val="none"/>
        </w:rPr>
      </w:pPr>
    </w:p>
    <w:p w14:paraId="405BAF5A">
      <w:pPr>
        <w:spacing w:before="240" w:line="360" w:lineRule="exact"/>
        <w:ind w:firstLine="482"/>
        <w:jc w:val="left"/>
        <w:rPr>
          <w:rFonts w:ascii="宋体" w:hAnsi="宋体"/>
          <w:color w:val="auto"/>
          <w:sz w:val="28"/>
          <w:highlight w:val="none"/>
        </w:rPr>
      </w:pPr>
    </w:p>
    <w:p w14:paraId="657B7671">
      <w:pPr>
        <w:spacing w:before="240" w:line="360" w:lineRule="exact"/>
        <w:ind w:firstLine="482"/>
        <w:jc w:val="left"/>
        <w:rPr>
          <w:rFonts w:hint="eastAsia" w:ascii="宋体" w:hAnsi="宋体" w:eastAsia="宋体"/>
          <w:color w:val="auto"/>
          <w:sz w:val="28"/>
          <w:highlight w:val="none"/>
          <w:lang w:eastAsia="zh-CN"/>
        </w:rPr>
      </w:pPr>
      <w:r>
        <w:rPr>
          <w:rFonts w:ascii="宋体" w:hAnsi="宋体"/>
          <w:color w:val="auto"/>
          <w:sz w:val="28"/>
          <w:highlight w:val="none"/>
        </w:rPr>
        <w:t>甲方：</w:t>
      </w:r>
      <w:r>
        <w:rPr>
          <w:rFonts w:hint="eastAsia" w:ascii="宋体" w:hAnsi="宋体"/>
          <w:color w:val="auto"/>
          <w:sz w:val="28"/>
          <w:highlight w:val="none"/>
          <w:lang w:eastAsia="zh-CN"/>
        </w:rPr>
        <w:t>三亚市营商环境综合服务中心</w:t>
      </w:r>
    </w:p>
    <w:p w14:paraId="5F4E0264">
      <w:pPr>
        <w:spacing w:before="240" w:line="360" w:lineRule="exact"/>
        <w:ind w:firstLine="482"/>
        <w:jc w:val="left"/>
        <w:rPr>
          <w:rFonts w:ascii="宋体" w:hAnsi="宋体"/>
          <w:color w:val="auto"/>
          <w:sz w:val="28"/>
          <w:highlight w:val="none"/>
        </w:rPr>
      </w:pPr>
      <w:r>
        <w:rPr>
          <w:rFonts w:ascii="宋体" w:hAnsi="宋体"/>
          <w:color w:val="auto"/>
          <w:sz w:val="28"/>
          <w:highlight w:val="none"/>
        </w:rPr>
        <w:t>法定代表人/负责人</w:t>
      </w:r>
    </w:p>
    <w:p w14:paraId="78F26F09">
      <w:pPr>
        <w:spacing w:before="240" w:line="360" w:lineRule="exact"/>
        <w:ind w:firstLine="482"/>
        <w:jc w:val="left"/>
        <w:rPr>
          <w:rFonts w:ascii="宋体" w:hAnsi="宋体"/>
          <w:color w:val="auto"/>
          <w:sz w:val="28"/>
          <w:highlight w:val="none"/>
        </w:rPr>
      </w:pPr>
      <w:r>
        <w:rPr>
          <w:rFonts w:ascii="宋体" w:hAnsi="宋体"/>
          <w:color w:val="auto"/>
          <w:sz w:val="28"/>
          <w:highlight w:val="none"/>
        </w:rPr>
        <w:t xml:space="preserve">或授权代表：（签字）         </w:t>
      </w:r>
    </w:p>
    <w:p w14:paraId="6B7295AF">
      <w:pPr>
        <w:spacing w:before="240" w:line="360" w:lineRule="exact"/>
        <w:ind w:firstLine="482"/>
        <w:jc w:val="left"/>
        <w:rPr>
          <w:rFonts w:ascii="宋体" w:hAnsi="宋体"/>
          <w:color w:val="auto"/>
          <w:sz w:val="28"/>
          <w:highlight w:val="none"/>
        </w:rPr>
      </w:pPr>
      <w:r>
        <w:rPr>
          <w:rFonts w:ascii="宋体" w:hAnsi="宋体"/>
          <w:color w:val="auto"/>
          <w:sz w:val="28"/>
          <w:highlight w:val="none"/>
        </w:rPr>
        <w:t xml:space="preserve">[    ]年[  </w:t>
      </w:r>
      <w:r>
        <w:rPr>
          <w:rFonts w:hint="eastAsia" w:ascii="宋体" w:hAnsi="宋体"/>
          <w:color w:val="auto"/>
          <w:sz w:val="28"/>
          <w:highlight w:val="none"/>
        </w:rPr>
        <w:t xml:space="preserve">  </w:t>
      </w:r>
      <w:r>
        <w:rPr>
          <w:rFonts w:ascii="宋体" w:hAnsi="宋体"/>
          <w:color w:val="auto"/>
          <w:sz w:val="28"/>
          <w:highlight w:val="none"/>
        </w:rPr>
        <w:t xml:space="preserve">]月[ </w:t>
      </w:r>
      <w:r>
        <w:rPr>
          <w:rFonts w:hint="eastAsia" w:ascii="宋体" w:hAnsi="宋体"/>
          <w:color w:val="auto"/>
          <w:sz w:val="28"/>
          <w:highlight w:val="none"/>
        </w:rPr>
        <w:t xml:space="preserve">  </w:t>
      </w:r>
      <w:r>
        <w:rPr>
          <w:rFonts w:ascii="宋体" w:hAnsi="宋体"/>
          <w:color w:val="auto"/>
          <w:sz w:val="28"/>
          <w:highlight w:val="none"/>
        </w:rPr>
        <w:t xml:space="preserve"> ]日</w:t>
      </w:r>
    </w:p>
    <w:p w14:paraId="2F027BF9">
      <w:pPr>
        <w:spacing w:before="240" w:line="360" w:lineRule="exact"/>
        <w:jc w:val="left"/>
        <w:rPr>
          <w:rFonts w:ascii="宋体" w:hAnsi="宋体"/>
          <w:color w:val="auto"/>
          <w:sz w:val="28"/>
          <w:highlight w:val="none"/>
        </w:rPr>
      </w:pPr>
    </w:p>
    <w:p w14:paraId="715F56AB">
      <w:pPr>
        <w:spacing w:before="240" w:line="360" w:lineRule="exact"/>
        <w:jc w:val="left"/>
        <w:rPr>
          <w:rFonts w:ascii="宋体" w:hAnsi="宋体"/>
          <w:color w:val="auto"/>
          <w:sz w:val="28"/>
          <w:highlight w:val="none"/>
        </w:rPr>
      </w:pPr>
    </w:p>
    <w:p w14:paraId="767790DA">
      <w:pPr>
        <w:spacing w:before="240" w:line="360" w:lineRule="exact"/>
        <w:ind w:firstLine="560" w:firstLineChars="200"/>
        <w:jc w:val="left"/>
        <w:rPr>
          <w:rFonts w:ascii="宋体" w:hAnsi="宋体"/>
          <w:color w:val="auto"/>
          <w:sz w:val="28"/>
          <w:highlight w:val="none"/>
        </w:rPr>
      </w:pPr>
      <w:r>
        <w:rPr>
          <w:rFonts w:ascii="宋体" w:hAnsi="宋体"/>
          <w:color w:val="auto"/>
          <w:sz w:val="28"/>
          <w:highlight w:val="none"/>
        </w:rPr>
        <w:t>乙方：</w:t>
      </w:r>
    </w:p>
    <w:p w14:paraId="609D4E44">
      <w:pPr>
        <w:spacing w:before="240" w:line="360" w:lineRule="exact"/>
        <w:ind w:firstLine="482"/>
        <w:jc w:val="left"/>
        <w:rPr>
          <w:rFonts w:ascii="宋体" w:hAnsi="宋体"/>
          <w:color w:val="auto"/>
          <w:sz w:val="28"/>
          <w:highlight w:val="none"/>
        </w:rPr>
      </w:pPr>
      <w:r>
        <w:rPr>
          <w:rFonts w:ascii="宋体" w:hAnsi="宋体"/>
          <w:color w:val="auto"/>
          <w:sz w:val="28"/>
          <w:highlight w:val="none"/>
        </w:rPr>
        <w:t xml:space="preserve">法定代表人/负责人                     </w:t>
      </w:r>
    </w:p>
    <w:p w14:paraId="39AC21FD">
      <w:pPr>
        <w:spacing w:before="240" w:line="360" w:lineRule="exact"/>
        <w:ind w:firstLine="482"/>
        <w:jc w:val="left"/>
        <w:rPr>
          <w:rFonts w:ascii="宋体" w:hAnsi="宋体"/>
          <w:color w:val="auto"/>
          <w:sz w:val="28"/>
          <w:highlight w:val="none"/>
        </w:rPr>
      </w:pPr>
      <w:r>
        <w:rPr>
          <w:rFonts w:ascii="宋体" w:hAnsi="宋体"/>
          <w:color w:val="auto"/>
          <w:sz w:val="28"/>
          <w:highlight w:val="none"/>
        </w:rPr>
        <w:t>或授权代表：（签字）</w:t>
      </w:r>
    </w:p>
    <w:p w14:paraId="3C1DBEF0">
      <w:pPr>
        <w:spacing w:before="240" w:line="360" w:lineRule="exact"/>
        <w:ind w:firstLine="482"/>
        <w:jc w:val="left"/>
        <w:rPr>
          <w:rFonts w:ascii="宋体" w:hAnsi="宋体"/>
          <w:color w:val="auto"/>
          <w:sz w:val="28"/>
          <w:highlight w:val="none"/>
        </w:rPr>
      </w:pPr>
      <w:r>
        <w:rPr>
          <w:rFonts w:ascii="宋体" w:hAnsi="宋体"/>
          <w:color w:val="auto"/>
          <w:sz w:val="28"/>
          <w:highlight w:val="none"/>
        </w:rPr>
        <w:t xml:space="preserve">[   </w:t>
      </w:r>
      <w:r>
        <w:rPr>
          <w:rFonts w:hint="eastAsia" w:ascii="宋体" w:hAnsi="宋体"/>
          <w:color w:val="auto"/>
          <w:sz w:val="28"/>
          <w:highlight w:val="none"/>
        </w:rPr>
        <w:t xml:space="preserve"> </w:t>
      </w:r>
      <w:r>
        <w:rPr>
          <w:rFonts w:ascii="宋体" w:hAnsi="宋体"/>
          <w:color w:val="auto"/>
          <w:sz w:val="28"/>
          <w:highlight w:val="none"/>
        </w:rPr>
        <w:t xml:space="preserve">]年[ </w:t>
      </w:r>
      <w:r>
        <w:rPr>
          <w:rFonts w:hint="eastAsia" w:ascii="宋体" w:hAnsi="宋体"/>
          <w:color w:val="auto"/>
          <w:sz w:val="28"/>
          <w:highlight w:val="none"/>
        </w:rPr>
        <w:t xml:space="preserve">  </w:t>
      </w:r>
      <w:r>
        <w:rPr>
          <w:rFonts w:ascii="宋体" w:hAnsi="宋体"/>
          <w:color w:val="auto"/>
          <w:sz w:val="28"/>
          <w:highlight w:val="none"/>
        </w:rPr>
        <w:t xml:space="preserve"> ]月[</w:t>
      </w:r>
      <w:r>
        <w:rPr>
          <w:rFonts w:hint="eastAsia" w:ascii="宋体" w:hAnsi="宋体"/>
          <w:color w:val="auto"/>
          <w:sz w:val="28"/>
          <w:highlight w:val="none"/>
        </w:rPr>
        <w:t xml:space="preserve">  </w:t>
      </w:r>
      <w:r>
        <w:rPr>
          <w:rFonts w:ascii="宋体" w:hAnsi="宋体"/>
          <w:color w:val="auto"/>
          <w:sz w:val="28"/>
          <w:highlight w:val="none"/>
        </w:rPr>
        <w:t xml:space="preserve">  ]日</w:t>
      </w:r>
    </w:p>
    <w:p w14:paraId="3FD9D78E">
      <w:pPr>
        <w:spacing w:before="240" w:line="360" w:lineRule="exact"/>
        <w:ind w:firstLine="482"/>
        <w:jc w:val="left"/>
        <w:rPr>
          <w:rFonts w:ascii="宋体" w:hAnsi="宋体"/>
          <w:color w:val="auto"/>
          <w:sz w:val="28"/>
          <w:highlight w:val="none"/>
        </w:rPr>
      </w:pPr>
    </w:p>
    <w:p w14:paraId="0F1FFFEF">
      <w:pPr>
        <w:spacing w:before="240" w:line="360" w:lineRule="exact"/>
        <w:ind w:firstLine="482"/>
        <w:jc w:val="left"/>
        <w:rPr>
          <w:rFonts w:ascii="宋体" w:hAnsi="宋体"/>
          <w:color w:val="auto"/>
          <w:sz w:val="28"/>
          <w:highlight w:val="none"/>
        </w:rPr>
      </w:pPr>
    </w:p>
    <w:p w14:paraId="70539D1B">
      <w:pPr>
        <w:rPr>
          <w:rFonts w:ascii="宋体" w:hAnsi="宋体"/>
          <w:color w:val="auto"/>
          <w:sz w:val="28"/>
          <w:highlight w:val="none"/>
        </w:rPr>
      </w:pPr>
      <w:r>
        <w:rPr>
          <w:rFonts w:ascii="宋体" w:hAnsi="宋体"/>
          <w:color w:val="auto"/>
          <w:sz w:val="28"/>
          <w:highlight w:val="none"/>
        </w:rPr>
        <w:br w:type="page"/>
      </w:r>
    </w:p>
    <w:p w14:paraId="767FC02B">
      <w:pPr>
        <w:widowControl/>
        <w:spacing w:before="100" w:beforeAutospacing="1" w:after="100" w:afterAutospacing="1" w:line="560" w:lineRule="exact"/>
        <w:rPr>
          <w:rFonts w:ascii="仿宋_GB2312" w:hAnsi="仿宋_GB2312" w:eastAsia="仿宋_GB2312" w:cs="仿宋_GB2312"/>
          <w:bCs/>
          <w:color w:val="auto"/>
          <w:sz w:val="32"/>
          <w:szCs w:val="32"/>
          <w:highlight w:val="none"/>
        </w:rPr>
      </w:pPr>
      <w:r>
        <w:rPr>
          <w:rFonts w:hint="eastAsia" w:ascii="仿宋_GB2312" w:hAnsi="仿宋_GB2312" w:eastAsia="仿宋_GB2312" w:cs="仿宋_GB2312"/>
          <w:bCs/>
          <w:color w:val="auto"/>
          <w:sz w:val="32"/>
          <w:szCs w:val="32"/>
          <w:highlight w:val="none"/>
        </w:rPr>
        <w:t>附件1：</w:t>
      </w:r>
    </w:p>
    <w:p w14:paraId="493FD55F">
      <w:pPr>
        <w:widowControl/>
        <w:spacing w:before="100" w:beforeAutospacing="1" w:after="100" w:afterAutospacing="1" w:line="560" w:lineRule="exact"/>
        <w:jc w:val="center"/>
        <w:rPr>
          <w:rFonts w:hint="default" w:ascii="宋体" w:hAnsi="宋体" w:eastAsia="宋体" w:cs="宋体"/>
          <w:b/>
          <w:bCs w:val="0"/>
          <w:color w:val="auto"/>
          <w:sz w:val="32"/>
          <w:szCs w:val="32"/>
          <w:highlight w:val="none"/>
          <w:lang w:val="en-US" w:eastAsia="zh-CN"/>
        </w:rPr>
      </w:pPr>
      <w:r>
        <w:rPr>
          <w:rFonts w:hint="eastAsia" w:ascii="宋体" w:hAnsi="宋体" w:cs="宋体"/>
          <w:b/>
          <w:bCs w:val="0"/>
          <w:color w:val="auto"/>
          <w:sz w:val="32"/>
          <w:szCs w:val="32"/>
          <w:highlight w:val="none"/>
          <w:lang w:val="en-US" w:eastAsia="zh-CN"/>
        </w:rPr>
        <w:t>采购需求-技术要求</w:t>
      </w:r>
    </w:p>
    <w:p w14:paraId="48437AAC">
      <w:pPr>
        <w:pStyle w:val="11"/>
        <w:widowControl/>
        <w:spacing w:line="360" w:lineRule="auto"/>
        <w:ind w:firstLine="560"/>
        <w:jc w:val="left"/>
        <w:outlineLvl w:val="1"/>
        <w:rPr>
          <w:rFonts w:hint="eastAsia" w:ascii="宋体" w:hAnsi="宋体" w:eastAsia="宋体" w:cs="宋体"/>
          <w:b/>
          <w:bCs/>
          <w:color w:val="auto"/>
          <w:sz w:val="28"/>
          <w:szCs w:val="28"/>
          <w:highlight w:val="none"/>
          <w:lang w:val="en-US" w:eastAsia="zh-CN"/>
        </w:rPr>
      </w:pPr>
      <w:bookmarkStart w:id="65" w:name="_Toc3775"/>
      <w:bookmarkStart w:id="66" w:name="_Toc27038"/>
      <w:bookmarkStart w:id="67" w:name="_Toc11409"/>
      <w:bookmarkStart w:id="68" w:name="_Toc23266"/>
      <w:bookmarkStart w:id="69" w:name="_Toc28160"/>
      <w:bookmarkStart w:id="70" w:name="_Toc25554"/>
      <w:bookmarkStart w:id="71" w:name="_Toc30326"/>
      <w:bookmarkStart w:id="72" w:name="_Toc12210"/>
      <w:bookmarkStart w:id="73" w:name="OLE_LINK30"/>
      <w:bookmarkStart w:id="74" w:name="_Toc17113"/>
      <w:bookmarkStart w:id="75" w:name="_Toc86835560"/>
      <w:bookmarkStart w:id="76" w:name="_Toc1563"/>
      <w:bookmarkStart w:id="77" w:name="_Toc6214"/>
      <w:bookmarkStart w:id="78" w:name="_Toc8521"/>
      <w:bookmarkStart w:id="79" w:name="_Toc20277"/>
      <w:bookmarkStart w:id="80" w:name="_Toc24435"/>
      <w:r>
        <w:rPr>
          <w:rFonts w:hint="eastAsia" w:ascii="宋体" w:hAnsi="宋体" w:eastAsia="宋体" w:cs="宋体"/>
          <w:b/>
          <w:bCs/>
          <w:color w:val="auto"/>
          <w:sz w:val="28"/>
          <w:szCs w:val="28"/>
          <w:highlight w:val="none"/>
          <w:lang w:val="en-US" w:eastAsia="zh-CN"/>
        </w:rPr>
        <w:t>（一）指导思想</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p w14:paraId="27FABA6A">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以习近平新时代中国特色社会主义思想为指导，深入贯彻落实习近平总书记“4·13”重要讲话以及关于海南工作的重要讲话和重要指示批示精神，紧紧围绕推动三亚经济社会高质量发展、奋力打造海南自由贸易港建设新标杆，适应海南自由贸易港城乡融合的大趋势，以提升党建引领基层治理水平为主线，以信息平台和政务服务热线为支撑，以“片长+网格长+12345 热线”管理机制为基础，拓宽群众和市场主体的诉求反映渠道，快速解决诉求问题，进一步优化和改善营商环境，让人民群众生活更加幸福美好，让市场主体感受到实实在在的变化。</w:t>
      </w:r>
    </w:p>
    <w:p w14:paraId="7540A2C3">
      <w:pPr>
        <w:pStyle w:val="11"/>
        <w:widowControl/>
        <w:spacing w:line="360" w:lineRule="auto"/>
        <w:ind w:firstLine="560"/>
        <w:jc w:val="left"/>
        <w:outlineLvl w:val="1"/>
        <w:rPr>
          <w:rFonts w:hint="eastAsia" w:ascii="宋体" w:hAnsi="宋体" w:eastAsia="宋体" w:cs="宋体"/>
          <w:b/>
          <w:bCs/>
          <w:color w:val="auto"/>
          <w:sz w:val="28"/>
          <w:szCs w:val="28"/>
          <w:highlight w:val="none"/>
          <w:lang w:val="en-US" w:eastAsia="zh-CN"/>
        </w:rPr>
      </w:pPr>
      <w:bookmarkStart w:id="81" w:name="_Toc15543"/>
      <w:r>
        <w:rPr>
          <w:rFonts w:hint="eastAsia" w:ascii="宋体" w:hAnsi="宋体" w:eastAsia="宋体" w:cs="宋体"/>
          <w:b/>
          <w:bCs/>
          <w:color w:val="auto"/>
          <w:sz w:val="28"/>
          <w:szCs w:val="28"/>
          <w:highlight w:val="none"/>
          <w:lang w:val="en-US" w:eastAsia="zh-CN"/>
        </w:rPr>
        <w:t>（二）软件服务总体要求</w:t>
      </w:r>
      <w:bookmarkEnd w:id="81"/>
    </w:p>
    <w:p w14:paraId="18FB603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提供语音平台系统服务，包含多媒体呼叫中心、人工座席、自动业务、呼叫管理功能、配置管理等核心功能，提供语音平台运行必要的计算资源、网络安全三级等保及密码应用防护体系，协同客户完成工单系统与语音平台的对接及其他必要工作，满足以下性能要求：</w:t>
      </w:r>
    </w:p>
    <w:p w14:paraId="7CF27DEE">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（1）可支持100个多媒体坐席；</w:t>
      </w:r>
    </w:p>
    <w:p w14:paraId="2127AC47">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（2）坐席利用率&gt;85%；</w:t>
      </w:r>
    </w:p>
    <w:p w14:paraId="01F2AEE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（3）排队机接续故障率&lt;0.01%；</w:t>
      </w:r>
    </w:p>
    <w:p w14:paraId="4F10318E">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（4）系统忙时接通率&gt;99.5%；</w:t>
      </w:r>
    </w:p>
    <w:p w14:paraId="6DB14A9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（5）客户按键接入之后，系统响应时间&lt;1秒；</w:t>
      </w:r>
    </w:p>
    <w:p w14:paraId="325CEED3">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（6）人工到自动、自动到人工的呼转成功率&gt;99%；</w:t>
      </w:r>
    </w:p>
    <w:p w14:paraId="40D4622C">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（7）在线保留呼叫记录信息的记录不少于12个月。</w:t>
      </w:r>
    </w:p>
    <w:p w14:paraId="3941ACED">
      <w:pPr>
        <w:pStyle w:val="11"/>
        <w:widowControl/>
        <w:spacing w:line="360" w:lineRule="auto"/>
        <w:ind w:firstLine="560"/>
        <w:jc w:val="left"/>
        <w:outlineLvl w:val="1"/>
        <w:rPr>
          <w:rFonts w:hint="eastAsia" w:ascii="宋体" w:hAnsi="宋体" w:eastAsia="宋体" w:cs="宋体"/>
          <w:b/>
          <w:bCs/>
          <w:color w:val="auto"/>
          <w:sz w:val="28"/>
          <w:szCs w:val="28"/>
          <w:highlight w:val="none"/>
          <w:lang w:val="en-US" w:eastAsia="zh-CN"/>
        </w:rPr>
      </w:pPr>
      <w:bookmarkStart w:id="82" w:name="_Toc2525"/>
      <w:r>
        <w:rPr>
          <w:rFonts w:hint="eastAsia" w:ascii="宋体" w:hAnsi="宋体" w:eastAsia="宋体" w:cs="宋体"/>
          <w:b/>
          <w:bCs/>
          <w:color w:val="auto"/>
          <w:sz w:val="28"/>
          <w:szCs w:val="28"/>
          <w:highlight w:val="none"/>
          <w:lang w:val="en-US" w:eastAsia="zh-CN"/>
        </w:rPr>
        <w:t>（三）语音平台系统</w:t>
      </w:r>
      <w:bookmarkStart w:id="326" w:name="_GoBack"/>
      <w:bookmarkEnd w:id="326"/>
      <w:r>
        <w:rPr>
          <w:rFonts w:hint="eastAsia" w:ascii="宋体" w:hAnsi="宋体" w:eastAsia="宋体" w:cs="宋体"/>
          <w:b/>
          <w:bCs/>
          <w:color w:val="auto"/>
          <w:sz w:val="28"/>
          <w:szCs w:val="28"/>
          <w:highlight w:val="none"/>
          <w:lang w:val="en-US" w:eastAsia="zh-CN"/>
        </w:rPr>
        <w:t>要求</w:t>
      </w:r>
      <w:bookmarkEnd w:id="82"/>
    </w:p>
    <w:p w14:paraId="708A4235">
      <w:pPr>
        <w:pStyle w:val="11"/>
        <w:widowControl/>
        <w:spacing w:line="360" w:lineRule="auto"/>
        <w:ind w:firstLine="560"/>
        <w:jc w:val="left"/>
        <w:rPr>
          <w:rFonts w:hint="eastAsia" w:ascii="宋体" w:hAnsi="宋体" w:eastAsia="宋体" w:cs="宋体"/>
          <w:color w:val="auto"/>
          <w:sz w:val="28"/>
          <w:szCs w:val="28"/>
          <w:highlight w:val="none"/>
          <w:lang w:val="en-US" w:eastAsia="zh-CN"/>
        </w:rPr>
      </w:pPr>
      <w:bookmarkStart w:id="83" w:name="_Toc24053"/>
      <w:bookmarkStart w:id="84" w:name="_Toc4430"/>
      <w:bookmarkStart w:id="85" w:name="_Toc5026"/>
      <w:bookmarkStart w:id="86" w:name="_Toc15701"/>
      <w:bookmarkStart w:id="87" w:name="_Toc13369"/>
      <w:bookmarkStart w:id="88" w:name="_Toc30246"/>
      <w:bookmarkStart w:id="89" w:name="_Toc8205"/>
      <w:bookmarkStart w:id="90" w:name="_Toc86835562"/>
      <w:bookmarkStart w:id="91" w:name="_Toc22360"/>
      <w:bookmarkStart w:id="92" w:name="_Toc18819"/>
      <w:bookmarkStart w:id="93" w:name="_Toc27116"/>
      <w:bookmarkStart w:id="94" w:name="_Toc11223"/>
      <w:bookmarkStart w:id="95" w:name="_Toc11469"/>
      <w:bookmarkStart w:id="96" w:name="_Toc8718"/>
      <w:r>
        <w:rPr>
          <w:rFonts w:hint="eastAsia" w:ascii="宋体" w:hAnsi="宋体" w:eastAsia="宋体" w:cs="宋体"/>
          <w:color w:val="auto"/>
          <w:sz w:val="28"/>
          <w:szCs w:val="28"/>
          <w:highlight w:val="none"/>
          <w:lang w:val="en-US" w:eastAsia="zh-CN"/>
        </w:rPr>
        <w:t>(1)热线服务团队须根据采购人的要求至少配置100个卡座及话务坐席配套的电脑、线路等（根据业主实际需求无条件增减坐席配套设施，无额外费用），配置话务座席不低于100线IP软电话（含移动端许可和PC端座席许可共享）、不低于30个固定电话、不低于100线录音资源以及中继接入10线的IVR语音资源;在应急或特殊场景下（如重大自然灾害、重大公卫事件等），可提供不低于17人的虚拟团队，且根据具体班次可同时使用的IP软电话和录音资源。</w:t>
      </w:r>
    </w:p>
    <w:p w14:paraId="3F5975C0">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(2)热线服务团队需提供语音平台系统的二次业务开发能力和开放接口（含Web\APP\Windows等平台的sdk），免费为三亚市12345工单系统（及其所有子系统）、三亚各区热线工单系统、三亚各政府职能单位热线工单系统等业务系统提供相适配的功能、模块、接口等，支持采购人后续业务系统的升级和完善。</w:t>
      </w:r>
    </w:p>
    <w:p w14:paraId="2375A937">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(3)语音平台系统应具有双通道录音功能，并通过接口实现随时听取投诉的录音并进行跟踪处理，所有有关业务来话的留言录音要求保留不低于1年，并按要求存储于采购人指定的区域。</w:t>
      </w:r>
    </w:p>
    <w:p w14:paraId="28CA8CBA">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(4)基于语音平台系统上的呼入、呼出等数据（含话户数据和运营管理数据）在服务期间完全属于采购人所有，应及时提供给采购人，并按要求存储于采购人指定的区域。</w:t>
      </w:r>
    </w:p>
    <w:p w14:paraId="435B53FA">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(5)热线服务团队须及时向采购人提供三亚12345语音平台相关的系统清单文档（包括但不限于网络安全情况、软件功能参数等）；采购人有权自行采购符合工信部入网条件的设备与系统，对三亚12345语音平台进行扩展与完善（采购设备产权归采购人），热线服务团队应积极配合核心网IMS网络与12345平台接入的音视频通信对接，最大程度减少新增专线，如可复用原有网络链路或一次性技术咨询服务，则不能收取任何费用，如确需新增专线或长期租用IDC机柜服务等，则价格双方协商。</w:t>
      </w:r>
    </w:p>
    <w:p w14:paraId="01A973A0">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(6)热线服务团队的语音平台系统须提供相应端口，允许三亚市电子政务外网的网络、三亚12345工单系统（及其所有子系统）、三亚各区热线工单系统、三亚各政府职能单位热线工单系统等的接入，实现网络链路冗余，线路由采购人协调相关单位提供。热线服务团队须根据采购人实际网络需求变化进行相对应的网络和端口调整，确保业务系统正常运行。</w:t>
      </w:r>
    </w:p>
    <w:p w14:paraId="4A9887F5">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(7)需要保证三亚热线与其他各市县、省热线的坐席通话互转，确保紧急情况的话务资源统筹调配，录音文件格式与其他市县一致，至少满足VOX、WAV、MP3中的1-2种。</w:t>
      </w:r>
    </w:p>
    <w:p w14:paraId="2D71E9D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(8)确保语音平台系统至三亚坐席端的网络全程保持双路由组网模式，提供应急预案。</w:t>
      </w:r>
    </w:p>
    <w:p w14:paraId="06A02E2E">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(9)如服务采购单位基于资源整合要求需要热线服务团队配合迁移系统，热线服务团队须无条件配合，且不得收取任何费用。</w:t>
      </w:r>
    </w:p>
    <w:p w14:paraId="400569C6">
      <w:pPr>
        <w:pStyle w:val="11"/>
        <w:widowControl/>
        <w:spacing w:line="360" w:lineRule="auto"/>
        <w:ind w:firstLine="560"/>
        <w:jc w:val="left"/>
        <w:outlineLvl w:val="1"/>
        <w:rPr>
          <w:rFonts w:hint="eastAsia" w:ascii="宋体" w:hAnsi="宋体" w:eastAsia="宋体" w:cs="宋体"/>
          <w:b/>
          <w:bCs/>
          <w:color w:val="auto"/>
          <w:sz w:val="28"/>
          <w:szCs w:val="28"/>
          <w:highlight w:val="none"/>
          <w:lang w:val="en-US" w:eastAsia="zh-CN"/>
        </w:rPr>
      </w:pPr>
      <w:bookmarkStart w:id="97" w:name="_Toc7968"/>
      <w:r>
        <w:rPr>
          <w:rFonts w:hint="eastAsia" w:ascii="宋体" w:hAnsi="宋体" w:eastAsia="宋体" w:cs="宋体"/>
          <w:b/>
          <w:bCs/>
          <w:color w:val="auto"/>
          <w:sz w:val="28"/>
          <w:szCs w:val="28"/>
          <w:highlight w:val="none"/>
          <w:lang w:val="en-US" w:eastAsia="zh-CN"/>
        </w:rPr>
        <w:t>（四）总体架构</w:t>
      </w:r>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5F96386E">
      <w:pPr>
        <w:pStyle w:val="11"/>
        <w:widowControl/>
        <w:spacing w:line="360" w:lineRule="auto"/>
        <w:ind w:firstLine="560"/>
        <w:jc w:val="left"/>
        <w:outlineLvl w:val="2"/>
        <w:rPr>
          <w:rFonts w:hint="eastAsia" w:ascii="宋体" w:hAnsi="宋体" w:eastAsia="宋体" w:cs="宋体"/>
          <w:b/>
          <w:bCs/>
          <w:color w:val="auto"/>
          <w:sz w:val="28"/>
          <w:szCs w:val="28"/>
          <w:highlight w:val="none"/>
          <w:lang w:val="en-US" w:eastAsia="zh-CN"/>
        </w:rPr>
      </w:pPr>
      <w:bookmarkStart w:id="98" w:name="_Toc21130"/>
      <w:bookmarkStart w:id="99" w:name="_Toc12960"/>
      <w:bookmarkStart w:id="100" w:name="_Toc5285"/>
      <w:bookmarkStart w:id="101" w:name="_Toc9767"/>
      <w:bookmarkStart w:id="102" w:name="_Toc14815"/>
      <w:bookmarkStart w:id="103" w:name="_Toc86835563"/>
      <w:bookmarkStart w:id="104" w:name="_Toc23292"/>
      <w:bookmarkStart w:id="105" w:name="_Toc28666"/>
      <w:bookmarkStart w:id="106" w:name="_Toc28845"/>
      <w:bookmarkStart w:id="107" w:name="_Toc2607"/>
      <w:bookmarkStart w:id="108" w:name="_Toc30694"/>
      <w:bookmarkStart w:id="109" w:name="_Toc20923"/>
      <w:bookmarkStart w:id="110" w:name="_Toc14514"/>
      <w:bookmarkStart w:id="111" w:name="_Toc31783"/>
      <w:bookmarkStart w:id="112" w:name="_Toc22522"/>
      <w:bookmarkStart w:id="113" w:name="_Toc10203"/>
      <w:r>
        <w:rPr>
          <w:rFonts w:hint="eastAsia" w:ascii="宋体" w:hAnsi="宋体" w:eastAsia="宋体" w:cs="宋体"/>
          <w:b/>
          <w:bCs/>
          <w:color w:val="auto"/>
          <w:sz w:val="28"/>
          <w:szCs w:val="28"/>
          <w:highlight w:val="none"/>
          <w:lang w:val="en-US" w:eastAsia="zh-CN"/>
        </w:rPr>
        <w:t>（1）总体业务关系图</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p>
    <w:p w14:paraId="0E94849C">
      <w:pPr>
        <w:spacing w:line="360" w:lineRule="auto"/>
        <w:rPr>
          <w:rFonts w:hint="eastAsia" w:eastAsia="宋体"/>
          <w:color w:val="auto"/>
          <w:sz w:val="24"/>
          <w:szCs w:val="24"/>
          <w:highlight w:val="none"/>
          <w:lang w:eastAsia="zh-CN"/>
        </w:rPr>
      </w:pPr>
      <w:r>
        <w:rPr>
          <w:rFonts w:hint="eastAsia" w:eastAsia="宋体"/>
          <w:color w:val="auto"/>
          <w:sz w:val="24"/>
          <w:szCs w:val="24"/>
          <w:highlight w:val="none"/>
          <w:lang w:eastAsia="zh-CN"/>
        </w:rPr>
        <w:drawing>
          <wp:inline distT="0" distB="0" distL="114300" distR="114300">
            <wp:extent cx="5266055" cy="2705100"/>
            <wp:effectExtent l="0" t="0" r="10795" b="0"/>
            <wp:docPr id="3" name="图片 1" descr="1748370378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1748370378018"/>
                    <pic:cNvPicPr>
                      <a:picLocks noChangeAspect="1"/>
                    </pic:cNvPicPr>
                  </pic:nvPicPr>
                  <pic:blipFill>
                    <a:blip r:embed="rId5"/>
                    <a:stretch>
                      <a:fillRect/>
                    </a:stretch>
                  </pic:blipFill>
                  <pic:spPr>
                    <a:xfrm>
                      <a:off x="0" y="0"/>
                      <a:ext cx="5266055" cy="2705100"/>
                    </a:xfrm>
                    <a:prstGeom prst="rect">
                      <a:avLst/>
                    </a:prstGeom>
                    <a:noFill/>
                    <a:ln>
                      <a:noFill/>
                    </a:ln>
                  </pic:spPr>
                </pic:pic>
              </a:graphicData>
            </a:graphic>
          </wp:inline>
        </w:drawing>
      </w:r>
    </w:p>
    <w:p w14:paraId="2EA4C760">
      <w:pPr>
        <w:pStyle w:val="2"/>
        <w:numPr>
          <w:ilvl w:val="8"/>
          <w:numId w:val="0"/>
        </w:numPr>
        <w:tabs>
          <w:tab w:val="clear" w:pos="425"/>
        </w:tabs>
        <w:bidi w:val="0"/>
        <w:ind w:left="0" w:leftChars="0" w:firstLine="0" w:firstLineChars="0"/>
        <w:rPr>
          <w:rFonts w:hint="default"/>
          <w:color w:val="auto"/>
          <w:highlight w:val="none"/>
          <w:lang w:val="en-US" w:eastAsia="zh-CN"/>
        </w:rPr>
      </w:pPr>
      <w:r>
        <w:rPr>
          <w:rFonts w:hint="default" w:ascii="宋体" w:hAnsi="宋体" w:eastAsia="宋体" w:cs="宋体"/>
          <w:color w:val="auto"/>
          <w:kern w:val="0"/>
          <w:sz w:val="21"/>
          <w:szCs w:val="24"/>
          <w:lang w:val="en-US" w:eastAsia="zh-CN" w:bidi="ar-SA"/>
        </w:rPr>
        <w:t>图1-1</w:t>
      </w:r>
      <w:r>
        <w:rPr>
          <w:rFonts w:hint="eastAsia"/>
          <w:color w:val="auto"/>
          <w:highlight w:val="none"/>
          <w:lang w:val="en-US" w:eastAsia="zh-CN"/>
        </w:rPr>
        <w:t>总体业务关系图</w:t>
      </w:r>
    </w:p>
    <w:p w14:paraId="304AD67A">
      <w:pPr>
        <w:pStyle w:val="11"/>
        <w:widowControl/>
        <w:spacing w:line="360" w:lineRule="auto"/>
        <w:ind w:firstLine="560"/>
        <w:jc w:val="left"/>
        <w:outlineLvl w:val="2"/>
        <w:rPr>
          <w:rFonts w:hint="eastAsia" w:ascii="宋体" w:hAnsi="宋体" w:eastAsia="宋体" w:cs="宋体"/>
          <w:b/>
          <w:bCs/>
          <w:color w:val="auto"/>
          <w:sz w:val="28"/>
          <w:szCs w:val="28"/>
          <w:highlight w:val="none"/>
          <w:lang w:val="en-US" w:eastAsia="zh-CN"/>
        </w:rPr>
      </w:pPr>
      <w:bookmarkStart w:id="114" w:name="_Toc5207"/>
      <w:bookmarkStart w:id="115" w:name="_Toc28696"/>
      <w:bookmarkStart w:id="116" w:name="_Toc850"/>
      <w:bookmarkStart w:id="117" w:name="_Toc28949"/>
      <w:bookmarkStart w:id="118" w:name="_Toc12006"/>
      <w:bookmarkStart w:id="119" w:name="_Toc3564"/>
      <w:bookmarkStart w:id="120" w:name="_Toc86835564"/>
      <w:bookmarkStart w:id="121" w:name="_Toc14202"/>
      <w:bookmarkStart w:id="122" w:name="_Toc10162"/>
      <w:bookmarkStart w:id="123" w:name="_Toc16196"/>
      <w:bookmarkStart w:id="124" w:name="_Toc30549"/>
      <w:bookmarkStart w:id="125" w:name="_Toc19296"/>
      <w:bookmarkStart w:id="126" w:name="_Toc31513"/>
      <w:bookmarkStart w:id="127" w:name="_Toc11275"/>
      <w:bookmarkStart w:id="128" w:name="_Toc21473"/>
      <w:bookmarkStart w:id="129" w:name="_Toc18037"/>
      <w:r>
        <w:rPr>
          <w:rFonts w:hint="eastAsia" w:ascii="宋体" w:hAnsi="宋体" w:eastAsia="宋体" w:cs="宋体"/>
          <w:b/>
          <w:bCs/>
          <w:color w:val="auto"/>
          <w:sz w:val="28"/>
          <w:szCs w:val="28"/>
          <w:highlight w:val="none"/>
          <w:lang w:val="en-US" w:eastAsia="zh-CN"/>
        </w:rPr>
        <w:t>（2）信息化总体架构</w:t>
      </w:r>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p>
    <w:p w14:paraId="1E1AC6C4">
      <w:pPr>
        <w:pStyle w:val="11"/>
        <w:widowControl/>
        <w:spacing w:line="360" w:lineRule="auto"/>
        <w:ind w:firstLine="560"/>
        <w:jc w:val="left"/>
        <w:rPr>
          <w:rFonts w:hint="eastAsia" w:ascii="宋体" w:hAnsi="宋体" w:eastAsia="宋体" w:cs="宋体"/>
          <w:color w:val="auto"/>
          <w:sz w:val="28"/>
          <w:szCs w:val="28"/>
          <w:highlight w:val="none"/>
          <w:lang w:val="en-US" w:eastAsia="zh-CN"/>
        </w:rPr>
      </w:pPr>
      <w:bookmarkStart w:id="130" w:name="OLE_LINK106"/>
      <w:r>
        <w:rPr>
          <w:rFonts w:hint="eastAsia" w:ascii="宋体" w:hAnsi="宋体" w:eastAsia="宋体" w:cs="宋体"/>
          <w:color w:val="auto"/>
          <w:sz w:val="28"/>
          <w:szCs w:val="28"/>
          <w:highlight w:val="none"/>
          <w:lang w:val="en-US" w:eastAsia="zh-CN"/>
        </w:rPr>
        <w:t>信息化总体架构由</w:t>
      </w:r>
      <w:bookmarkStart w:id="131" w:name="OLE_LINK94"/>
      <w:r>
        <w:rPr>
          <w:rFonts w:hint="eastAsia" w:ascii="宋体" w:hAnsi="宋体" w:eastAsia="宋体" w:cs="宋体"/>
          <w:color w:val="auto"/>
          <w:sz w:val="28"/>
          <w:szCs w:val="28"/>
          <w:highlight w:val="none"/>
          <w:lang w:val="en-US" w:eastAsia="zh-CN"/>
        </w:rPr>
        <w:t>资源层</w:t>
      </w:r>
      <w:bookmarkEnd w:id="131"/>
      <w:r>
        <w:rPr>
          <w:rFonts w:hint="eastAsia" w:ascii="宋体" w:hAnsi="宋体" w:eastAsia="宋体" w:cs="宋体"/>
          <w:color w:val="auto"/>
          <w:sz w:val="28"/>
          <w:szCs w:val="28"/>
          <w:highlight w:val="none"/>
          <w:lang w:val="en-US" w:eastAsia="zh-CN"/>
        </w:rPr>
        <w:t>、平台层、中间件、软件层、应用层以及相应的标准规范体系和信息安全体系组成。</w:t>
      </w:r>
    </w:p>
    <w:p w14:paraId="2D05F392">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资源层：主要为12345政府服务热线系统平台的知识库数据和平台运行所需要的硬件设施。</w:t>
      </w:r>
    </w:p>
    <w:p w14:paraId="1C9300FB">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平台层：主要为自然语言处理、人机对话、机器学习等能力。</w:t>
      </w:r>
    </w:p>
    <w:p w14:paraId="7DB11615">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中间件：主要为对话引擎、语义引擎及本次购买的AI引擎和语音引擎。</w:t>
      </w:r>
    </w:p>
    <w:p w14:paraId="511F931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软件层：包括工单系统和本次购买的语音平台系统。</w:t>
      </w:r>
    </w:p>
    <w:p w14:paraId="7F8FA4A9">
      <w:pPr>
        <w:pStyle w:val="11"/>
        <w:widowControl/>
        <w:spacing w:line="360" w:lineRule="auto"/>
        <w:ind w:firstLine="560"/>
        <w:jc w:val="left"/>
        <w:rPr>
          <w:rFonts w:hint="default"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应用层：主要包括本次项目服务用户运营管理人员、坐席人员、信息管理人员员等。</w:t>
      </w:r>
    </w:p>
    <w:p w14:paraId="1548964B">
      <w:pPr>
        <w:pStyle w:val="11"/>
        <w:bidi w:val="0"/>
        <w:ind w:left="0" w:leftChars="0" w:firstLine="0" w:firstLineChars="0"/>
        <w:rPr>
          <w:color w:val="auto"/>
          <w:highlight w:val="none"/>
        </w:rPr>
      </w:pPr>
      <w:r>
        <w:rPr>
          <w:color w:val="auto"/>
          <w:highlight w:val="none"/>
        </w:rPr>
        <mc:AlternateContent>
          <mc:Choice Requires="wps">
            <w:drawing>
              <wp:inline distT="0" distB="0" distL="114300" distR="114300">
                <wp:extent cx="635" cy="0"/>
                <wp:effectExtent l="0" t="0" r="0" b="0"/>
                <wp:docPr id="1" name="矩形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635" cy="0"/>
                        </a:xfrm>
                        <a:prstGeom prst="rect">
                          <a:avLst/>
                        </a:prstGeom>
                        <a:noFill/>
                        <a:ln>
                          <a:noFill/>
                        </a:ln>
                      </wps:spPr>
                      <wps:bodyPr upright="1"/>
                    </wps:wsp>
                  </a:graphicData>
                </a:graphic>
              </wp:inline>
            </w:drawing>
          </mc:Choice>
          <mc:Fallback>
            <w:pict>
              <v:rect id="_x0000_s1026" o:spid="_x0000_s1026" o:spt="1" style="height:0pt;width:0.05pt;" filled="f" stroked="f" coordsize="21600,21600" o:gfxdata="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D4cJf3PAAAA/wAAAA8AAAAAAAAA&#10;AQAgAAAAIgAAAGRycy9kb3ducmV2LnhtbFBLAQIUABQAAAAIAIdO4kDypC/VqAEAAFkDAAAOAAAA&#10;AAAAAAEAIAAAAB4BAABkcnMvZTJvRG9jLnhtbFBLBQYAAAAABgAGAFkBAAA4BQAAAAA=&#10;">
                <v:fill on="f" focussize="0,0"/>
                <v:stroke on="f"/>
                <v:imagedata o:title=""/>
                <o:lock v:ext="edit" aspectratio="t"/>
                <w10:wrap type="none"/>
                <w10:anchorlock/>
              </v:rect>
            </w:pict>
          </mc:Fallback>
        </mc:AlternateContent>
      </w:r>
      <w:r>
        <w:rPr>
          <w:color w:val="auto"/>
          <w:highlight w:val="none"/>
        </w:rPr>
        <w:drawing>
          <wp:inline distT="0" distB="0" distL="114300" distR="114300">
            <wp:extent cx="5269230" cy="2976245"/>
            <wp:effectExtent l="0" t="0" r="7620" b="14605"/>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6"/>
                    <a:stretch>
                      <a:fillRect/>
                    </a:stretch>
                  </pic:blipFill>
                  <pic:spPr>
                    <a:xfrm>
                      <a:off x="0" y="0"/>
                      <a:ext cx="5269230" cy="2976245"/>
                    </a:xfrm>
                    <a:prstGeom prst="rect">
                      <a:avLst/>
                    </a:prstGeom>
                    <a:noFill/>
                    <a:ln>
                      <a:noFill/>
                    </a:ln>
                  </pic:spPr>
                </pic:pic>
              </a:graphicData>
            </a:graphic>
          </wp:inline>
        </w:drawing>
      </w:r>
    </w:p>
    <w:p w14:paraId="6DC33569">
      <w:pPr>
        <w:pStyle w:val="2"/>
        <w:numPr>
          <w:ilvl w:val="8"/>
          <w:numId w:val="0"/>
        </w:numPr>
        <w:tabs>
          <w:tab w:val="clear" w:pos="425"/>
        </w:tabs>
        <w:bidi w:val="0"/>
        <w:ind w:left="0" w:leftChars="0" w:firstLine="0" w:firstLineChars="0"/>
        <w:rPr>
          <w:rFonts w:hint="default"/>
          <w:color w:val="auto"/>
          <w:highlight w:val="none"/>
          <w:lang w:val="en-US" w:eastAsia="zh-CN"/>
        </w:rPr>
      </w:pPr>
      <w:bookmarkStart w:id="132" w:name="OLE_LINK93"/>
      <w:bookmarkStart w:id="133" w:name="_Hlk493780508"/>
      <w:r>
        <w:rPr>
          <w:rFonts w:hint="default" w:ascii="宋体" w:hAnsi="宋体" w:eastAsia="宋体" w:cs="宋体"/>
          <w:color w:val="auto"/>
          <w:kern w:val="0"/>
          <w:sz w:val="21"/>
          <w:szCs w:val="24"/>
          <w:lang w:val="en-US" w:eastAsia="zh-CN" w:bidi="ar-SA"/>
        </w:rPr>
        <w:t>图1-2</w:t>
      </w:r>
      <w:r>
        <w:rPr>
          <w:rFonts w:hint="eastAsia" w:ascii="黑体" w:hAnsi="黑体"/>
          <w:color w:val="auto"/>
          <w:szCs w:val="24"/>
          <w:highlight w:val="none"/>
          <w:lang w:val="en-US" w:eastAsia="zh-CN"/>
        </w:rPr>
        <w:t>信息化</w:t>
      </w:r>
      <w:r>
        <w:rPr>
          <w:rFonts w:hint="eastAsia" w:ascii="黑体" w:hAnsi="黑体"/>
          <w:color w:val="auto"/>
          <w:szCs w:val="24"/>
          <w:highlight w:val="none"/>
        </w:rPr>
        <w:t>总体架构</w:t>
      </w:r>
      <w:bookmarkEnd w:id="132"/>
      <w:r>
        <w:rPr>
          <w:rFonts w:hint="eastAsia" w:ascii="黑体" w:hAnsi="黑体"/>
          <w:color w:val="auto"/>
          <w:szCs w:val="24"/>
          <w:highlight w:val="none"/>
        </w:rPr>
        <w:t>示意图</w:t>
      </w:r>
    </w:p>
    <w:bookmarkEnd w:id="130"/>
    <w:bookmarkEnd w:id="133"/>
    <w:p w14:paraId="5DC1B7B3">
      <w:pPr>
        <w:pStyle w:val="11"/>
        <w:widowControl/>
        <w:spacing w:line="360" w:lineRule="auto"/>
        <w:ind w:firstLine="560"/>
        <w:jc w:val="left"/>
        <w:outlineLvl w:val="1"/>
        <w:rPr>
          <w:rFonts w:hint="default" w:ascii="宋体" w:hAnsi="宋体" w:eastAsia="宋体" w:cs="宋体"/>
          <w:b/>
          <w:bCs/>
          <w:color w:val="auto"/>
          <w:sz w:val="28"/>
          <w:szCs w:val="28"/>
          <w:highlight w:val="none"/>
          <w:lang w:val="en-US" w:eastAsia="zh-CN"/>
        </w:rPr>
      </w:pPr>
      <w:bookmarkStart w:id="134" w:name="_Toc11301"/>
      <w:bookmarkStart w:id="135" w:name="_Toc15509"/>
      <w:bookmarkStart w:id="136" w:name="_Toc16046"/>
      <w:bookmarkStart w:id="137" w:name="_Toc544"/>
      <w:bookmarkStart w:id="138" w:name="_Toc27344"/>
      <w:bookmarkStart w:id="139" w:name="_Toc18702"/>
      <w:bookmarkStart w:id="140" w:name="_Toc86835565"/>
      <w:bookmarkStart w:id="141" w:name="_Toc5847"/>
      <w:bookmarkStart w:id="142" w:name="_Toc29719"/>
      <w:bookmarkStart w:id="143" w:name="_Toc32352"/>
      <w:bookmarkStart w:id="144" w:name="_Toc14745"/>
      <w:bookmarkStart w:id="145" w:name="_Toc22750"/>
      <w:bookmarkStart w:id="146" w:name="_Toc28601"/>
      <w:bookmarkStart w:id="147" w:name="_Toc23559"/>
      <w:bookmarkStart w:id="148" w:name="_Toc7331"/>
      <w:r>
        <w:rPr>
          <w:rFonts w:hint="eastAsia" w:ascii="宋体" w:hAnsi="宋体" w:eastAsia="宋体" w:cs="宋体"/>
          <w:b/>
          <w:bCs/>
          <w:color w:val="auto"/>
          <w:sz w:val="28"/>
          <w:szCs w:val="28"/>
          <w:highlight w:val="none"/>
          <w:lang w:val="en-US" w:eastAsia="zh-CN"/>
        </w:rPr>
        <w:t>（五）服务支撑</w:t>
      </w:r>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r>
        <w:rPr>
          <w:rFonts w:hint="eastAsia" w:ascii="宋体" w:hAnsi="宋体" w:eastAsia="宋体" w:cs="宋体"/>
          <w:b/>
          <w:bCs/>
          <w:color w:val="auto"/>
          <w:sz w:val="28"/>
          <w:szCs w:val="28"/>
          <w:highlight w:val="none"/>
          <w:lang w:val="en-US" w:eastAsia="zh-CN"/>
        </w:rPr>
        <w:t>要求</w:t>
      </w:r>
      <w:bookmarkEnd w:id="148"/>
    </w:p>
    <w:p w14:paraId="75E91AC7">
      <w:pPr>
        <w:pStyle w:val="11"/>
        <w:widowControl/>
        <w:spacing w:line="360" w:lineRule="auto"/>
        <w:ind w:firstLine="560"/>
        <w:jc w:val="left"/>
        <w:outlineLvl w:val="2"/>
        <w:rPr>
          <w:rFonts w:hint="eastAsia" w:ascii="宋体" w:hAnsi="宋体" w:eastAsia="宋体" w:cs="宋体"/>
          <w:b/>
          <w:bCs/>
          <w:color w:val="auto"/>
          <w:sz w:val="28"/>
          <w:szCs w:val="28"/>
          <w:highlight w:val="none"/>
          <w:lang w:val="en-US" w:eastAsia="zh-CN"/>
        </w:rPr>
      </w:pPr>
      <w:bookmarkStart w:id="149" w:name="_Toc6348"/>
      <w:bookmarkStart w:id="150" w:name="_Toc21245"/>
      <w:bookmarkStart w:id="151" w:name="_Toc2593"/>
      <w:bookmarkStart w:id="152" w:name="_Toc12644"/>
      <w:bookmarkStart w:id="153" w:name="_Toc21344"/>
      <w:bookmarkStart w:id="154" w:name="_Toc27884"/>
      <w:bookmarkStart w:id="155" w:name="_Toc15170"/>
      <w:bookmarkStart w:id="156" w:name="_Toc86835567"/>
      <w:bookmarkStart w:id="157" w:name="_Toc17010"/>
      <w:bookmarkStart w:id="158" w:name="_Toc4621"/>
      <w:bookmarkStart w:id="159" w:name="_Toc5258"/>
      <w:bookmarkStart w:id="160" w:name="_Toc10037"/>
      <w:bookmarkStart w:id="161" w:name="_Toc7519"/>
      <w:bookmarkStart w:id="162" w:name="_Toc27266"/>
      <w:bookmarkStart w:id="163" w:name="_Toc17489"/>
      <w:bookmarkStart w:id="164" w:name="_Toc19417"/>
      <w:r>
        <w:rPr>
          <w:rFonts w:hint="eastAsia" w:ascii="宋体" w:hAnsi="宋体" w:eastAsia="宋体" w:cs="宋体"/>
          <w:b/>
          <w:bCs/>
          <w:color w:val="auto"/>
          <w:sz w:val="28"/>
          <w:szCs w:val="28"/>
          <w:highlight w:val="none"/>
          <w:lang w:val="en-US" w:eastAsia="zh-CN"/>
        </w:rPr>
        <w:t>（1）语音平台系统服务</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p>
    <w:p w14:paraId="4E43FD8D">
      <w:pPr>
        <w:pStyle w:val="11"/>
        <w:widowControl/>
        <w:spacing w:line="360" w:lineRule="auto"/>
        <w:ind w:firstLine="560"/>
        <w:jc w:val="left"/>
        <w:rPr>
          <w:rFonts w:hint="default"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1.作为热线服务团队的“资源”，服务热线服务团队，完成基本呼入信息采集、排队、呼叫管理等功能，满足热线坐席的基本应用和运营需求。</w:t>
      </w:r>
    </w:p>
    <w:p w14:paraId="00F65B6F">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2.政务服务的核心交互枢纽</w:t>
      </w:r>
    </w:p>
    <w:p w14:paraId="484D294A">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作为市民与政府沟通的桥梁，承载电话咨询、投诉举报、民生服务等核心功能，是 三亚市12345 热线的 “神经中枢”。</w:t>
      </w:r>
    </w:p>
    <w:p w14:paraId="5DCECAB0">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在三亚市 12345 系统中，语音平台系统连接 107 台坐席终端，与工单系统、知识库等模块协同，实现市民诉求的高效受理与流转。</w:t>
      </w:r>
    </w:p>
    <w:p w14:paraId="3A91AAF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3.多渠道融合的服务入口</w:t>
      </w:r>
    </w:p>
    <w:p w14:paraId="148F3EA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集成语音、短信、微信、APP 等多种接入方式，形成 “一号响应、多级联动” 的政务服务网络。</w:t>
      </w:r>
    </w:p>
    <w:p w14:paraId="70129219">
      <w:pPr>
        <w:pStyle w:val="11"/>
        <w:widowControl/>
        <w:spacing w:line="360" w:lineRule="auto"/>
        <w:ind w:firstLine="560"/>
        <w:jc w:val="left"/>
        <w:outlineLvl w:val="2"/>
        <w:rPr>
          <w:rFonts w:hint="default" w:ascii="宋体" w:hAnsi="宋体" w:eastAsia="宋体" w:cs="宋体"/>
          <w:b/>
          <w:bCs/>
          <w:color w:val="auto"/>
          <w:sz w:val="28"/>
          <w:szCs w:val="28"/>
          <w:highlight w:val="none"/>
          <w:lang w:val="en-US" w:eastAsia="zh-CN"/>
        </w:rPr>
      </w:pPr>
      <w:bookmarkStart w:id="165" w:name="_Toc12878"/>
      <w:bookmarkStart w:id="166" w:name="_Toc13841"/>
      <w:bookmarkStart w:id="167" w:name="_Toc32024"/>
      <w:bookmarkStart w:id="168" w:name="_Toc16043"/>
      <w:bookmarkStart w:id="169" w:name="_Toc14110"/>
      <w:bookmarkStart w:id="170" w:name="_Toc461"/>
      <w:bookmarkStart w:id="171" w:name="_Toc3317"/>
      <w:bookmarkStart w:id="172" w:name="_Toc11000"/>
      <w:bookmarkStart w:id="173" w:name="_Toc8005"/>
      <w:bookmarkStart w:id="174" w:name="_Toc25411"/>
      <w:bookmarkStart w:id="175" w:name="_Toc16819"/>
      <w:bookmarkStart w:id="176" w:name="_Toc20721"/>
      <w:bookmarkStart w:id="177" w:name="_Toc9942"/>
      <w:bookmarkStart w:id="178" w:name="_Toc3833"/>
      <w:r>
        <w:rPr>
          <w:rFonts w:hint="eastAsia" w:ascii="宋体" w:hAnsi="宋体" w:eastAsia="宋体" w:cs="宋体"/>
          <w:b/>
          <w:bCs/>
          <w:color w:val="auto"/>
          <w:sz w:val="28"/>
          <w:szCs w:val="28"/>
          <w:highlight w:val="none"/>
          <w:lang w:val="en-US" w:eastAsia="zh-CN"/>
        </w:rPr>
        <w:t>（2）系统功能服务</w:t>
      </w:r>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1F7A8093">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采用国产化技术路线，系统功能如下：</w:t>
      </w:r>
    </w:p>
    <w:tbl>
      <w:tblPr>
        <w:tblStyle w:val="8"/>
        <w:tblW w:w="4999"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6"/>
        <w:gridCol w:w="1374"/>
        <w:gridCol w:w="6420"/>
      </w:tblGrid>
      <w:tr w14:paraId="006026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8" w:space="0"/>
              <w:left w:val="single" w:color="000000" w:sz="8" w:space="0"/>
              <w:bottom w:val="single" w:color="000000" w:sz="4" w:space="0"/>
              <w:right w:val="single" w:color="000000" w:sz="4" w:space="0"/>
            </w:tcBorders>
            <w:shd w:val="clear" w:color="auto" w:fill="F2F2F2"/>
            <w:noWrap w:val="0"/>
            <w:vAlign w:val="center"/>
          </w:tcPr>
          <w:p w14:paraId="07244384">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序号</w:t>
            </w:r>
          </w:p>
        </w:tc>
        <w:tc>
          <w:tcPr>
            <w:tcW w:w="806" w:type="pct"/>
            <w:tcBorders>
              <w:top w:val="single" w:color="000000" w:sz="8" w:space="0"/>
              <w:left w:val="single" w:color="000000" w:sz="4" w:space="0"/>
              <w:bottom w:val="single" w:color="000000" w:sz="4" w:space="0"/>
              <w:right w:val="nil"/>
            </w:tcBorders>
            <w:shd w:val="clear" w:color="auto" w:fill="F2F2F2"/>
            <w:noWrap w:val="0"/>
            <w:vAlign w:val="center"/>
          </w:tcPr>
          <w:p w14:paraId="72891CE9">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名  称</w:t>
            </w:r>
          </w:p>
        </w:tc>
        <w:tc>
          <w:tcPr>
            <w:tcW w:w="3767" w:type="pct"/>
            <w:tcBorders>
              <w:top w:val="single" w:color="000000" w:sz="8" w:space="0"/>
              <w:left w:val="single" w:color="000000" w:sz="8" w:space="0"/>
              <w:bottom w:val="single" w:color="000000" w:sz="4" w:space="0"/>
              <w:right w:val="single" w:color="000000" w:sz="4" w:space="0"/>
            </w:tcBorders>
            <w:shd w:val="clear" w:color="auto" w:fill="F2F2F2"/>
            <w:noWrap w:val="0"/>
            <w:vAlign w:val="center"/>
          </w:tcPr>
          <w:p w14:paraId="415D8632">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功能描述</w:t>
            </w:r>
          </w:p>
        </w:tc>
      </w:tr>
      <w:tr w14:paraId="13A070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A2A813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一</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5CB5D5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语音平台系统</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6695957">
            <w:pPr>
              <w:pStyle w:val="12"/>
              <w:rPr>
                <w:rFonts w:hint="eastAsia" w:ascii="宋体" w:hAnsi="宋体" w:eastAsia="宋体" w:cs="宋体"/>
                <w:color w:val="auto"/>
                <w:sz w:val="21"/>
                <w:szCs w:val="21"/>
                <w:highlight w:val="none"/>
              </w:rPr>
            </w:pPr>
          </w:p>
        </w:tc>
      </w:tr>
      <w:tr w14:paraId="4C68E6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76DD90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4BA54F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多媒体呼叫中心</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4F2BF6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多媒体呼叫中心不仅支持语音呼叫的接入，还支持视频呼叫、Email、Web，Fax、SMS、MMS、WAP等多种媒体接入，形成以语音、文字、图像等多种媒体的组合为客户提供多通道服务的呼叫中心。用户可以同时通过语音、图像、文字多种形式与呼叫中心的业务代表进行交互，极大的拓宽了用户与业务代表之间信息交互的空间，提高了信息交互的效率。</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多媒体呼叫中心支持对多媒体呼叫统一排队和路由。</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•各类型媒体的呼叫可统一地被服务，进行包括路由、排队等处理。</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•各类型的媒体呼叫进入呼叫中心后，系统都会像处理普通语音呼叫一样，按照呼叫中心配置的呼叫路由策略，进行统一排队，统一路由。</w:t>
            </w:r>
          </w:p>
        </w:tc>
      </w:tr>
      <w:tr w14:paraId="2218EF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2AD438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2F2F956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Web集成呼叫中心</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FFE4FC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Web集成呼叫中心（Web Enabled Call Center，简称WECC），就是对Internet上的用户，支持通过Web方式接入呼叫中心，充分利用Web、IP技术，以多种媒体的组合为客户提供服务。</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IPCC系统同Internet紧密集成在一起IPCC系统提供了基于Web浏览器的Internet用户端。用户通过Internet第一次访问站点即可获得客户端程序。当用户通过Internet登录到支持WECC功能的Web主页时，可以通过IP电话、文字、图像多种方式同呼叫中心的业务代表进行Web交互，包括发起/停止文字交谈、发起/停止点击通话、发起/停止护航浏览、发起/停止回呼请求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文字交谈具有以下几方面特点：</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•文字交谈呼叫可以在业务代表之间转移，当其转移时，协同的辅助媒体呼叫可以一同转移。</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•文字交谈呼叫可以被监察（质检员可以看到文字交谈内容）。</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•用户可以预先定制常用的语句，以便文字交谈时提高文字编辑速度。</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•对交谈的内容可以定时长录制、全程录制，可以对录制的内容进行回放。</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•支持离线留言，即当业务代表没有上班时，用户可通过离线留言方式提供一个联系方式并写明存在的问题，业务代表会按照用户留下的联系方式在稍后给予答复。</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•支持即时交谈外呼，即对网站登录访客发起即时交谈外呼，主动与用户通话，进行营销活动。</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•在文字交谈结束后，业务代表可以对用户进行补充答复。当用户连接到系统后，座席会得到用户在线状态通知，并将补充答复信息即时推送给用户。</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•文字交谈、短消息、Email等消息类呼叫支持话务员和客户之间一对多交流。</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点击通话具有以下几方面特点：</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点击通话，是指Internet用户在访问呼叫中心网页时，可以通过单击该主页上的按钮向呼叫中心发起Internet呼叫，呼叫应答后Internet用户即可同呼叫中心的业务代表进行语音和视频交流。发起点击通话时可以选择只发起音频呼叫，还是发起音视频呼叫。</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点击通话功能和普通呼叫功能的目的都是实现音视频交互，但点击通话在呼叫接入前通过Internet接入到SoftACD，音视频媒体流以IP数据包传送。</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回呼请求具有以下几方面特点：</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回呼请求，是指Internet用户在浏览呼叫中心网页时，如果需要与呼叫中心取得联系，可以通过该网页的“回呼请求”服务（例如单击“回呼请求”按钮），然后输入特服号码，即可由呼叫中心分配一个业务代表，由该业务代表向用户指定的电话发起呼叫。如果用户端具有视频能力，则呼通接通后，Web用户可以接受业务代表的视频和语音指导，否则只能接收业务代表的语音指导。同时Web用户还可以享受到护航浏览等其他服务。用户由主叫方变为被叫方，也就免掉拨打该电话的费用，而由服务方来承担话费。</w:t>
            </w:r>
          </w:p>
        </w:tc>
      </w:tr>
      <w:tr w14:paraId="6F5DBF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98098E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2D8837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集群呼叫中心</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63E5F98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•各节点的呼叫处理能力相比传统的单节点呼叫中心能力成倍增加。参考目前全省语音平台的并发数为2000，普通语音的并发呼叫个数≥2000。</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•支持从媒体接入层、业务支撑层和业务实现层实现系统的容灾保护。</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•支持数据统一配置，各节点配置数据自动同步到数据管理中心。</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•支持统一监控，即同时监控CTI Pool中所有设备的运行状态和话务统计数据。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•支持座席资源在CTI Pool内进行统一分配。</w:t>
            </w:r>
          </w:p>
        </w:tc>
      </w:tr>
      <w:tr w14:paraId="5944EA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89F5EF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2239C21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388896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人工座席就是业务代表通过座席与IPCC系统交互完成呼叫的处理，为客户提供各种业务的人工服务。</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IPCC系统支持PC+Phone座席、单电话座席、PC+Phone视频座席、单电话视频座席、IP座席等。其中音频座席也可以服务视频用户，视频座席也可以服务音频用户。</w:t>
            </w:r>
          </w:p>
        </w:tc>
      </w:tr>
      <w:tr w14:paraId="483EDE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3AB956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9DC1F6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人工座席-签入</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F9B5C9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签入媒体服务器，签入排队机，表示业务代表上班。签入成功后，呼叫中心才会给该业务代表分配呼叫。</w:t>
            </w:r>
          </w:p>
        </w:tc>
      </w:tr>
      <w:tr w14:paraId="39973F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5FCD5F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013BD7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人工座席-签出</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23C691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签出媒体服务器，签出排队机，表示业务代表下班。签出成功后，呼叫中心不会给该业务代表分配呼叫。</w:t>
            </w:r>
          </w:p>
        </w:tc>
      </w:tr>
      <w:tr w14:paraId="0472AC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1BCC6B2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510FFFD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人工座席-应答</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862C33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当系统分配一个呼叫到座席时，业务代表可以利用此功能应答该呼叫，应答成功后，业务代表同客户开始通话。</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如果是两方视频通话（例如A、B两方），则视频画面显示结果是：A看到B（单画面显示），B看到A（单画面显示）。</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业务代表可以设置应答的模式：自动应答和人工应答。•在自动应答模式下，若有呼叫进入，系统将自动接通此座席，无须业务代表操作。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•在人工应答模式下，呼叫分配给座席时将请求业务代表应答，业务代表需手工操作。</w:t>
            </w:r>
          </w:p>
        </w:tc>
      </w:tr>
      <w:tr w14:paraId="273F7E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7939D4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17DDF9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人工座席-释放</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13A926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业务代表挂机，将呼叫释放，呼叫释放后座席处于空闲状态，可以继续接听来话。</w:t>
            </w:r>
          </w:p>
        </w:tc>
      </w:tr>
      <w:tr w14:paraId="4434DD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88ED24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9</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2CF57F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人工座席-示忙</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7A283C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座席示忙后，将不再被分配来话，但可以呼出、被监听和插入。</w:t>
            </w:r>
          </w:p>
        </w:tc>
      </w:tr>
      <w:tr w14:paraId="3E698D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E9713E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10</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DE526D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人工座席-示闲</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B57355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座席示闲后，可被分配来话。</w:t>
            </w:r>
          </w:p>
        </w:tc>
      </w:tr>
      <w:tr w14:paraId="1A2987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C7C57C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11</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3ABCB6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人工座席-休息</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DE715A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业务代表可以请求休息，休息后不会分配来话。</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休息与示忙的区别在于，休息需要申请并获得批准、可以设置休息的时间。</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业务代表申请休息成功的必要条件是：此座席处理的呼叫队列中请求休息的座席数目小于设置的最大可休息座席数。如果申请没有立即得到批准，可以排队等待休息，待系统允许其休息时将发休息通知。</w:t>
            </w:r>
          </w:p>
        </w:tc>
      </w:tr>
      <w:tr w14:paraId="21A8EE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C6C5B6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12</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0DF0E6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人工座席-内部呼叫</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A5C5B4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内部呼叫是指一个业务代表向另一个业务代表发起呼叫并实现通话。内部呼叫不能被保持、不能被转出、不能被静音。</w:t>
            </w:r>
          </w:p>
        </w:tc>
      </w:tr>
      <w:tr w14:paraId="4D7D13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B4CE47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13</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BB9DB1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人工座席-内部求助</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B6BC0E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业务代表在接听来话的时候，可以发起内部求助。内部求助分为两方求助和三方求助。</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如果是两方求助，当客户的呼叫被保持，业务代表和被求助的业务代表通话，内部求助切换后客户与业务代表通话，被求助业务代表被保持；再次内部求助切换后，业务代表和被求助业务代表通话，客户被保持。</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如果是三方求助，用户、业务代表和被求助的业务代表三方通话。在两方求助的情况，可以通过再发起三方求助进行三方通话。如果是视频座席进行三方求助，则会形成三方视频通话。</w:t>
            </w:r>
          </w:p>
        </w:tc>
      </w:tr>
      <w:tr w14:paraId="4F7B73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C53043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14</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526B4B7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人工座席-呼叫转移</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938365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将来话转移到其他的业务代表、队列、自动流程或接入码。如果存在协作呼叫，相应的协作呼叫也一起同步转移。</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不同的呼叫转移的对象，支持不同的呼叫转移方式。</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•转业务代表：支持释放转、成功转、指定转、合并转。</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•转自动流程：支持挂起转和释放转。</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•转队列：支持成功转和释放转。</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•转接入码：支持成功转和释放转。</w:t>
            </w:r>
          </w:p>
        </w:tc>
      </w:tr>
      <w:tr w14:paraId="4FD1F2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90533E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15</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D1098B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人工座席-保持呼叫</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AB3D96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保持呼叫是指业务代表在通话的过程中，将呼叫保持起来，此时客户听到保持音乐，待需要的时候在将该呼叫取出，继续通话。业务代表将当前呼叫保持后可以进行呼出，但不能继续接听来话。</w:t>
            </w:r>
          </w:p>
        </w:tc>
      </w:tr>
      <w:tr w14:paraId="230D6E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029810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16</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2FEEA0D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人工座席-连接保持</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6C602E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业务代表可以把保持的呼叫与当前接通的另一方连接起来，然后业务代表自动释放，可继续接收来话。</w:t>
            </w:r>
          </w:p>
        </w:tc>
      </w:tr>
      <w:tr w14:paraId="1B9DAA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B4354D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17</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5F31033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人工座席-三方通话</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BD7314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一个业务代表同其他两个客户或两个业务代表同一个客户同时通话称为三方通话。在三方通话的情况下，如果一方挂机，另两方仍可继续通话。</w:t>
            </w:r>
          </w:p>
        </w:tc>
      </w:tr>
      <w:tr w14:paraId="44AA56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F882D6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18</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825D5E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人工座席-静音</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784BD67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用户无法听到业务代表的声音，但业务代表可以听见用户的声音。</w:t>
            </w:r>
          </w:p>
        </w:tc>
      </w:tr>
      <w:tr w14:paraId="0EB02B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1D88DCB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19</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4BF1D0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人工座席-转出</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1FCDD6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转出是指将呼叫转至一指定电话。转出包括四种方式，释放转、成功转、通话转、三方通话转，具体请参见表2。</w:t>
            </w:r>
          </w:p>
        </w:tc>
      </w:tr>
      <w:tr w14:paraId="045C16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7E34A7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20</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5F4DE48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人工座席-前转</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1B6B97C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前转是指不管座席是否空闲，呼叫直接转移到设置的前转设备上。</w:t>
            </w:r>
          </w:p>
        </w:tc>
      </w:tr>
      <w:tr w14:paraId="1F8C65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91F5A7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21</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596F10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人工座席-忙转</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C359CF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忙转是指该座席忙时，呼叫直接转移到忙转设备上。</w:t>
            </w:r>
          </w:p>
        </w:tc>
      </w:tr>
      <w:tr w14:paraId="7A4F50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1AE0EC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22</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D34270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人工座席-呼出</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611DB04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呼出是指业务代表呼叫某电话号码，实现通话。</w:t>
            </w:r>
          </w:p>
        </w:tc>
      </w:tr>
      <w:tr w14:paraId="407D4B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65585F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23</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23E65E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人工座席-代答</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72F7CC5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座席在振铃或其他接触媒体呼叫到达等待应答时，同组的另一业务代表（有代答权限）可将此呼叫转移至自己的座席。原有呼叫的数据、用户信息等可与呼叫同步转移，处于协作状态的多种接触媒体呼叫可以同步转移。</w:t>
            </w:r>
          </w:p>
        </w:tc>
      </w:tr>
      <w:tr w14:paraId="339CBC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77C118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24</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2D666DE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人工座席-进入工作态</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ADA3EE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工作态是座席的一种状态，座席进入工作态后不分配来话。工作态与示忙类似，座席处于工作态时可以接收内部呼叫，而示忙时不可以接收内部呼叫。</w:t>
            </w:r>
          </w:p>
        </w:tc>
      </w:tr>
      <w:tr w14:paraId="7D13E4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90B386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25</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DD7F4C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人工座席-退出工作态</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1F3504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座席退出工作态后可以继续接收来话。</w:t>
            </w:r>
          </w:p>
        </w:tc>
      </w:tr>
      <w:tr w14:paraId="26665C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504F4A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26</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C61725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人工座席-设置呼叫数据</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439061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业务代表可以为呼叫设置附加信息，在呼叫转移时，这些信息随同呼叫同步转移。</w:t>
            </w:r>
          </w:p>
        </w:tc>
      </w:tr>
      <w:tr w14:paraId="187CDA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0EC9E59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27</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2415B7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人工座席-发起护航浏览</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B06DFD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护航浏览是指将客户浏览的网页与业务代表的网页同步，或将业务代表浏览的网页与客户的网页同步。同步时，双方在浏览器上将看到同样的网页。在其他Web呼叫存在的情况下，业务代表可以主动发起护航浏览呼叫。</w:t>
            </w:r>
          </w:p>
        </w:tc>
      </w:tr>
      <w:tr w14:paraId="35F2B7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DC0641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28</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2CBC86E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人工座席-设置护航浏览参数</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A690A9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设置护航浏览的模式、标记同步模式、表单共享模式。</w:t>
            </w:r>
          </w:p>
        </w:tc>
      </w:tr>
      <w:tr w14:paraId="76263B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E945BA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29</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64DAFB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人工座席-推送网页</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46DC02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客户网页同步业务代表网页。</w:t>
            </w:r>
          </w:p>
        </w:tc>
      </w:tr>
      <w:tr w14:paraId="37A903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39AA90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30</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F8D194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人工座席-发起文字交谈</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67DCB6A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文字交谈是指业务代表同客户进行文字交流。在其他Web呼叫存在的情况下，业务代表可以主动发起文字交谈。</w:t>
            </w:r>
          </w:p>
        </w:tc>
      </w:tr>
      <w:tr w14:paraId="695024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472F6A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31</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6596B0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人工座席-发布公告</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DB7849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给指定业务代表发布公告信息。</w:t>
            </w:r>
          </w:p>
        </w:tc>
      </w:tr>
      <w:tr w14:paraId="240396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10678E8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32</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2C1F66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人工座席-发送便签</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A9E1E1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给某个业务代表发送便签。</w:t>
            </w:r>
          </w:p>
        </w:tc>
      </w:tr>
      <w:tr w14:paraId="6F6300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ED43CD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33</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37C456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人工座席-呼叫转移/转出方式</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8A863B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成功转：</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呼叫转移或转出的一种方式。</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如果采用成功转，系统监视呼叫转移/转出过程，成功后业务代表才释放呼叫。</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挂起转：如果采用挂起转将呼叫转移到某自动流程，该流程处理完呼叫后将呼叫转回原座席继续处理。</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合并转：呼叫转移的一种方式。是指将语音呼叫转到某座席，该座席正在处理非语音媒体呼叫。</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三方通话转：如果采用三方通话转，系统监视转出过程，被叫应答后实现三方通话，业务代表释放呼叫。</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释放转：如果采用释放转，不管呼叫转移/转出是否成功，业务代表均释放呼叫。</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通话转：如果采用通话转，系统监视呼叫转出过程，被叫应答并和业务代表通话，业务代表释放呼叫。</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指定转：是指将语音呼叫转移到指定的座席的私有队列中。只有转移目的座席处于通话态时，指定转才能成功。</w:t>
            </w:r>
          </w:p>
        </w:tc>
      </w:tr>
      <w:tr w14:paraId="2C645B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C68A71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34</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EB7C3D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自动业务-放音功能</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17A482F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IPCC系统通过语音VRU（Voice Response Unit）单元实现对用户放音功能。</w:t>
            </w:r>
          </w:p>
        </w:tc>
      </w:tr>
      <w:tr w14:paraId="7E23D0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EEE223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35</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8F6E31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自动业务-录音功能</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87261F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录制指定文件录音。录制指定文件时，流程必须给出指定文件名，并且此文件的内容在被流程显式删除或修改之前一直有效。</w:t>
            </w:r>
          </w:p>
        </w:tc>
      </w:tr>
      <w:tr w14:paraId="78A372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4F47C0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36</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FD58C8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自动业务-数据库操作</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1DEE54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IVR通过数据库代理ApLogic实现了对数据库中数据的存取功能。</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IVR作为客户端，负责把用户相应的数据请求通过调用应用逻辑层（即数据库代理）的组件传递给数据服务层（即具体的数据库管理系统）。</w:t>
            </w:r>
          </w:p>
        </w:tc>
      </w:tr>
      <w:tr w14:paraId="3A29FD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4FDE67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37</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7EB510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自动业务-收号</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1D1B920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在业务流程中，收号是常用的功能。利用收号功能可以接收用户输入的证件号码、电话号码、密码、日期、时间、答案、按键选择</w:t>
            </w:r>
          </w:p>
        </w:tc>
      </w:tr>
      <w:tr w14:paraId="7A0928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676A94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38</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5A9089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自动业务-呼出</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77F94F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当在以下情况时，业务流程需主动呼出。</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•呼叫普通用户</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•设置摘机通知</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•取消摘机通知</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•自动寻呼机通知</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IVR提供了主动呼出的功能。可以指定呼出的被叫号码和主叫号码。</w:t>
            </w:r>
          </w:p>
        </w:tc>
      </w:tr>
      <w:tr w14:paraId="396FFF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1974B3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39</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203F23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自动业务-流程的重加载</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6F7AA2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在IVR运行过程中，用户可以加载新的流程，也可以重新加载已有流程。</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•在流程重加载过程中，如果已经有该呼叫的实例正在运行，则新流程在下次启动该流程的实例时生效。</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•如果系统配置的业务流程有变动，可以重新读入业务配置及流程文件数据，并在信息列表中显示流程文件的加载情况。</w:t>
            </w:r>
          </w:p>
        </w:tc>
      </w:tr>
      <w:tr w14:paraId="6614C3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A8ED6A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40</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EE4DA0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自动业务-智能路由</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6765CB8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IRC提供智能路由脚本的解释，实现用户自定义路由策略。</w:t>
            </w:r>
          </w:p>
        </w:tc>
      </w:tr>
      <w:tr w14:paraId="55FDA9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090B86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41</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0E5113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自动业务-人工/自动互转</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BE1F02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一般呼叫接入后，通常先转到IVR，利用IVR的功能对用户进行引导，收集用户信息，为用户提供指定的服务。当用户需要人工台服务时，就需要将呼叫以及用户数据转到相应的人工台。IVR提供了丰富的功能以支持呼叫在人工台与IVR之间的转移</w:t>
            </w:r>
          </w:p>
        </w:tc>
      </w:tr>
      <w:tr w14:paraId="74B857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9C0835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42</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D99F6D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自动业务-业务转移</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E90C14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业务流程在运行过程中，根据实际情况，有时需要从当前业务转移到其他业务。业务转移是在一个IVR内部不同流程之间进行转移。例如：从自动呼叫接入主流程，转移到话费查询流程。</w:t>
            </w:r>
          </w:p>
        </w:tc>
      </w:tr>
      <w:tr w14:paraId="3996D5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004C40C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43</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7F3016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自动业务-呼叫重定向</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709FF7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呼出一个指定被叫，并将呼入方与呼出方连接起来使其通话并释放对此呼叫的控制权。</w:t>
            </w:r>
          </w:p>
        </w:tc>
      </w:tr>
      <w:tr w14:paraId="08C8FF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15C087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44</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82CCFB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智能识别</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B8A576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CTI智能识别提供的功能如下：•人工业务：◾智能识别策略配置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运维人员通过CTI在VDN范围内，对识别基本参数和座席识别标志进行配置。运维人员通过CTI在系统范围内，对订阅客户端IP进行配置，CTI只接收已配置的客户端IP。</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◾座席通话场景下的识别控制</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根据座席识别标志对座席通话过程中产生的呼叫根据场景按个体分别进行识别控制（启动或停止）。</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◾业务识别服务事件订阅与事件上报，且支持对订阅任务进行查询、监视和统计分析</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业务识别系统通过CTI，对关注的识别事件进行订阅。</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•自动业务：CTI平台按照统一接口模式提供IVR SCE接口。接口包括激活语法功能。业务可以调用并定制IVR SCE接口。</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智能识别支持的平台与业务组网包括IPCC（IP Contact Center）的Single模式、IPCC的Pool模式和NIRC（多平台多UAP）。</w:t>
            </w:r>
          </w:p>
        </w:tc>
      </w:tr>
      <w:tr w14:paraId="0C96CD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7F2980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45</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02D2CD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互联网话音业务系统</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58459C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•提供IVML标准语言，供SP开发互联网语音业务。</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•协助VOC完成SP的RestFulAPI接口能力。</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•提供VOC完成SP的短信接入和发送功能。</w:t>
            </w:r>
          </w:p>
        </w:tc>
      </w:tr>
      <w:tr w14:paraId="7CBE76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5E0EA1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46</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A6F409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呼叫管理功能-呼叫接入</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44DA6C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呼叫的接入：</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•支持多个呼叫接入码</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只要在Web配置台和排队机数据管理台中设置了系统的接入码（如1000、180、114等），拨打这些号码的呼叫就可以接入呼叫中心系统。</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•接入号码灵活</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系统需要处理的被叫及拨号均可在配置台中设置。每个被叫及拨号和某个用户级别唯一对应一个服务需求，服务需求包括IVR自动流程、技能队列和座席。</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•处理智能化</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在进行被叫及拨号匹配过程中可以采用缩位匹配的方式。</w:t>
            </w:r>
          </w:p>
        </w:tc>
      </w:tr>
      <w:tr w14:paraId="00B1D8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DCBFB7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47</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7FF320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呼叫管理功能-呼叫路由处理-技能路由处理</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749D001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技能路由就是通过对呼叫的被叫号码进行分析，得出呼叫的路由目的地，寻求呼叫和座席（技能队列）之间的匹配。系统提供技能最佳匹配、平均分配和技能多者优先三种匹配方式。路由计算的目的地分别有呼叫技能队列、座席和IVR自动流程。</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系统提供技能最佳匹配、平均分配、技能多者优先以及按技能水平等几种座席分配方式。保证每个呼叫能够被分配到最合适的座席；保证具有相同技能种类和水平级需求的呼叫能实现先到先服务；支持具有相同技能种类和水平级的座席能实现空闲时间最长的优先分配来话。</w:t>
            </w:r>
          </w:p>
        </w:tc>
      </w:tr>
      <w:tr w14:paraId="6756FD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16031AA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48</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754B61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呼叫管理功能-呼叫路由处理-智能路由处理</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AEFCEB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智能路由采用用户自定义脚本的方式，在对呼叫进行路由时执行该脚本，获得呼叫的路由目的地，然后将呼叫分配到目的设备。包括按用户信息路由、按时间路由以及其他各种特定算法的路由。</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智能路由实现了不同用户级别可以得到不同的服务，未处理完呼叫可以继续分配给原座席处理，具有相同技能需求的用户，级别高的排队优先级高。</w:t>
            </w:r>
          </w:p>
        </w:tc>
      </w:tr>
      <w:tr w14:paraId="4C5EB5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BE9178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49</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C3729D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呼叫管理功能-呼叫排队处理-先到先服务</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0FEAED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不能立即得到座席服务的呼叫需要排队等待。具有相同业务需求、相同客户级别的呼叫，保证先来先服务。</w:t>
            </w:r>
          </w:p>
        </w:tc>
      </w:tr>
      <w:tr w14:paraId="1C479F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E29A33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50</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2302110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呼叫管理功能-呼叫排队处理-先闲先受话</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C79A97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具有相同技能的座席，呼叫进入时优先分配给空闲时间最长的座席。</w:t>
            </w:r>
          </w:p>
        </w:tc>
      </w:tr>
      <w:tr w14:paraId="614DD8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01F8622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51</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7067AE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呼叫管理功能-呼叫排队处理-队列忙转功能</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77C23D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系统能设置各种设备的忙转功能，包括技能队列的忙转功能。比如，座席忙时，如果设置了忙转，则呼叫将转移到设置的忙转设备。</w:t>
            </w:r>
          </w:p>
        </w:tc>
      </w:tr>
      <w:tr w14:paraId="6ECD76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AD8D00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52</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9790E2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呼叫管理功能-呼叫排队处理-排队超时释放/转移</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786653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可在系统设置呼叫允许最大排队时间。超过排队时间的呼叫根据配置台设置可以释放，也可以转接到其他设备。</w:t>
            </w:r>
          </w:p>
        </w:tc>
      </w:tr>
      <w:tr w14:paraId="13E299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6D6E70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53</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C14B44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呼叫管理功能-呼叫排队处理-排队溢出释放/转移</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7F069E6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可以配置每个呼叫队列允许排队的呼叫数目，超过此数目后的呼叫可以释放或者转接到其他设备处理。</w:t>
            </w:r>
          </w:p>
        </w:tc>
      </w:tr>
      <w:tr w14:paraId="23C2E2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38DD7F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54</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2BC5FDD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呼叫管理功能-呼叫排队处理-取消排队</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D57AFE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呼叫进入排队系统后，可以按取消排队键取消排队。取消排队后，该呼叫可以转移到其他设备。</w:t>
            </w:r>
          </w:p>
        </w:tc>
      </w:tr>
      <w:tr w14:paraId="238CEF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F6EB37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55</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6D3B54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呼叫管理功能-呼叫排队处理-特殊用户排队优先</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708934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具有相同业务需求的用户，特殊的用户有较高的排队优先级。</w:t>
            </w:r>
          </w:p>
        </w:tc>
      </w:tr>
      <w:tr w14:paraId="1589F4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461CC1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56</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FA793E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呼叫管理功能-呼叫排队处理-长途电话优先</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42C8AC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具有相同业务需求的用户，具有相同级别的客户，长途客户比本地客户的排队优先级高。</w:t>
            </w:r>
          </w:p>
        </w:tc>
      </w:tr>
      <w:tr w14:paraId="785D25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17761B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57</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B68085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呼叫管理功能-呼叫排队处理-排队转自动流程</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75E33F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用户在排队的时候可以转到自动流程进行处理，当得到座席服务时连同从自动流程收集的信息一起转到座席。</w:t>
            </w:r>
          </w:p>
        </w:tc>
      </w:tr>
      <w:tr w14:paraId="2BF7B6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67D713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58</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5358FA1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呼叫管理功能-呼叫排队处理-报原声录音</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CD14B1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可以将业务代表进行原声录音，当来话接入座席前，为用户播放业务代表的原声录音。</w:t>
            </w:r>
          </w:p>
        </w:tc>
      </w:tr>
      <w:tr w14:paraId="0B60DA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BECC0C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59</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2E79EED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呼叫管理功能-呼叫排队处理-放排队语音</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1426033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系统可以设置呼叫进入排队系统后，播放的等待音或视频文件。</w:t>
            </w:r>
          </w:p>
        </w:tc>
      </w:tr>
      <w:tr w14:paraId="5A6FFB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999113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60</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9F2633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呼叫管理功能-呼叫排队处理-放超时语音</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1E1F440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系统可设置排队等待超时后的语音或视频文件。</w:t>
            </w:r>
          </w:p>
        </w:tc>
      </w:tr>
      <w:tr w14:paraId="009435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4F4E7C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61</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97BE16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呼叫管理功能-呼叫排队处理-报估计等待时间</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32491D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系统可以设置是否报估计等待时间。如果设置了“报等待时间前”和“报等待时间后”的语音，则呼叫进入排队系统后，排队时间超过15秒就给其报“报等待时间前+预计时间+报等待时间后 ”合成语音。</w:t>
            </w:r>
          </w:p>
        </w:tc>
      </w:tr>
      <w:tr w14:paraId="449E32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CD160E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62</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51D902D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呼叫管理功能-呼叫排队处理-报应答音</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1D64C0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当呼叫被分配到座席台时，在业务代表与用户谈话前，可以给用户放音。</w:t>
            </w:r>
          </w:p>
        </w:tc>
      </w:tr>
      <w:tr w14:paraId="0E7096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1731C9E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63</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B0BC39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呼叫管理功能-呼叫排队处理-放取消排队语音</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166FDEA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系统可设置取消排队的语音。</w:t>
            </w:r>
          </w:p>
        </w:tc>
      </w:tr>
      <w:tr w14:paraId="71414D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178FE1D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64</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541A65A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呼叫管理功能-呼叫排队处理-放静音语音</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73A0DD3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系统可以设置在静音时给用户播放的提示音。</w:t>
            </w:r>
          </w:p>
        </w:tc>
      </w:tr>
      <w:tr w14:paraId="542431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4DB829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65</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027F86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呼叫管理功能-呼叫排队处理-放保持等待音</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1ABBDC5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系统可以设置在将用户保持时给用户播放的等待提示音或视频文件。</w:t>
            </w:r>
          </w:p>
        </w:tc>
      </w:tr>
      <w:tr w14:paraId="4F9B1A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28003D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66</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0D30A8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呼叫管理功能-呼叫转移-IVR路由转队列/座席</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30FCCF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呼叫在自动流程中完成收号后，请求路由转移到对应的座席或者队列。</w:t>
            </w:r>
          </w:p>
        </w:tc>
      </w:tr>
      <w:tr w14:paraId="613308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32DD41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67</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354195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呼叫管理功能-呼叫转移-IVR求助转队列/座席</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FD4BA1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呼叫在自动流程中按求助键求助转移到技能队列或者座席，座席释放后呼叫可转回自动流程继续服务</w:t>
            </w:r>
          </w:p>
        </w:tc>
      </w:tr>
      <w:tr w14:paraId="422B6B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07E1432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68</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56A0581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呼叫管理功能-呼叫转移-座席转IVR</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1BCF8B3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业务代表可以将呼叫转移到IVR，由IVR继续提供服务</w:t>
            </w:r>
          </w:p>
        </w:tc>
      </w:tr>
      <w:tr w14:paraId="735435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05C3299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69</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F62995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呼叫管理功能-呼叫转移-座席转队列/座席</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182838F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业务代表可以将呼叫转移到其他座席进行处理</w:t>
            </w:r>
          </w:p>
        </w:tc>
      </w:tr>
      <w:tr w14:paraId="20E231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A843BC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70</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C76800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呼叫管理功能-呼叫转移-队列转队列/座席/IVR</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4687C3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呼叫在队列中排队时，可以按取消排队键，转移到设置的设备(其他队列/座席/VR)上为其服务。</w:t>
            </w:r>
          </w:p>
        </w:tc>
      </w:tr>
      <w:tr w14:paraId="64417B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08D6C7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71</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9F895E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呼叫管理功能-呼叫接续-呼叫的应答</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0199A3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呼叫被分配给座席后，业务代表应答呼叫。在开始通话前，根据配置台设置，可以为呼叫播放各种当前语音。包括报工号语音、报礼貌问候语和原声录音。</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呼叫分配给一个座席，业务代表不应答，超过设置的最大不应答时间后，该座席将被自动示忙。</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•如果座席设置了忙转，则呼叫转移到设置的忙转设备上，继续服务。</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•如果没有设置忙转设备，则呼叫将重新进入原来呼叫队列排队，等待重新分配业务代表为其服务，排队的优先级别最高。</w:t>
            </w:r>
          </w:p>
        </w:tc>
      </w:tr>
      <w:tr w14:paraId="281383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900DB0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72</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85D240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呼叫管理功能-呼叫接续-呼叫的保持</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474933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业务代表开始通话后，为了进行呼出、三方通话、求助等操作时，可以将当前呼叫挂起（保持）。只有保持此呼叫的座席才能取回该被保持呼叫。</w:t>
            </w:r>
          </w:p>
        </w:tc>
      </w:tr>
      <w:tr w14:paraId="006617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962587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73</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D716C4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呼叫管理功能-呼叫接续-呼叫的释放</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A4257B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业务代表通话完毕主动收线即为释放呼叫。在主动释放呼叫时，可以根据设置，为呼叫播放释放前语音。</w:t>
            </w:r>
          </w:p>
        </w:tc>
      </w:tr>
      <w:tr w14:paraId="528C5CF8">
        <w:tblPrEx>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15FDB5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74</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BD19A3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呼叫管理功能-呼叫接续-呼叫的转出</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E4AB51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在处理呼叫的过程中，因某种原因需要将呼叫转到某个电话上处理时，可以利用转出功能。</w:t>
            </w:r>
          </w:p>
        </w:tc>
      </w:tr>
      <w:tr w14:paraId="731AAE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9AA355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75</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B06164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呼叫管理功能-呼叫接续-接听指走呼叫</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D6D1EC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业务代表在示忙或工作态时，可以该功能接听指定的呼叫。</w:t>
            </w:r>
          </w:p>
        </w:tc>
      </w:tr>
      <w:tr w14:paraId="5F939A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D4737A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76</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220891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呼叫管理功能-呼叫信息与用户数据</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6A542AF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 xml:space="preserve">与呼叫数据主要包括：在本次呼叫生命周期内的呼叫数据、呼叫用户的资料、呼叫访问系统的历史轨迹等。 </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在本次呼叫生命周期内的呼叫信息主要包括用户主叫、被叫等与呼叫数据信息。</w:t>
            </w:r>
          </w:p>
        </w:tc>
      </w:tr>
      <w:tr w14:paraId="03B0BB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7D83EE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77</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BEC8E0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呼叫管理功能-呼叫轨迹与话单</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6D45190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 xml:space="preserve">呼叫进入系统后，每个时刻均处于某个设备上。系统的设备包括IVR、队列和座席。呼叫的轨迹就是呼叫在系统中经过的每个设备的情况。 </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 xml:space="preserve">在取呼叫信息时，将返回呼叫经过的所有设备的情况。 </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在呼叫生命周期结束时，系统将根据呼叫的轨迹整理成原始话单。</w:t>
            </w:r>
          </w:p>
        </w:tc>
      </w:tr>
      <w:tr w14:paraId="3E2643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FA765E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78</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4DC049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预占用呼出</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05B3D1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系统首先占用某空闲座席，然后才发起呼出，成功后由该座席处理。</w:t>
            </w:r>
          </w:p>
        </w:tc>
      </w:tr>
      <w:tr w14:paraId="050242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AD1EFA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79</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4A72E4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分层服务</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EDE80C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•同一被叫服务设备不同</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拨入同一特服号码的用户，可以根据其客户群的不同，为其指定不同的服务设备。例如：对于重要客户，可以设置专门的重要客户队列，对于普通客户，可以设置服务设备为自动流程。</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•不同队列接入策略不同</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 xml:space="preserve">当不同呼叫进入相应的队列后，可以为队列设置不同的接入策略，可以通过设置保证重要队列优先接入。可以根据需要，为技能队列设置不同的期望接通率和最低接通率以及接入策略。 </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 xml:space="preserve">当所有队列实时接通率大于期望接通率时，可以设置的策略包括：最高期望优先。 </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当多个队列实时接通率小于期望接通率时，可以设置的策略包括：最高期望优先。</w:t>
            </w:r>
          </w:p>
        </w:tc>
      </w:tr>
      <w:tr w14:paraId="4E6156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7860A2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80</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C65F92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配置管理</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85532E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配置管理系统通常称为Web配置台，用于设置呼叫中心正常运行所需要的各种参数，具体包括：</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•系统配置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系统配置功能提供对整个系统级的信息的管理。包括基本模块IP地址、IVR、数据库代理配置等项的配置。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•虚拟呼叫中心配置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系统通过接入码来区分某个呼叫所属的虚拟呼叫中心，同时也允许多个系统接入码属于同一虚拟呼叫中心。</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在虚拟呼叫中心可对某个虚拟呼叫中心系统的各项参数进行配置及管理，这些参数包括虚拟呼叫中心基本信息、技能队列、业务代表所属的班组及其技能、自动流程等。在虚拟呼叫中心管理台只能配置与本虚拟呼叫中心的运行参数。</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•网络呼叫中心配置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网络呼叫中心的配置也是在Web配置台实现的，可以对网络呼叫中心数据进行配置，包括数据库客户端配置配置等。</w:t>
            </w:r>
          </w:p>
        </w:tc>
      </w:tr>
      <w:tr w14:paraId="329492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A57D24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81</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32B02F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统计显示</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EFA5E5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在指定的时间段对当前全部业务代表情况进行统计，分为三种：</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•摘要数据统计 统计当前进入本虚拟呼叫中心所有呼叫媒体的总的呼叫数目、最大等待时长、队列中等待的呼叫数目。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•呼叫数据统计 统计本虚拟呼叫中心各种呼叫媒体的当前平均通话时长、呼叫总次数、久不应答数目、平均等待时长。</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•座席数据统计 统计当前系统本虚拟呼叫中心各种呼叫媒体正在通话的业务代表（座席）数目、处于应答状态的业务代表数目、空闲的业务代表数目、其他状态的业务代表数目，以及签入上班的业务代表数目、示忙／闲的业务代表数目等。</w:t>
            </w:r>
          </w:p>
        </w:tc>
      </w:tr>
      <w:tr w14:paraId="5F5B3C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10DC50F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82</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11F118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监视</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81DA0A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通过协议跟踪，显示出被监视业务代表（可以是多位）所处理呼叫的各种状态。</w:t>
            </w:r>
          </w:p>
        </w:tc>
      </w:tr>
      <w:tr w14:paraId="5376AF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CF1A37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83</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88EAB3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监听/监察</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3A156B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监察所有流经指定业务代表的媒体数据流，对语音来说即是监听，对其他媒体呼叫称之为监察。例如，通过监察正在处理文字交谈的业务代表，质检员能监察到双方交谈的内容。</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对正在视频通话的业务代表进行监察，质检员能听到业务代表和用户通话的声音，以及看到业务代表和用户的视频画面。且质检员在监察状况下可以切换到插入状况，或者在插入状况下切换到监察状况。</w:t>
            </w:r>
          </w:p>
        </w:tc>
      </w:tr>
      <w:tr w14:paraId="57DDB3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0EC2DED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84</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5EF00E6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插入</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5EB8854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以多方通话方式强行加入业务代表的通话中，对多种接触媒体呼叫也可以插入，例如，对文字交谈的插入即加入正在进行的文字交谈，其前提是被插入业务代表已在文字交谈。</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对正在视频通话的业务代表进行插入，可以形成质检员、业务代表和用户的三方视频通话。如果由于质检员插入，导致超过4方通话，则视频中仅显示先加入通话的四方的画面。</w:t>
            </w:r>
          </w:p>
        </w:tc>
      </w:tr>
      <w:tr w14:paraId="371D3E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7FE7CD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85</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01F8B6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强制签出</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108165F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质检员强行将指定业务代表签出，被签出业务代表必须重新签入后方可继续接受新的呼叫请求，某一质检员不能强制签出另一质检员。</w:t>
            </w:r>
          </w:p>
        </w:tc>
      </w:tr>
      <w:tr w14:paraId="277EC2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375075B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86</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46DE82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拦截</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090BEA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质检员正在监察某业务代表时可以将该业务代表的多种接触媒体呼叫拦截。也可以拦截被保持的语音呼叫。</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质检员在监察某业务代表时可以对该业务代表的视频呼叫进行拦截。拦截成功后，由质检员与被拦截呼叫用户进行视频通话，原业务代表失去对被拦截呼叫的控制权。</w:t>
            </w:r>
          </w:p>
        </w:tc>
      </w:tr>
      <w:tr w14:paraId="2C4A69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9E1E1A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87</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B43CD3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强制示忙</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C8D0D0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将指定业务代表示忙，如业务代表不取消示忙，该座席将不再接来话，也不处理其他接触媒体呼叫。</w:t>
            </w:r>
          </w:p>
        </w:tc>
      </w:tr>
      <w:tr w14:paraId="6B34AD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4B3F29F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88</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14CA151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强制示闲</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3EDD56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将指定业务代表示闲，以使该座席可接来话和其他接触媒体呼叫。</w:t>
            </w:r>
          </w:p>
        </w:tc>
      </w:tr>
      <w:tr w14:paraId="585C67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2C4E51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89</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3FB997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强制释放</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1FB127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质检员强行使处于通话态的业务代表释放呼叫。</w:t>
            </w:r>
          </w:p>
        </w:tc>
      </w:tr>
      <w:tr w14:paraId="7CDCC1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36C77D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90</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059343F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录音/录制文件管理</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4B63B1D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可按照主叫、质检员工号、接触媒体呼叫种类以及录音／录制的时间段在服务器上搜索录音／录制的文件，并备份／删除文件。</w:t>
            </w:r>
          </w:p>
        </w:tc>
      </w:tr>
      <w:tr w14:paraId="1F0568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78DD041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91</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DCB27C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业务代表基本信息浏览</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3DA4BA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浏览业务代表的姓名、工号、技能队列、当前主要状态（如业务代表正在通话、通话的呼叫信息，处理其他接触媒体呼叫的状态）等。</w:t>
            </w:r>
          </w:p>
        </w:tc>
      </w:tr>
      <w:tr w14:paraId="272F36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52D1891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92</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4645312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实时话单</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B2E58D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实时话单是指通过DCS（Data Collection Server）将呼叫中心平台的CCS话单和媒体话单实时入库到业务侧的实时报表数据库中，以便监控系统和报表系统实时调用。</w:t>
            </w:r>
          </w:p>
        </w:tc>
      </w:tr>
      <w:tr w14:paraId="07492F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16333BC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93</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799635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报表</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6060FBF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报表是在呼叫中心平台原始话单日志和座席考勤日志的基础上提供的二次统计报表。主要是针对呼叫中心平台中的设备进行数据分析，以指导运营商最大限度利用呼叫中心资源，更好的服务于用户。</w:t>
            </w:r>
          </w:p>
        </w:tc>
      </w:tr>
      <w:tr w14:paraId="5E82C1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689B046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94</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77AB53C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座席接口</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317DB6B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IPCC组网下，只支持PC+Phone座席。PC机处理座席的接续和业务，电话作为座席的语音通道。电话可以为传统的PSTN电话也可以是VoIP电话。</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当采用VoIP电话时，可以为UAP下注册的电话，也可以为NGN网络中的电话。</w:t>
            </w:r>
          </w:p>
        </w:tc>
      </w:tr>
      <w:tr w14:paraId="6ABDFF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0CA82C4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95</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6706B7AB">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人工座席业务接口</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08179DC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IPCC系统人工业务接口供第三方业务系统来调用，第三方业务系统通过调用人工业务的接口实现座席的接续等操作。</w:t>
            </w:r>
          </w:p>
        </w:tc>
      </w:tr>
      <w:tr w14:paraId="455971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426" w:type="pct"/>
            <w:tcBorders>
              <w:top w:val="single" w:color="000000" w:sz="4" w:space="0"/>
              <w:left w:val="single" w:color="000000" w:sz="4" w:space="0"/>
              <w:bottom w:val="single" w:color="000000" w:sz="4" w:space="0"/>
              <w:right w:val="single" w:color="000000" w:sz="4" w:space="0"/>
            </w:tcBorders>
            <w:noWrap w:val="0"/>
            <w:vAlign w:val="center"/>
          </w:tcPr>
          <w:p w14:paraId="2E46A59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96</w:t>
            </w:r>
          </w:p>
        </w:tc>
        <w:tc>
          <w:tcPr>
            <w:tcW w:w="806" w:type="pct"/>
            <w:tcBorders>
              <w:top w:val="single" w:color="000000" w:sz="4" w:space="0"/>
              <w:left w:val="single" w:color="000000" w:sz="4" w:space="0"/>
              <w:bottom w:val="single" w:color="000000" w:sz="4" w:space="0"/>
              <w:right w:val="single" w:color="000000" w:sz="4" w:space="0"/>
            </w:tcBorders>
            <w:noWrap w:val="0"/>
            <w:vAlign w:val="center"/>
          </w:tcPr>
          <w:p w14:paraId="3804797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语音存储</w:t>
            </w:r>
          </w:p>
        </w:tc>
        <w:tc>
          <w:tcPr>
            <w:tcW w:w="3767" w:type="pct"/>
            <w:tcBorders>
              <w:top w:val="single" w:color="000000" w:sz="4" w:space="0"/>
              <w:left w:val="single" w:color="000000" w:sz="4" w:space="0"/>
              <w:bottom w:val="single" w:color="000000" w:sz="4" w:space="0"/>
              <w:right w:val="single" w:color="000000" w:sz="4" w:space="0"/>
            </w:tcBorders>
            <w:noWrap w:val="0"/>
            <w:vAlign w:val="center"/>
          </w:tcPr>
          <w:p w14:paraId="20038E9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根据当前话务量及话务增加预计等，1年预计一共需要1.5TB存储空间，存储历史语音数据。异地备份。</w:t>
            </w:r>
          </w:p>
        </w:tc>
      </w:tr>
    </w:tbl>
    <w:p w14:paraId="7ED86384">
      <w:pPr>
        <w:pStyle w:val="11"/>
        <w:bidi w:val="0"/>
        <w:ind w:firstLine="0" w:firstLineChars="0"/>
        <w:rPr>
          <w:rFonts w:hint="eastAsia"/>
          <w:color w:val="auto"/>
          <w:highlight w:val="none"/>
        </w:rPr>
      </w:pPr>
    </w:p>
    <w:p w14:paraId="17ADF232">
      <w:pPr>
        <w:pStyle w:val="11"/>
        <w:widowControl/>
        <w:spacing w:line="360" w:lineRule="auto"/>
        <w:ind w:firstLine="560"/>
        <w:jc w:val="left"/>
        <w:outlineLvl w:val="2"/>
        <w:rPr>
          <w:rFonts w:hint="default" w:ascii="宋体" w:hAnsi="宋体" w:eastAsia="宋体" w:cs="宋体"/>
          <w:b/>
          <w:bCs/>
          <w:color w:val="auto"/>
          <w:sz w:val="28"/>
          <w:szCs w:val="28"/>
          <w:highlight w:val="none"/>
          <w:lang w:val="en-US" w:eastAsia="zh-CN"/>
        </w:rPr>
      </w:pPr>
      <w:bookmarkStart w:id="179" w:name="_Toc3324"/>
      <w:bookmarkStart w:id="180" w:name="_Toc5214"/>
      <w:bookmarkStart w:id="181" w:name="_Toc22708"/>
      <w:bookmarkStart w:id="182" w:name="_Toc2585"/>
      <w:bookmarkStart w:id="183" w:name="OLE_LINK99"/>
      <w:r>
        <w:rPr>
          <w:rFonts w:hint="eastAsia" w:ascii="宋体" w:hAnsi="宋体" w:eastAsia="宋体" w:cs="宋体"/>
          <w:b/>
          <w:bCs/>
          <w:color w:val="auto"/>
          <w:sz w:val="28"/>
          <w:szCs w:val="28"/>
          <w:highlight w:val="none"/>
          <w:lang w:val="en-US" w:eastAsia="zh-CN"/>
        </w:rPr>
        <w:t>（3）系统服务要求</w:t>
      </w:r>
      <w:bookmarkEnd w:id="179"/>
      <w:bookmarkEnd w:id="180"/>
      <w:bookmarkEnd w:id="181"/>
      <w:bookmarkEnd w:id="182"/>
    </w:p>
    <w:bookmarkEnd w:id="183"/>
    <w:p w14:paraId="3DFCFCF5">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服务商需在满足系统功能的要求上，提供语音平台运行所必要的底层能力（如：语音网关）。</w:t>
      </w:r>
    </w:p>
    <w:p w14:paraId="77C97661">
      <w:pPr>
        <w:pStyle w:val="11"/>
        <w:widowControl/>
        <w:spacing w:line="360" w:lineRule="auto"/>
        <w:ind w:firstLine="560"/>
        <w:jc w:val="left"/>
        <w:rPr>
          <w:rFonts w:hint="default"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服务商需</w:t>
      </w:r>
      <w:r>
        <w:rPr>
          <w:rFonts w:hint="default" w:ascii="宋体" w:hAnsi="宋体" w:eastAsia="宋体" w:cs="宋体"/>
          <w:color w:val="auto"/>
          <w:sz w:val="28"/>
          <w:szCs w:val="28"/>
          <w:highlight w:val="none"/>
          <w:lang w:val="en-US" w:eastAsia="zh-CN"/>
        </w:rPr>
        <w:t>提供</w:t>
      </w:r>
      <w:r>
        <w:rPr>
          <w:rFonts w:hint="eastAsia" w:ascii="宋体" w:hAnsi="宋体" w:eastAsia="宋体" w:cs="宋体"/>
          <w:color w:val="auto"/>
          <w:sz w:val="28"/>
          <w:szCs w:val="28"/>
          <w:highlight w:val="none"/>
          <w:lang w:val="en-US" w:eastAsia="zh-CN"/>
        </w:rPr>
        <w:t>服务期内的</w:t>
      </w:r>
      <w:r>
        <w:rPr>
          <w:rFonts w:hint="default" w:ascii="宋体" w:hAnsi="宋体" w:eastAsia="宋体" w:cs="宋体"/>
          <w:color w:val="auto"/>
          <w:sz w:val="28"/>
          <w:szCs w:val="28"/>
          <w:highlight w:val="none"/>
          <w:lang w:val="en-US" w:eastAsia="zh-CN"/>
        </w:rPr>
        <w:t>软件运维服务、三级等保安全防护能力、三级商用密码应用防护能力、协助完成工单系统的对接，根据客户要求完成其他需要开展的服务</w:t>
      </w:r>
      <w:r>
        <w:rPr>
          <w:rFonts w:hint="eastAsia" w:ascii="宋体" w:hAnsi="宋体" w:eastAsia="宋体" w:cs="宋体"/>
          <w:color w:val="auto"/>
          <w:sz w:val="28"/>
          <w:szCs w:val="28"/>
          <w:highlight w:val="none"/>
          <w:lang w:val="en-US" w:eastAsia="zh-CN"/>
        </w:rPr>
        <w:t>。</w:t>
      </w:r>
    </w:p>
    <w:p w14:paraId="2BB101AD">
      <w:pPr>
        <w:pStyle w:val="11"/>
        <w:widowControl/>
        <w:spacing w:line="360" w:lineRule="auto"/>
        <w:ind w:firstLine="560"/>
        <w:jc w:val="left"/>
        <w:outlineLvl w:val="1"/>
        <w:rPr>
          <w:rFonts w:hint="eastAsia" w:ascii="宋体" w:hAnsi="宋体" w:eastAsia="宋体" w:cs="宋体"/>
          <w:b/>
          <w:bCs/>
          <w:color w:val="auto"/>
          <w:sz w:val="28"/>
          <w:szCs w:val="28"/>
          <w:highlight w:val="none"/>
          <w:lang w:val="en-US" w:eastAsia="zh-CN"/>
        </w:rPr>
      </w:pPr>
      <w:bookmarkStart w:id="184" w:name="_Toc86835568"/>
      <w:bookmarkStart w:id="185" w:name="_Toc24358"/>
      <w:bookmarkStart w:id="186" w:name="_Toc19765"/>
      <w:bookmarkStart w:id="187" w:name="_Toc18138"/>
      <w:bookmarkStart w:id="188" w:name="_Toc27782"/>
      <w:bookmarkStart w:id="189" w:name="_Toc16018"/>
      <w:bookmarkStart w:id="190" w:name="_Toc18040"/>
      <w:bookmarkStart w:id="191" w:name="_Toc9681"/>
      <w:bookmarkStart w:id="192" w:name="_Toc28774"/>
      <w:bookmarkStart w:id="193" w:name="_Toc21598"/>
      <w:bookmarkStart w:id="194" w:name="_Toc200"/>
      <w:bookmarkStart w:id="195" w:name="_Toc26375"/>
      <w:bookmarkStart w:id="196" w:name="_Toc11864"/>
      <w:bookmarkStart w:id="197" w:name="_Toc11259"/>
      <w:bookmarkStart w:id="198" w:name="_Toc4579"/>
      <w:bookmarkStart w:id="199" w:name="OLE_LINK82"/>
      <w:r>
        <w:rPr>
          <w:rFonts w:hint="eastAsia" w:ascii="宋体" w:hAnsi="宋体" w:eastAsia="宋体" w:cs="宋体"/>
          <w:b/>
          <w:bCs/>
          <w:color w:val="auto"/>
          <w:sz w:val="28"/>
          <w:szCs w:val="28"/>
          <w:highlight w:val="none"/>
          <w:lang w:val="en-US" w:eastAsia="zh-CN"/>
        </w:rPr>
        <w:t>（六）业务协同</w:t>
      </w:r>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r>
        <w:rPr>
          <w:rFonts w:hint="eastAsia" w:ascii="宋体" w:hAnsi="宋体" w:eastAsia="宋体" w:cs="宋体"/>
          <w:b/>
          <w:bCs/>
          <w:color w:val="auto"/>
          <w:sz w:val="28"/>
          <w:szCs w:val="28"/>
          <w:highlight w:val="none"/>
          <w:lang w:val="en-US" w:eastAsia="zh-CN"/>
        </w:rPr>
        <w:t>要求</w:t>
      </w:r>
      <w:bookmarkEnd w:id="198"/>
    </w:p>
    <w:bookmarkEnd w:id="199"/>
    <w:p w14:paraId="6003AA38">
      <w:pPr>
        <w:pStyle w:val="11"/>
        <w:widowControl/>
        <w:spacing w:line="360" w:lineRule="auto"/>
        <w:ind w:firstLine="560"/>
        <w:jc w:val="left"/>
        <w:rPr>
          <w:rFonts w:hint="eastAsia" w:ascii="宋体" w:hAnsi="宋体" w:eastAsia="宋体" w:cs="宋体"/>
          <w:color w:val="auto"/>
          <w:sz w:val="28"/>
          <w:szCs w:val="28"/>
          <w:highlight w:val="none"/>
          <w:lang w:val="en-US" w:eastAsia="zh-CN"/>
        </w:rPr>
      </w:pPr>
      <w:bookmarkStart w:id="200" w:name="OLE_LINK96"/>
      <w:r>
        <w:rPr>
          <w:rFonts w:hint="eastAsia" w:ascii="宋体" w:hAnsi="宋体" w:eastAsia="宋体" w:cs="宋体"/>
          <w:color w:val="auto"/>
          <w:sz w:val="28"/>
          <w:szCs w:val="28"/>
          <w:highlight w:val="none"/>
          <w:lang w:val="en-US" w:eastAsia="zh-CN"/>
        </w:rPr>
        <w:t>本项目所产生的数据主要为热线来电信息和通话录音数据，需与工单平台完成对接，提供该类数据，以保障质检及直通联办等派单业务协同</w:t>
      </w:r>
      <w:bookmarkEnd w:id="200"/>
      <w:r>
        <w:rPr>
          <w:rFonts w:hint="eastAsia" w:ascii="宋体" w:hAnsi="宋体" w:eastAsia="宋体" w:cs="宋体"/>
          <w:color w:val="auto"/>
          <w:sz w:val="28"/>
          <w:szCs w:val="28"/>
          <w:highlight w:val="none"/>
          <w:lang w:val="en-US" w:eastAsia="zh-CN"/>
        </w:rPr>
        <w:t>。</w:t>
      </w:r>
    </w:p>
    <w:p w14:paraId="47275EC7">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考虑本项目数据源在语音平台系统（包含电话、录音等数据），应用于工单系统（语音平台系统基于电信通话技术实现，不做页面的展示与处理，工单系统基于web技术进行开发，因此需在web界面上进行电话条的开发，比如接听、挂机、转接、三方通话等功能），顾需工单系统基于语音平台系统接口进行对接，获取相关通话数据，比如来电数据、接通量等，才得以进行相关数据的加工及处理。</w:t>
      </w:r>
    </w:p>
    <w:p w14:paraId="1D261B52">
      <w:pPr>
        <w:pStyle w:val="11"/>
        <w:widowControl/>
        <w:spacing w:line="360" w:lineRule="auto"/>
        <w:ind w:firstLine="560"/>
        <w:jc w:val="left"/>
        <w:outlineLvl w:val="1"/>
        <w:rPr>
          <w:rFonts w:hint="eastAsia" w:ascii="宋体" w:hAnsi="宋体" w:eastAsia="宋体" w:cs="宋体"/>
          <w:b/>
          <w:bCs/>
          <w:color w:val="auto"/>
          <w:sz w:val="28"/>
          <w:szCs w:val="28"/>
          <w:highlight w:val="none"/>
          <w:lang w:val="en-US" w:eastAsia="zh-CN"/>
        </w:rPr>
      </w:pPr>
      <w:bookmarkStart w:id="201" w:name="_Toc21328"/>
      <w:bookmarkStart w:id="202" w:name="_Toc2168"/>
      <w:bookmarkStart w:id="203" w:name="_Toc14270"/>
      <w:bookmarkStart w:id="204" w:name="_Toc19407"/>
      <w:bookmarkStart w:id="205" w:name="_Toc30459"/>
      <w:bookmarkStart w:id="206" w:name="_Toc24931"/>
      <w:bookmarkStart w:id="207" w:name="_Toc9515"/>
      <w:bookmarkStart w:id="208" w:name="_Toc86835569"/>
      <w:bookmarkStart w:id="209" w:name="_Toc22957"/>
      <w:bookmarkStart w:id="210" w:name="_Toc32358"/>
      <w:bookmarkStart w:id="211" w:name="_Toc10658"/>
      <w:bookmarkStart w:id="212" w:name="_Toc23641"/>
      <w:bookmarkStart w:id="213" w:name="_Toc30746"/>
      <w:bookmarkStart w:id="214" w:name="_Toc4340"/>
      <w:bookmarkStart w:id="215" w:name="_Toc12459"/>
      <w:r>
        <w:rPr>
          <w:rFonts w:hint="eastAsia" w:ascii="宋体" w:hAnsi="宋体" w:eastAsia="宋体" w:cs="宋体"/>
          <w:b/>
          <w:bCs/>
          <w:color w:val="auto"/>
          <w:sz w:val="28"/>
          <w:szCs w:val="28"/>
          <w:highlight w:val="none"/>
          <w:lang w:val="en-US" w:eastAsia="zh-CN"/>
        </w:rPr>
        <w:t>（七）信息交换与共享</w:t>
      </w:r>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p>
    <w:p w14:paraId="63A85AAA">
      <w:pPr>
        <w:pStyle w:val="11"/>
        <w:widowControl/>
        <w:spacing w:line="360" w:lineRule="auto"/>
        <w:ind w:firstLine="560"/>
        <w:jc w:val="left"/>
        <w:rPr>
          <w:rFonts w:hint="default"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本项目所产生的数据主要为热线来电信息和通话录音数据，需对接工单平台，提供该类数据，以保障质检及直通联办等派单业务协同，信息资源共享目录详见附件“信息资源共享目录”。</w:t>
      </w:r>
    </w:p>
    <w:p w14:paraId="23D01E1B">
      <w:pPr>
        <w:pStyle w:val="11"/>
        <w:widowControl/>
        <w:spacing w:line="360" w:lineRule="auto"/>
        <w:ind w:firstLine="560"/>
        <w:jc w:val="left"/>
        <w:outlineLvl w:val="1"/>
        <w:rPr>
          <w:rFonts w:hint="default" w:ascii="宋体" w:hAnsi="宋体" w:eastAsia="宋体" w:cs="宋体"/>
          <w:b/>
          <w:bCs/>
          <w:color w:val="auto"/>
          <w:sz w:val="28"/>
          <w:szCs w:val="28"/>
          <w:highlight w:val="none"/>
          <w:lang w:val="en-US" w:eastAsia="zh-CN"/>
        </w:rPr>
      </w:pPr>
      <w:bookmarkStart w:id="216" w:name="_Toc17037"/>
      <w:bookmarkStart w:id="217" w:name="_Toc26756"/>
      <w:bookmarkStart w:id="218" w:name="_Toc8660"/>
      <w:bookmarkStart w:id="219" w:name="_Toc31449"/>
      <w:bookmarkStart w:id="220" w:name="_Toc8717"/>
      <w:bookmarkStart w:id="221" w:name="_Toc2715"/>
      <w:bookmarkStart w:id="222" w:name="_Toc31751"/>
      <w:bookmarkStart w:id="223" w:name="_Toc21270"/>
      <w:bookmarkStart w:id="224" w:name="_Toc27689"/>
      <w:bookmarkStart w:id="225" w:name="_Toc25895"/>
      <w:bookmarkStart w:id="226" w:name="_Toc15096"/>
      <w:bookmarkStart w:id="227" w:name="_Toc18721"/>
      <w:bookmarkStart w:id="228" w:name="_Toc8285"/>
      <w:bookmarkStart w:id="229" w:name="_Toc2186"/>
      <w:r>
        <w:rPr>
          <w:rFonts w:hint="eastAsia" w:ascii="宋体" w:hAnsi="宋体" w:eastAsia="宋体" w:cs="宋体"/>
          <w:b/>
          <w:bCs/>
          <w:color w:val="auto"/>
          <w:sz w:val="28"/>
          <w:szCs w:val="28"/>
          <w:highlight w:val="none"/>
          <w:lang w:val="en-US" w:eastAsia="zh-CN"/>
        </w:rPr>
        <w:t>（八）网络安全</w:t>
      </w:r>
      <w:bookmarkEnd w:id="216"/>
      <w:bookmarkEnd w:id="217"/>
      <w:bookmarkEnd w:id="218"/>
      <w:bookmarkEnd w:id="219"/>
      <w:bookmarkEnd w:id="220"/>
      <w:bookmarkEnd w:id="221"/>
      <w:bookmarkEnd w:id="222"/>
      <w:bookmarkEnd w:id="223"/>
      <w:bookmarkEnd w:id="224"/>
      <w:bookmarkEnd w:id="225"/>
      <w:bookmarkEnd w:id="226"/>
      <w:bookmarkEnd w:id="227"/>
      <w:bookmarkEnd w:id="228"/>
      <w:r>
        <w:rPr>
          <w:rFonts w:hint="eastAsia" w:ascii="宋体" w:hAnsi="宋体" w:eastAsia="宋体" w:cs="宋体"/>
          <w:b/>
          <w:bCs/>
          <w:color w:val="auto"/>
          <w:sz w:val="28"/>
          <w:szCs w:val="28"/>
          <w:highlight w:val="none"/>
          <w:lang w:val="en-US" w:eastAsia="zh-CN"/>
        </w:rPr>
        <w:t>要求</w:t>
      </w:r>
      <w:bookmarkEnd w:id="229"/>
    </w:p>
    <w:p w14:paraId="084DD3E5">
      <w:pPr>
        <w:pStyle w:val="11"/>
        <w:widowControl/>
        <w:spacing w:line="360" w:lineRule="auto"/>
        <w:ind w:firstLine="560"/>
        <w:jc w:val="left"/>
        <w:rPr>
          <w:rFonts w:hint="default" w:ascii="宋体" w:hAnsi="宋体" w:eastAsia="宋体" w:cs="宋体"/>
          <w:color w:val="auto"/>
          <w:sz w:val="28"/>
          <w:szCs w:val="28"/>
          <w:highlight w:val="none"/>
          <w:lang w:val="en-US" w:eastAsia="zh-CN"/>
        </w:rPr>
      </w:pPr>
      <w:r>
        <w:rPr>
          <w:rFonts w:hint="default" w:ascii="宋体" w:hAnsi="宋体" w:eastAsia="宋体" w:cs="宋体"/>
          <w:color w:val="auto"/>
          <w:sz w:val="28"/>
          <w:szCs w:val="28"/>
          <w:highlight w:val="none"/>
          <w:lang w:val="en-US" w:eastAsia="zh-CN"/>
        </w:rPr>
        <w:t>服务商需为</w:t>
      </w:r>
      <w:r>
        <w:rPr>
          <w:rFonts w:hint="eastAsia" w:ascii="宋体" w:hAnsi="宋体" w:eastAsia="宋体" w:cs="宋体"/>
          <w:color w:val="auto"/>
          <w:sz w:val="28"/>
          <w:szCs w:val="28"/>
          <w:highlight w:val="none"/>
          <w:lang w:val="en-US" w:eastAsia="zh-CN"/>
        </w:rPr>
        <w:t>语音平台系统</w:t>
      </w:r>
      <w:r>
        <w:rPr>
          <w:rFonts w:hint="default" w:ascii="宋体" w:hAnsi="宋体" w:eastAsia="宋体" w:cs="宋体"/>
          <w:color w:val="auto"/>
          <w:sz w:val="28"/>
          <w:szCs w:val="28"/>
          <w:highlight w:val="none"/>
          <w:lang w:val="en-US" w:eastAsia="zh-CN"/>
        </w:rPr>
        <w:t>提供三级等保安全防护能力。</w:t>
      </w:r>
    </w:p>
    <w:p w14:paraId="11D11A6D">
      <w:pPr>
        <w:pStyle w:val="11"/>
        <w:widowControl/>
        <w:spacing w:line="360" w:lineRule="auto"/>
        <w:ind w:firstLine="560"/>
        <w:jc w:val="left"/>
        <w:outlineLvl w:val="1"/>
        <w:rPr>
          <w:rFonts w:hint="eastAsia" w:ascii="宋体" w:hAnsi="宋体" w:eastAsia="宋体" w:cs="宋体"/>
          <w:b/>
          <w:bCs/>
          <w:color w:val="auto"/>
          <w:sz w:val="28"/>
          <w:szCs w:val="28"/>
          <w:highlight w:val="none"/>
          <w:lang w:val="en-US" w:eastAsia="zh-CN"/>
        </w:rPr>
      </w:pPr>
      <w:bookmarkStart w:id="230" w:name="_Toc5500"/>
      <w:r>
        <w:rPr>
          <w:rFonts w:hint="eastAsia" w:ascii="宋体" w:hAnsi="宋体" w:eastAsia="宋体" w:cs="宋体"/>
          <w:b/>
          <w:bCs/>
          <w:color w:val="auto"/>
          <w:sz w:val="28"/>
          <w:szCs w:val="28"/>
          <w:highlight w:val="none"/>
          <w:lang w:val="en-US" w:eastAsia="zh-CN"/>
        </w:rPr>
        <w:t>（九）硬件服务要求</w:t>
      </w:r>
      <w:bookmarkEnd w:id="230"/>
    </w:p>
    <w:p w14:paraId="1373B35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（1）办公设备资源配置服务，提供100台PC电脑、显示屏及办公耳麦服务；</w:t>
      </w:r>
    </w:p>
    <w:p w14:paraId="59D4CCDF">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w:t>
      </w:r>
      <w:r>
        <w:rPr>
          <w:rFonts w:hint="eastAsia" w:ascii="宋体" w:hAnsi="宋体" w:cs="宋体"/>
          <w:color w:val="auto"/>
          <w:sz w:val="28"/>
          <w:szCs w:val="28"/>
          <w:highlight w:val="none"/>
          <w:lang w:val="en-US" w:eastAsia="zh-CN"/>
        </w:rPr>
        <w:t>2</w:t>
      </w:r>
      <w:r>
        <w:rPr>
          <w:rFonts w:hint="eastAsia" w:ascii="宋体" w:hAnsi="宋体" w:eastAsia="宋体" w:cs="宋体"/>
          <w:color w:val="auto"/>
          <w:sz w:val="28"/>
          <w:szCs w:val="28"/>
          <w:highlight w:val="none"/>
          <w:lang w:val="en-US" w:eastAsia="zh-CN"/>
        </w:rPr>
        <w:t>）设备间保障资源配置服务，提供设备运行所必要的基本保障能力。</w:t>
      </w:r>
    </w:p>
    <w:p w14:paraId="4082528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w:t>
      </w:r>
      <w:r>
        <w:rPr>
          <w:rFonts w:hint="eastAsia" w:ascii="宋体" w:hAnsi="宋体" w:cs="宋体"/>
          <w:color w:val="auto"/>
          <w:sz w:val="28"/>
          <w:szCs w:val="28"/>
          <w:highlight w:val="none"/>
          <w:lang w:val="en-US" w:eastAsia="zh-CN"/>
        </w:rPr>
        <w:t>3</w:t>
      </w:r>
      <w:r>
        <w:rPr>
          <w:rFonts w:hint="eastAsia" w:ascii="宋体" w:hAnsi="宋体" w:eastAsia="宋体" w:cs="宋体"/>
          <w:color w:val="auto"/>
          <w:sz w:val="28"/>
          <w:szCs w:val="28"/>
          <w:highlight w:val="none"/>
          <w:lang w:val="en-US" w:eastAsia="zh-CN"/>
        </w:rPr>
        <w:t>）网络及安全资源配置服务，提供设备运行所必要的网络及本地安全设备服务；</w:t>
      </w:r>
    </w:p>
    <w:p w14:paraId="445AF1B3">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w:t>
      </w:r>
      <w:r>
        <w:rPr>
          <w:rFonts w:hint="eastAsia" w:ascii="宋体" w:hAnsi="宋体" w:cs="宋体"/>
          <w:color w:val="auto"/>
          <w:sz w:val="28"/>
          <w:szCs w:val="28"/>
          <w:highlight w:val="none"/>
          <w:lang w:val="en-US" w:eastAsia="zh-CN"/>
        </w:rPr>
        <w:t>4</w:t>
      </w:r>
      <w:r>
        <w:rPr>
          <w:rFonts w:hint="eastAsia" w:ascii="宋体" w:hAnsi="宋体" w:eastAsia="宋体" w:cs="宋体"/>
          <w:color w:val="auto"/>
          <w:sz w:val="28"/>
          <w:szCs w:val="28"/>
          <w:highlight w:val="none"/>
          <w:lang w:val="en-US" w:eastAsia="zh-CN"/>
        </w:rPr>
        <w:t>）提供设备运行所必要的安装、布线服务；</w:t>
      </w:r>
    </w:p>
    <w:p w14:paraId="4D07B9B5">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w:t>
      </w:r>
      <w:r>
        <w:rPr>
          <w:rFonts w:hint="eastAsia" w:ascii="宋体" w:hAnsi="宋体" w:cs="宋体"/>
          <w:color w:val="auto"/>
          <w:sz w:val="28"/>
          <w:szCs w:val="28"/>
          <w:highlight w:val="none"/>
          <w:lang w:val="en-US" w:eastAsia="zh-CN"/>
        </w:rPr>
        <w:t>5</w:t>
      </w:r>
      <w:r>
        <w:rPr>
          <w:rFonts w:hint="eastAsia" w:ascii="宋体" w:hAnsi="宋体" w:eastAsia="宋体" w:cs="宋体"/>
          <w:color w:val="auto"/>
          <w:sz w:val="28"/>
          <w:szCs w:val="28"/>
          <w:highlight w:val="none"/>
          <w:lang w:val="en-US" w:eastAsia="zh-CN"/>
        </w:rPr>
        <w:t>）硬件设备性能指标要求如下：</w:t>
      </w:r>
    </w:p>
    <w:tbl>
      <w:tblPr>
        <w:tblStyle w:val="8"/>
        <w:tblW w:w="8758"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76"/>
        <w:gridCol w:w="1186"/>
        <w:gridCol w:w="5426"/>
        <w:gridCol w:w="741"/>
        <w:gridCol w:w="729"/>
      </w:tblGrid>
      <w:tr w14:paraId="0F2A04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5" w:hRule="atLeast"/>
          <w:tblHeader/>
          <w:jc w:val="center"/>
        </w:trPr>
        <w:tc>
          <w:tcPr>
            <w:tcW w:w="676" w:type="dxa"/>
            <w:tcBorders>
              <w:top w:val="single" w:color="auto" w:sz="4" w:space="0"/>
              <w:left w:val="single" w:color="auto" w:sz="4" w:space="0"/>
              <w:bottom w:val="single" w:color="auto" w:sz="4" w:space="0"/>
              <w:right w:val="single" w:color="auto" w:sz="4" w:space="0"/>
            </w:tcBorders>
            <w:shd w:val="clear" w:color="auto" w:fill="F2F2F2"/>
            <w:noWrap w:val="0"/>
            <w:vAlign w:val="center"/>
          </w:tcPr>
          <w:p w14:paraId="30F97877">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序号</w:t>
            </w:r>
          </w:p>
        </w:tc>
        <w:tc>
          <w:tcPr>
            <w:tcW w:w="1186" w:type="dxa"/>
            <w:tcBorders>
              <w:top w:val="single" w:color="auto" w:sz="4" w:space="0"/>
              <w:left w:val="single" w:color="auto" w:sz="4" w:space="0"/>
              <w:bottom w:val="single" w:color="auto" w:sz="4" w:space="0"/>
              <w:right w:val="single" w:color="auto" w:sz="4" w:space="0"/>
            </w:tcBorders>
            <w:shd w:val="clear" w:color="auto" w:fill="F2F2F2"/>
            <w:noWrap w:val="0"/>
            <w:vAlign w:val="center"/>
          </w:tcPr>
          <w:p w14:paraId="792626DC">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设备名称</w:t>
            </w:r>
          </w:p>
        </w:tc>
        <w:tc>
          <w:tcPr>
            <w:tcW w:w="5426" w:type="dxa"/>
            <w:tcBorders>
              <w:top w:val="single" w:color="auto" w:sz="4" w:space="0"/>
              <w:left w:val="single" w:color="auto" w:sz="4" w:space="0"/>
              <w:bottom w:val="single" w:color="auto" w:sz="4" w:space="0"/>
              <w:right w:val="single" w:color="auto" w:sz="4" w:space="0"/>
            </w:tcBorders>
            <w:shd w:val="clear" w:color="auto" w:fill="F2F2F2"/>
            <w:noWrap w:val="0"/>
            <w:vAlign w:val="center"/>
          </w:tcPr>
          <w:p w14:paraId="139ABE75">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技术参数</w:t>
            </w:r>
          </w:p>
        </w:tc>
        <w:tc>
          <w:tcPr>
            <w:tcW w:w="741" w:type="dxa"/>
            <w:tcBorders>
              <w:top w:val="single" w:color="auto" w:sz="4" w:space="0"/>
              <w:left w:val="single" w:color="auto" w:sz="4" w:space="0"/>
              <w:bottom w:val="single" w:color="auto" w:sz="4" w:space="0"/>
              <w:right w:val="single" w:color="auto" w:sz="4" w:space="0"/>
            </w:tcBorders>
            <w:shd w:val="clear" w:color="auto" w:fill="F2F2F2"/>
            <w:noWrap w:val="0"/>
            <w:vAlign w:val="center"/>
          </w:tcPr>
          <w:p w14:paraId="42ECC8ED">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单位</w:t>
            </w:r>
          </w:p>
        </w:tc>
        <w:tc>
          <w:tcPr>
            <w:tcW w:w="729" w:type="dxa"/>
            <w:tcBorders>
              <w:top w:val="single" w:color="auto" w:sz="4" w:space="0"/>
              <w:left w:val="single" w:color="auto" w:sz="4" w:space="0"/>
              <w:bottom w:val="single" w:color="auto" w:sz="4" w:space="0"/>
              <w:right w:val="single" w:color="auto" w:sz="4" w:space="0"/>
            </w:tcBorders>
            <w:shd w:val="clear" w:color="auto" w:fill="F2F2F2"/>
            <w:noWrap w:val="0"/>
            <w:vAlign w:val="center"/>
          </w:tcPr>
          <w:p w14:paraId="0C20A5D5">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数量</w:t>
            </w:r>
          </w:p>
        </w:tc>
      </w:tr>
      <w:tr w14:paraId="3109B4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2"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8675D6E">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cs="宋体"/>
                <w:b/>
                <w:bCs/>
                <w:i w:val="0"/>
                <w:iCs w:val="0"/>
                <w:color w:val="auto"/>
                <w:kern w:val="0"/>
                <w:sz w:val="20"/>
                <w:szCs w:val="20"/>
                <w:highlight w:val="none"/>
                <w:u w:val="none"/>
                <w:lang w:val="en-US" w:eastAsia="zh-CN" w:bidi="ar"/>
              </w:rPr>
              <w:t>一</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B766273">
            <w:pPr>
              <w:keepNext w:val="0"/>
              <w:keepLines w:val="0"/>
              <w:widowControl/>
              <w:suppressLineNumbers w:val="0"/>
              <w:jc w:val="left"/>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办公设备资源配置服务</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0547475">
            <w:pPr>
              <w:rPr>
                <w:rFonts w:hint="eastAsia" w:ascii="宋体" w:hAnsi="宋体" w:eastAsia="宋体" w:cs="宋体"/>
                <w:i w:val="0"/>
                <w:iCs w:val="0"/>
                <w:color w:val="auto"/>
                <w:sz w:val="20"/>
                <w:szCs w:val="20"/>
                <w:highlight w:val="none"/>
                <w:u w:val="none"/>
              </w:rPr>
            </w:pPr>
          </w:p>
        </w:tc>
        <w:tc>
          <w:tcPr>
            <w:tcW w:w="741" w:type="dxa"/>
            <w:tcBorders>
              <w:top w:val="nil"/>
              <w:left w:val="nil"/>
              <w:bottom w:val="nil"/>
              <w:right w:val="nil"/>
            </w:tcBorders>
            <w:shd w:val="clear" w:color="auto" w:fill="FFFFFF"/>
            <w:noWrap w:val="0"/>
            <w:vAlign w:val="center"/>
          </w:tcPr>
          <w:p w14:paraId="14F60E9B">
            <w:pPr>
              <w:jc w:val="center"/>
              <w:rPr>
                <w:rFonts w:hint="eastAsia" w:ascii="宋体" w:hAnsi="宋体" w:eastAsia="宋体" w:cs="宋体"/>
                <w:i w:val="0"/>
                <w:iCs w:val="0"/>
                <w:color w:val="auto"/>
                <w:sz w:val="20"/>
                <w:szCs w:val="20"/>
                <w:highlight w:val="none"/>
                <w:u w:val="none"/>
              </w:rPr>
            </w:pP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AE4D5C7">
            <w:pPr>
              <w:rPr>
                <w:rFonts w:hint="eastAsia" w:ascii="宋体" w:hAnsi="宋体" w:eastAsia="宋体" w:cs="宋体"/>
                <w:i w:val="0"/>
                <w:iCs w:val="0"/>
                <w:color w:val="auto"/>
                <w:sz w:val="20"/>
                <w:szCs w:val="20"/>
                <w:highlight w:val="none"/>
                <w:u w:val="none"/>
              </w:rPr>
            </w:pPr>
          </w:p>
        </w:tc>
      </w:tr>
      <w:tr w14:paraId="35B69D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97" w:hRule="atLeast"/>
          <w:jc w:val="center"/>
        </w:trPr>
        <w:tc>
          <w:tcPr>
            <w:tcW w:w="676" w:type="dxa"/>
            <w:tcBorders>
              <w:top w:val="single" w:color="000000" w:sz="4" w:space="0"/>
              <w:left w:val="single" w:color="000000" w:sz="8" w:space="0"/>
              <w:bottom w:val="single" w:color="000000" w:sz="4" w:space="0"/>
              <w:right w:val="single" w:color="000000" w:sz="4" w:space="0"/>
            </w:tcBorders>
            <w:noWrap w:val="0"/>
            <w:vAlign w:val="center"/>
          </w:tcPr>
          <w:p w14:paraId="05ABF99D">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1186" w:type="dxa"/>
            <w:tcBorders>
              <w:top w:val="single" w:color="000000" w:sz="4" w:space="0"/>
              <w:left w:val="single" w:color="000000" w:sz="4" w:space="0"/>
              <w:bottom w:val="single" w:color="000000" w:sz="4" w:space="0"/>
              <w:right w:val="single" w:color="000000" w:sz="4" w:space="0"/>
            </w:tcBorders>
            <w:noWrap w:val="0"/>
            <w:vAlign w:val="center"/>
          </w:tcPr>
          <w:p w14:paraId="24DA3D87">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PC电脑</w:t>
            </w:r>
          </w:p>
        </w:tc>
        <w:tc>
          <w:tcPr>
            <w:tcW w:w="5426" w:type="dxa"/>
            <w:tcBorders>
              <w:top w:val="nil"/>
              <w:left w:val="nil"/>
              <w:bottom w:val="nil"/>
              <w:right w:val="nil"/>
            </w:tcBorders>
            <w:noWrap w:val="0"/>
            <w:vAlign w:val="center"/>
          </w:tcPr>
          <w:p w14:paraId="39600385">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国产自主可控设备</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1.处理器：满足或优于主频2.3GHz、8核</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2.内存：≥16GB DDR4，≥3200 UDIMM</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3.硬盘：≥512GB</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4.独立显卡</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 xml:space="preserve">5.光驱：DVDRW/SATA * 1 </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6.有线鼠标套件 * 1</w:t>
            </w:r>
          </w:p>
        </w:tc>
        <w:tc>
          <w:tcPr>
            <w:tcW w:w="741" w:type="dxa"/>
            <w:tcBorders>
              <w:top w:val="single" w:color="000000" w:sz="4" w:space="0"/>
              <w:left w:val="single" w:color="000000" w:sz="4" w:space="0"/>
              <w:bottom w:val="single" w:color="000000" w:sz="4" w:space="0"/>
              <w:right w:val="single" w:color="000000" w:sz="4" w:space="0"/>
            </w:tcBorders>
            <w:noWrap w:val="0"/>
            <w:vAlign w:val="center"/>
          </w:tcPr>
          <w:p w14:paraId="5F452989">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noWrap w:val="0"/>
            <w:vAlign w:val="center"/>
          </w:tcPr>
          <w:p w14:paraId="5E66FFCB">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100.00 </w:t>
            </w:r>
          </w:p>
        </w:tc>
      </w:tr>
      <w:tr w14:paraId="0B634C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noWrap w:val="0"/>
            <w:vAlign w:val="center"/>
          </w:tcPr>
          <w:p w14:paraId="3B483A43">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w:t>
            </w:r>
          </w:p>
        </w:tc>
        <w:tc>
          <w:tcPr>
            <w:tcW w:w="1186" w:type="dxa"/>
            <w:tcBorders>
              <w:top w:val="single" w:color="000000" w:sz="4" w:space="0"/>
              <w:left w:val="single" w:color="000000" w:sz="4" w:space="0"/>
              <w:bottom w:val="single" w:color="000000" w:sz="4" w:space="0"/>
              <w:right w:val="single" w:color="000000" w:sz="4" w:space="0"/>
            </w:tcBorders>
            <w:noWrap w:val="0"/>
            <w:vAlign w:val="center"/>
          </w:tcPr>
          <w:p w14:paraId="4A20D057">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电脑显示屏</w:t>
            </w:r>
          </w:p>
        </w:tc>
        <w:tc>
          <w:tcPr>
            <w:tcW w:w="5426" w:type="dxa"/>
            <w:tcBorders>
              <w:top w:val="single" w:color="000000" w:sz="4" w:space="0"/>
              <w:left w:val="single" w:color="000000" w:sz="4" w:space="0"/>
              <w:bottom w:val="single" w:color="000000" w:sz="4" w:space="0"/>
              <w:right w:val="single" w:color="000000" w:sz="4" w:space="0"/>
            </w:tcBorders>
            <w:noWrap w:val="0"/>
            <w:vAlign w:val="center"/>
          </w:tcPr>
          <w:p w14:paraId="519AE771">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1.显示器：≥21寸；</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2.分辨率≥1920*1080。</w:t>
            </w:r>
          </w:p>
        </w:tc>
        <w:tc>
          <w:tcPr>
            <w:tcW w:w="741" w:type="dxa"/>
            <w:tcBorders>
              <w:top w:val="single" w:color="000000" w:sz="4" w:space="0"/>
              <w:left w:val="single" w:color="000000" w:sz="4" w:space="0"/>
              <w:bottom w:val="single" w:color="000000" w:sz="4" w:space="0"/>
              <w:right w:val="single" w:color="000000" w:sz="4" w:space="0"/>
            </w:tcBorders>
            <w:noWrap w:val="0"/>
            <w:vAlign w:val="center"/>
          </w:tcPr>
          <w:p w14:paraId="4A7436C1">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noWrap w:val="0"/>
            <w:vAlign w:val="center"/>
          </w:tcPr>
          <w:p w14:paraId="704FFF9B">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200.00 </w:t>
            </w:r>
          </w:p>
        </w:tc>
      </w:tr>
      <w:tr w14:paraId="1DC6A6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73" w:hRule="atLeast"/>
          <w:jc w:val="center"/>
        </w:trPr>
        <w:tc>
          <w:tcPr>
            <w:tcW w:w="676" w:type="dxa"/>
            <w:tcBorders>
              <w:top w:val="single" w:color="000000" w:sz="4" w:space="0"/>
              <w:left w:val="single" w:color="000000" w:sz="8" w:space="0"/>
              <w:bottom w:val="single" w:color="000000" w:sz="4" w:space="0"/>
              <w:right w:val="single" w:color="000000" w:sz="4" w:space="0"/>
            </w:tcBorders>
            <w:noWrap w:val="0"/>
            <w:vAlign w:val="center"/>
          </w:tcPr>
          <w:p w14:paraId="69971806">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1186" w:type="dxa"/>
            <w:tcBorders>
              <w:top w:val="single" w:color="000000" w:sz="4" w:space="0"/>
              <w:left w:val="single" w:color="000000" w:sz="4" w:space="0"/>
              <w:bottom w:val="single" w:color="000000" w:sz="4" w:space="0"/>
              <w:right w:val="single" w:color="000000" w:sz="4" w:space="0"/>
            </w:tcBorders>
            <w:noWrap w:val="0"/>
            <w:vAlign w:val="center"/>
          </w:tcPr>
          <w:p w14:paraId="7F3F3A89">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耳机+麦克风</w:t>
            </w:r>
          </w:p>
        </w:tc>
        <w:tc>
          <w:tcPr>
            <w:tcW w:w="5426" w:type="dxa"/>
            <w:tcBorders>
              <w:top w:val="single" w:color="000000" w:sz="4" w:space="0"/>
              <w:left w:val="single" w:color="000000" w:sz="4" w:space="0"/>
              <w:bottom w:val="single" w:color="000000" w:sz="4" w:space="0"/>
              <w:right w:val="single" w:color="000000" w:sz="4" w:space="0"/>
            </w:tcBorders>
            <w:noWrap w:val="0"/>
            <w:vAlign w:val="center"/>
          </w:tcPr>
          <w:p w14:paraId="28AC8475">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降噪麦克风</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音频性能：宽频(高达6800HZ)</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佩戴方式：头戴式、单耳</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含耳机延长线</w:t>
            </w:r>
          </w:p>
        </w:tc>
        <w:tc>
          <w:tcPr>
            <w:tcW w:w="741" w:type="dxa"/>
            <w:tcBorders>
              <w:top w:val="single" w:color="000000" w:sz="4" w:space="0"/>
              <w:left w:val="single" w:color="000000" w:sz="4" w:space="0"/>
              <w:bottom w:val="single" w:color="000000" w:sz="4" w:space="0"/>
              <w:right w:val="single" w:color="000000" w:sz="4" w:space="0"/>
            </w:tcBorders>
            <w:noWrap w:val="0"/>
            <w:vAlign w:val="center"/>
          </w:tcPr>
          <w:p w14:paraId="13B71CE0">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套</w:t>
            </w:r>
          </w:p>
        </w:tc>
        <w:tc>
          <w:tcPr>
            <w:tcW w:w="729" w:type="dxa"/>
            <w:tcBorders>
              <w:top w:val="single" w:color="000000" w:sz="4" w:space="0"/>
              <w:left w:val="single" w:color="000000" w:sz="4" w:space="0"/>
              <w:bottom w:val="single" w:color="000000" w:sz="4" w:space="0"/>
              <w:right w:val="single" w:color="000000" w:sz="4" w:space="0"/>
            </w:tcBorders>
            <w:noWrap w:val="0"/>
            <w:vAlign w:val="center"/>
          </w:tcPr>
          <w:p w14:paraId="502AA398">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100.00 </w:t>
            </w:r>
          </w:p>
        </w:tc>
      </w:tr>
      <w:tr w14:paraId="6BC5D0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noWrap w:val="0"/>
            <w:vAlign w:val="center"/>
          </w:tcPr>
          <w:p w14:paraId="720B09EA">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1186" w:type="dxa"/>
            <w:tcBorders>
              <w:top w:val="single" w:color="000000" w:sz="4" w:space="0"/>
              <w:left w:val="single" w:color="000000" w:sz="4" w:space="0"/>
              <w:bottom w:val="single" w:color="000000" w:sz="4" w:space="0"/>
              <w:right w:val="single" w:color="000000" w:sz="4" w:space="0"/>
            </w:tcBorders>
            <w:noWrap w:val="0"/>
            <w:vAlign w:val="center"/>
          </w:tcPr>
          <w:p w14:paraId="0B17F9CA">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插排</w:t>
            </w:r>
          </w:p>
        </w:tc>
        <w:tc>
          <w:tcPr>
            <w:tcW w:w="5426" w:type="dxa"/>
            <w:tcBorders>
              <w:top w:val="single" w:color="000000" w:sz="4" w:space="0"/>
              <w:left w:val="single" w:color="000000" w:sz="4" w:space="0"/>
              <w:bottom w:val="single" w:color="000000" w:sz="4" w:space="0"/>
              <w:right w:val="single" w:color="000000" w:sz="4" w:space="0"/>
            </w:tcBorders>
            <w:noWrap w:val="0"/>
            <w:vAlign w:val="center"/>
          </w:tcPr>
          <w:p w14:paraId="3388FA88">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5位插排</w:t>
            </w:r>
          </w:p>
        </w:tc>
        <w:tc>
          <w:tcPr>
            <w:tcW w:w="741" w:type="dxa"/>
            <w:tcBorders>
              <w:top w:val="single" w:color="000000" w:sz="4" w:space="0"/>
              <w:left w:val="single" w:color="000000" w:sz="4" w:space="0"/>
              <w:bottom w:val="single" w:color="000000" w:sz="4" w:space="0"/>
              <w:right w:val="single" w:color="000000" w:sz="4" w:space="0"/>
            </w:tcBorders>
            <w:noWrap w:val="0"/>
            <w:vAlign w:val="center"/>
          </w:tcPr>
          <w:p w14:paraId="16628F76">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个</w:t>
            </w:r>
          </w:p>
        </w:tc>
        <w:tc>
          <w:tcPr>
            <w:tcW w:w="729" w:type="dxa"/>
            <w:tcBorders>
              <w:top w:val="single" w:color="000000" w:sz="4" w:space="0"/>
              <w:left w:val="single" w:color="000000" w:sz="4" w:space="0"/>
              <w:bottom w:val="single" w:color="000000" w:sz="4" w:space="0"/>
              <w:right w:val="single" w:color="000000" w:sz="4" w:space="0"/>
            </w:tcBorders>
            <w:noWrap w:val="0"/>
            <w:vAlign w:val="center"/>
          </w:tcPr>
          <w:p w14:paraId="12E37FA3">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100.00 </w:t>
            </w:r>
          </w:p>
        </w:tc>
      </w:tr>
      <w:tr w14:paraId="36EE1A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noWrap w:val="0"/>
            <w:vAlign w:val="center"/>
          </w:tcPr>
          <w:p w14:paraId="0B92A026">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c>
          <w:tcPr>
            <w:tcW w:w="1186" w:type="dxa"/>
            <w:tcBorders>
              <w:top w:val="single" w:color="000000" w:sz="4" w:space="0"/>
              <w:left w:val="single" w:color="000000" w:sz="4" w:space="0"/>
              <w:bottom w:val="single" w:color="000000" w:sz="4" w:space="0"/>
              <w:right w:val="single" w:color="000000" w:sz="4" w:space="0"/>
            </w:tcBorders>
            <w:noWrap w:val="0"/>
            <w:vAlign w:val="center"/>
          </w:tcPr>
          <w:p w14:paraId="707E7392">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操作系统</w:t>
            </w:r>
          </w:p>
        </w:tc>
        <w:tc>
          <w:tcPr>
            <w:tcW w:w="5426" w:type="dxa"/>
            <w:tcBorders>
              <w:top w:val="single" w:color="000000" w:sz="4" w:space="0"/>
              <w:left w:val="single" w:color="000000" w:sz="4" w:space="0"/>
              <w:bottom w:val="single" w:color="000000" w:sz="4" w:space="0"/>
              <w:right w:val="single" w:color="000000" w:sz="4" w:space="0"/>
            </w:tcBorders>
            <w:noWrap w:val="0"/>
            <w:vAlign w:val="center"/>
          </w:tcPr>
          <w:p w14:paraId="76D3456B">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国产操作系统</w:t>
            </w:r>
          </w:p>
        </w:tc>
        <w:tc>
          <w:tcPr>
            <w:tcW w:w="741" w:type="dxa"/>
            <w:tcBorders>
              <w:top w:val="single" w:color="000000" w:sz="4" w:space="0"/>
              <w:left w:val="single" w:color="000000" w:sz="4" w:space="0"/>
              <w:bottom w:val="single" w:color="000000" w:sz="4" w:space="0"/>
              <w:right w:val="single" w:color="000000" w:sz="4" w:space="0"/>
            </w:tcBorders>
            <w:noWrap w:val="0"/>
            <w:vAlign w:val="center"/>
          </w:tcPr>
          <w:p w14:paraId="14528825">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套</w:t>
            </w:r>
          </w:p>
        </w:tc>
        <w:tc>
          <w:tcPr>
            <w:tcW w:w="729" w:type="dxa"/>
            <w:tcBorders>
              <w:top w:val="single" w:color="000000" w:sz="4" w:space="0"/>
              <w:left w:val="single" w:color="000000" w:sz="4" w:space="0"/>
              <w:bottom w:val="single" w:color="000000" w:sz="4" w:space="0"/>
              <w:right w:val="single" w:color="000000" w:sz="4" w:space="0"/>
            </w:tcBorders>
            <w:noWrap w:val="0"/>
            <w:vAlign w:val="center"/>
          </w:tcPr>
          <w:p w14:paraId="7D74DBE4">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102.00 </w:t>
            </w:r>
          </w:p>
        </w:tc>
      </w:tr>
      <w:tr w14:paraId="60836D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noWrap w:val="0"/>
            <w:vAlign w:val="center"/>
          </w:tcPr>
          <w:p w14:paraId="39B67BD6">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1186" w:type="dxa"/>
            <w:tcBorders>
              <w:top w:val="single" w:color="000000" w:sz="4" w:space="0"/>
              <w:left w:val="single" w:color="000000" w:sz="4" w:space="0"/>
              <w:bottom w:val="single" w:color="000000" w:sz="4" w:space="0"/>
              <w:right w:val="single" w:color="000000" w:sz="4" w:space="0"/>
            </w:tcBorders>
            <w:noWrap w:val="0"/>
            <w:vAlign w:val="center"/>
          </w:tcPr>
          <w:p w14:paraId="3C2070E4">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办公软件</w:t>
            </w:r>
          </w:p>
        </w:tc>
        <w:tc>
          <w:tcPr>
            <w:tcW w:w="5426" w:type="dxa"/>
            <w:tcBorders>
              <w:top w:val="single" w:color="000000" w:sz="4" w:space="0"/>
              <w:left w:val="single" w:color="000000" w:sz="4" w:space="0"/>
              <w:bottom w:val="single" w:color="000000" w:sz="4" w:space="0"/>
              <w:right w:val="single" w:color="000000" w:sz="4" w:space="0"/>
            </w:tcBorders>
            <w:noWrap w:val="0"/>
            <w:vAlign w:val="center"/>
          </w:tcPr>
          <w:p w14:paraId="09BD61FA">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国产办公软件</w:t>
            </w:r>
          </w:p>
        </w:tc>
        <w:tc>
          <w:tcPr>
            <w:tcW w:w="741" w:type="dxa"/>
            <w:tcBorders>
              <w:top w:val="single" w:color="000000" w:sz="4" w:space="0"/>
              <w:left w:val="single" w:color="000000" w:sz="4" w:space="0"/>
              <w:bottom w:val="single" w:color="000000" w:sz="4" w:space="0"/>
              <w:right w:val="single" w:color="000000" w:sz="4" w:space="0"/>
            </w:tcBorders>
            <w:noWrap w:val="0"/>
            <w:vAlign w:val="center"/>
          </w:tcPr>
          <w:p w14:paraId="79F0D74B">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套</w:t>
            </w:r>
          </w:p>
        </w:tc>
        <w:tc>
          <w:tcPr>
            <w:tcW w:w="729" w:type="dxa"/>
            <w:tcBorders>
              <w:top w:val="single" w:color="000000" w:sz="4" w:space="0"/>
              <w:left w:val="single" w:color="000000" w:sz="4" w:space="0"/>
              <w:bottom w:val="single" w:color="000000" w:sz="4" w:space="0"/>
              <w:right w:val="single" w:color="000000" w:sz="4" w:space="0"/>
            </w:tcBorders>
            <w:noWrap w:val="0"/>
            <w:vAlign w:val="center"/>
          </w:tcPr>
          <w:p w14:paraId="3377DE0F">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102.00 </w:t>
            </w:r>
          </w:p>
        </w:tc>
      </w:tr>
      <w:tr w14:paraId="65C373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noWrap w:val="0"/>
            <w:vAlign w:val="center"/>
          </w:tcPr>
          <w:p w14:paraId="7563B4F4">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7</w:t>
            </w:r>
          </w:p>
        </w:tc>
        <w:tc>
          <w:tcPr>
            <w:tcW w:w="1186" w:type="dxa"/>
            <w:tcBorders>
              <w:top w:val="single" w:color="000000" w:sz="4" w:space="0"/>
              <w:left w:val="single" w:color="000000" w:sz="4" w:space="0"/>
              <w:bottom w:val="single" w:color="000000" w:sz="4" w:space="0"/>
              <w:right w:val="single" w:color="000000" w:sz="4" w:space="0"/>
            </w:tcBorders>
            <w:noWrap w:val="0"/>
            <w:vAlign w:val="center"/>
          </w:tcPr>
          <w:p w14:paraId="4AA158C5">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版式软件</w:t>
            </w:r>
          </w:p>
        </w:tc>
        <w:tc>
          <w:tcPr>
            <w:tcW w:w="5426" w:type="dxa"/>
            <w:tcBorders>
              <w:top w:val="single" w:color="000000" w:sz="4" w:space="0"/>
              <w:left w:val="single" w:color="000000" w:sz="4" w:space="0"/>
              <w:bottom w:val="single" w:color="000000" w:sz="4" w:space="0"/>
              <w:right w:val="single" w:color="000000" w:sz="4" w:space="0"/>
            </w:tcBorders>
            <w:noWrap w:val="0"/>
            <w:vAlign w:val="center"/>
          </w:tcPr>
          <w:p w14:paraId="442CEB87">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国产版式软件</w:t>
            </w:r>
          </w:p>
        </w:tc>
        <w:tc>
          <w:tcPr>
            <w:tcW w:w="741" w:type="dxa"/>
            <w:tcBorders>
              <w:top w:val="single" w:color="000000" w:sz="4" w:space="0"/>
              <w:left w:val="single" w:color="000000" w:sz="4" w:space="0"/>
              <w:bottom w:val="single" w:color="000000" w:sz="4" w:space="0"/>
              <w:right w:val="single" w:color="000000" w:sz="4" w:space="0"/>
            </w:tcBorders>
            <w:noWrap w:val="0"/>
            <w:vAlign w:val="center"/>
          </w:tcPr>
          <w:p w14:paraId="6A2CE25B">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套</w:t>
            </w:r>
          </w:p>
        </w:tc>
        <w:tc>
          <w:tcPr>
            <w:tcW w:w="729" w:type="dxa"/>
            <w:tcBorders>
              <w:top w:val="single" w:color="000000" w:sz="4" w:space="0"/>
              <w:left w:val="single" w:color="000000" w:sz="4" w:space="0"/>
              <w:bottom w:val="single" w:color="000000" w:sz="4" w:space="0"/>
              <w:right w:val="single" w:color="000000" w:sz="4" w:space="0"/>
            </w:tcBorders>
            <w:noWrap w:val="0"/>
            <w:vAlign w:val="center"/>
          </w:tcPr>
          <w:p w14:paraId="4C772CD1">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102.00 </w:t>
            </w:r>
          </w:p>
        </w:tc>
      </w:tr>
      <w:tr w14:paraId="640787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97" w:hRule="atLeast"/>
          <w:jc w:val="center"/>
        </w:trPr>
        <w:tc>
          <w:tcPr>
            <w:tcW w:w="676" w:type="dxa"/>
            <w:tcBorders>
              <w:top w:val="single" w:color="000000" w:sz="4" w:space="0"/>
              <w:left w:val="single" w:color="000000" w:sz="8" w:space="0"/>
              <w:bottom w:val="single" w:color="000000" w:sz="4" w:space="0"/>
              <w:right w:val="single" w:color="000000" w:sz="4" w:space="0"/>
            </w:tcBorders>
            <w:noWrap w:val="0"/>
            <w:vAlign w:val="center"/>
          </w:tcPr>
          <w:p w14:paraId="52F3DFED">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w:t>
            </w:r>
          </w:p>
        </w:tc>
        <w:tc>
          <w:tcPr>
            <w:tcW w:w="1186" w:type="dxa"/>
            <w:tcBorders>
              <w:top w:val="single" w:color="000000" w:sz="4" w:space="0"/>
              <w:left w:val="single" w:color="000000" w:sz="4" w:space="0"/>
              <w:bottom w:val="single" w:color="000000" w:sz="4" w:space="0"/>
              <w:right w:val="single" w:color="000000" w:sz="4" w:space="0"/>
            </w:tcBorders>
            <w:noWrap w:val="0"/>
            <w:vAlign w:val="center"/>
          </w:tcPr>
          <w:p w14:paraId="1540A51F">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笔记本电脑</w:t>
            </w:r>
          </w:p>
        </w:tc>
        <w:tc>
          <w:tcPr>
            <w:tcW w:w="5426" w:type="dxa"/>
            <w:tcBorders>
              <w:top w:val="single" w:color="000000" w:sz="4" w:space="0"/>
              <w:left w:val="single" w:color="000000" w:sz="4" w:space="0"/>
              <w:bottom w:val="single" w:color="000000" w:sz="4" w:space="0"/>
              <w:right w:val="single" w:color="000000" w:sz="4" w:space="0"/>
            </w:tcBorders>
            <w:noWrap w:val="0"/>
            <w:vAlign w:val="center"/>
          </w:tcPr>
          <w:p w14:paraId="5C72F054">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国产自主可控设备</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1.处理器：满足或优于主频2.3GHz、8核</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2.显卡：≥2GB</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3.内存：≥16GB DDR4，≥3200 UDIMM</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4.固态硬盘：≥512GB</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5.USB有线鼠标*1</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6.配置wifi和蓝牙模块</w:t>
            </w:r>
          </w:p>
        </w:tc>
        <w:tc>
          <w:tcPr>
            <w:tcW w:w="741" w:type="dxa"/>
            <w:tcBorders>
              <w:top w:val="single" w:color="000000" w:sz="4" w:space="0"/>
              <w:left w:val="single" w:color="000000" w:sz="4" w:space="0"/>
              <w:bottom w:val="single" w:color="000000" w:sz="4" w:space="0"/>
              <w:right w:val="single" w:color="000000" w:sz="4" w:space="0"/>
            </w:tcBorders>
            <w:noWrap w:val="0"/>
            <w:vAlign w:val="center"/>
          </w:tcPr>
          <w:p w14:paraId="52699C27">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noWrap w:val="0"/>
            <w:vAlign w:val="center"/>
          </w:tcPr>
          <w:p w14:paraId="3B002381">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 </w:t>
            </w:r>
          </w:p>
        </w:tc>
      </w:tr>
      <w:tr w14:paraId="7CA3C8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2"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221DD66">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cs="宋体"/>
                <w:b/>
                <w:bCs/>
                <w:i w:val="0"/>
                <w:iCs w:val="0"/>
                <w:color w:val="auto"/>
                <w:kern w:val="0"/>
                <w:sz w:val="20"/>
                <w:szCs w:val="20"/>
                <w:highlight w:val="none"/>
                <w:u w:val="none"/>
                <w:lang w:val="en-US" w:eastAsia="zh-CN" w:bidi="ar"/>
              </w:rPr>
              <w:t>二</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442EA5C">
            <w:pPr>
              <w:keepNext w:val="0"/>
              <w:keepLines w:val="0"/>
              <w:widowControl/>
              <w:suppressLineNumbers w:val="0"/>
              <w:jc w:val="left"/>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设备间保障资源配置服务</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34AFA43">
            <w:pPr>
              <w:rPr>
                <w:rFonts w:hint="eastAsia" w:ascii="宋体" w:hAnsi="宋体" w:eastAsia="宋体" w:cs="宋体"/>
                <w:i w:val="0"/>
                <w:iCs w:val="0"/>
                <w:color w:val="auto"/>
                <w:sz w:val="20"/>
                <w:szCs w:val="20"/>
                <w:highlight w:val="none"/>
                <w:u w:val="none"/>
              </w:rPr>
            </w:pPr>
          </w:p>
        </w:tc>
        <w:tc>
          <w:tcPr>
            <w:tcW w:w="741" w:type="dxa"/>
            <w:tcBorders>
              <w:top w:val="nil"/>
              <w:left w:val="nil"/>
              <w:bottom w:val="nil"/>
              <w:right w:val="nil"/>
            </w:tcBorders>
            <w:shd w:val="clear" w:color="auto" w:fill="FFFFFF"/>
            <w:noWrap w:val="0"/>
            <w:vAlign w:val="center"/>
          </w:tcPr>
          <w:p w14:paraId="333FABB8">
            <w:pPr>
              <w:jc w:val="center"/>
              <w:rPr>
                <w:rFonts w:hint="eastAsia" w:ascii="宋体" w:hAnsi="宋体" w:eastAsia="宋体" w:cs="宋体"/>
                <w:i w:val="0"/>
                <w:iCs w:val="0"/>
                <w:color w:val="auto"/>
                <w:sz w:val="20"/>
                <w:szCs w:val="20"/>
                <w:highlight w:val="none"/>
                <w:u w:val="none"/>
              </w:rPr>
            </w:pP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FB303C3">
            <w:pPr>
              <w:rPr>
                <w:rFonts w:hint="eastAsia" w:ascii="宋体" w:hAnsi="宋体" w:eastAsia="宋体" w:cs="宋体"/>
                <w:i w:val="0"/>
                <w:iCs w:val="0"/>
                <w:color w:val="auto"/>
                <w:sz w:val="20"/>
                <w:szCs w:val="20"/>
                <w:highlight w:val="none"/>
                <w:u w:val="none"/>
              </w:rPr>
            </w:pPr>
          </w:p>
        </w:tc>
      </w:tr>
      <w:tr w14:paraId="4F719C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7"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4495CE3F">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D505A4C">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静电地板</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12BAE12">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600*600*50mm全钢静电地板</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EC9AAB2">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平方米</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FC0BBCF">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20.00 </w:t>
            </w:r>
          </w:p>
        </w:tc>
      </w:tr>
      <w:tr w14:paraId="5B33E0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9"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65B7D4A">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03BADA4">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网络机柜</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72DA86D">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600*600*2000</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E632D3A">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842C148">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 </w:t>
            </w:r>
          </w:p>
        </w:tc>
      </w:tr>
      <w:tr w14:paraId="1D5743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22F94B38">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CBA3790">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服务器机柜</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FB9DB38">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600*1200*2000</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DB9FEC2">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271F93B">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 </w:t>
            </w:r>
          </w:p>
        </w:tc>
      </w:tr>
      <w:tr w14:paraId="077A82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98"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32A63ABD">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9FF5664">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40K UPS</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74C707B">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1、额定容量（kVA/kW）：40kVA/40kW，三进三出</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2、额定输入电压：380/400/415Vac</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3、输入频率范围：40～70Hz</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3、电池节数：360～528Vdc ，30-44节，电池节数可调</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4、系统效率：95.7%</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5、尺寸：高×宽×深 (mm)500×264×800</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E6BC560">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57BAB2A">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1DA861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7A8A17B0">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433D35D">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铅酸蓄电池</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E4B2BAB">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12V150AH</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CB91B63">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节</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682ED27">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64.00 </w:t>
            </w:r>
          </w:p>
        </w:tc>
      </w:tr>
      <w:tr w14:paraId="6248B7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7"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1AB6A145">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9D72EAC">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电池架</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92DD7C1">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可放置40节12V150AH铅酸蓄电池</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FAC1E1F">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个</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C6BC3F9">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 </w:t>
            </w:r>
          </w:p>
        </w:tc>
      </w:tr>
      <w:tr w14:paraId="0AAC81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2F6B1B69">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7</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66C9275">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电池开关箱</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8D18EC7">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1根汇流排，2*160A/3P开关</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00FC06E">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个</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7753118">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56BB69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78"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30A12CB9">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EB7DC5D">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精密空调</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E6E9B22">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1、上送风，恒温恒湿精密空调，含室内机、室外机。总冷量≥13kW（标定工况：24ºC回风温度，50%相对湿度，室外温度35ºC）；</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2、显冷量≥11.7KW，风量≥3100m3/h；</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3、加湿量≥2kg/h，加热量≥4kW；采用节能的湿膜加湿方式；</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4、精密空调系统应采用R410A制冷剂，环保高效；</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B01C72B">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03C4E1B">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 </w:t>
            </w:r>
          </w:p>
        </w:tc>
      </w:tr>
      <w:tr w14:paraId="325793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2"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6CA703A0">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23027CF">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柜式灭火装置（单瓶）</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00F6A32">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容量70L</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96F3BB3">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套</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0542764">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4E0E1F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9A5A251">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511CC61">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七氟丙烷药剂</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6AC6B23">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HFC-227ea</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E10DBD3">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KG</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74124C8">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54.00 </w:t>
            </w:r>
          </w:p>
        </w:tc>
      </w:tr>
      <w:tr w14:paraId="49B774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90D6E4B">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11</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07D649C">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机械泄压口</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DC9B183">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泄压面积0.15</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1B75310">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3952BC1">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19A2D5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E5D87AB">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CF04D3D">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气体灭火控制器</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BA7C958">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单防区灭火控制主机</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8121C4D">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7BBCF33">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45F3D5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6088EEFA">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13</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6BBF5DC">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感温探测器</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0C1FB36">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温度检测</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2E0B64C">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个</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B8263DE">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2DA028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1D4BD32">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14</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833E151">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感烟探测器</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D53F69B">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烟雾检测</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598F815">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个</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2C144BC">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18467F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60E9FD7A">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15</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C0D13C6">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气体释放指示灯</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FB5E296">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七氟丙烷气体释放检测</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D94DE43">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个</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B6573A6">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159127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7C9D72BF">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16</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3FD30C5">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紧急启停按钮</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C2853C8">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消防气体紧急启停</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FCA1625">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个</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E2E9BEC">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421D49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4CA21D62">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17</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3D7CCD9">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声光报警器</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42A22A8">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气体释放告警</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9579168">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个</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27782B9">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 </w:t>
            </w:r>
          </w:p>
        </w:tc>
      </w:tr>
      <w:tr w14:paraId="16E11F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9"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7C949B7">
            <w:pPr>
              <w:jc w:val="center"/>
              <w:rPr>
                <w:rFonts w:hint="eastAsia" w:ascii="宋体" w:hAnsi="宋体" w:eastAsia="宋体" w:cs="宋体"/>
                <w:i w:val="0"/>
                <w:iCs w:val="0"/>
                <w:color w:val="auto"/>
                <w:sz w:val="20"/>
                <w:szCs w:val="20"/>
                <w:highlight w:val="none"/>
                <w:u w:val="none"/>
              </w:rPr>
            </w:pP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96D224A">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小计3</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ED70A9A">
            <w:pPr>
              <w:rPr>
                <w:rFonts w:hint="eastAsia" w:ascii="宋体" w:hAnsi="宋体" w:eastAsia="宋体" w:cs="宋体"/>
                <w:i w:val="0"/>
                <w:iCs w:val="0"/>
                <w:color w:val="auto"/>
                <w:sz w:val="20"/>
                <w:szCs w:val="20"/>
                <w:highlight w:val="none"/>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ADEAEB5">
            <w:pPr>
              <w:jc w:val="center"/>
              <w:rPr>
                <w:rFonts w:hint="eastAsia" w:ascii="宋体" w:hAnsi="宋体" w:eastAsia="宋体" w:cs="宋体"/>
                <w:i w:val="0"/>
                <w:iCs w:val="0"/>
                <w:color w:val="auto"/>
                <w:sz w:val="20"/>
                <w:szCs w:val="20"/>
                <w:highlight w:val="none"/>
                <w:u w:val="none"/>
              </w:rPr>
            </w:pP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5851295">
            <w:pPr>
              <w:rPr>
                <w:rFonts w:hint="eastAsia" w:ascii="宋体" w:hAnsi="宋体" w:eastAsia="宋体" w:cs="宋体"/>
                <w:i w:val="0"/>
                <w:iCs w:val="0"/>
                <w:color w:val="auto"/>
                <w:sz w:val="20"/>
                <w:szCs w:val="20"/>
                <w:highlight w:val="none"/>
                <w:u w:val="none"/>
              </w:rPr>
            </w:pPr>
          </w:p>
        </w:tc>
      </w:tr>
      <w:tr w14:paraId="61293E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3E11B9B">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cs="宋体"/>
                <w:b/>
                <w:bCs/>
                <w:i w:val="0"/>
                <w:iCs w:val="0"/>
                <w:color w:val="auto"/>
                <w:kern w:val="0"/>
                <w:sz w:val="20"/>
                <w:szCs w:val="20"/>
                <w:highlight w:val="none"/>
                <w:u w:val="none"/>
                <w:lang w:val="en-US" w:eastAsia="zh-CN" w:bidi="ar"/>
              </w:rPr>
              <w:t>三</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FDF536C">
            <w:pPr>
              <w:keepNext w:val="0"/>
              <w:keepLines w:val="0"/>
              <w:widowControl/>
              <w:suppressLineNumbers w:val="0"/>
              <w:jc w:val="left"/>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网络及安全资源配置服务</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034BB76">
            <w:pPr>
              <w:rPr>
                <w:rFonts w:hint="eastAsia" w:ascii="宋体" w:hAnsi="宋体" w:eastAsia="宋体" w:cs="宋体"/>
                <w:i w:val="0"/>
                <w:iCs w:val="0"/>
                <w:color w:val="auto"/>
                <w:sz w:val="20"/>
                <w:szCs w:val="20"/>
                <w:highlight w:val="none"/>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C5F8821">
            <w:pPr>
              <w:jc w:val="center"/>
              <w:rPr>
                <w:rFonts w:hint="eastAsia" w:ascii="宋体" w:hAnsi="宋体" w:eastAsia="宋体" w:cs="宋体"/>
                <w:i w:val="0"/>
                <w:iCs w:val="0"/>
                <w:color w:val="auto"/>
                <w:sz w:val="20"/>
                <w:szCs w:val="20"/>
                <w:highlight w:val="none"/>
                <w:u w:val="none"/>
              </w:rPr>
            </w:pP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3037DFC">
            <w:pPr>
              <w:rPr>
                <w:rFonts w:hint="eastAsia" w:ascii="宋体" w:hAnsi="宋体" w:eastAsia="宋体" w:cs="宋体"/>
                <w:i w:val="0"/>
                <w:iCs w:val="0"/>
                <w:color w:val="auto"/>
                <w:sz w:val="20"/>
                <w:szCs w:val="20"/>
                <w:highlight w:val="none"/>
                <w:u w:val="none"/>
              </w:rPr>
            </w:pPr>
          </w:p>
        </w:tc>
      </w:tr>
      <w:tr w14:paraId="6109F0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17"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E3AE4F6">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A1F350B">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核心交换机</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37B7AC0">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1.接口48个10GE端口，6个100GE端口,100GE端口可以降速为40GE</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 转发性能：交换容量≥4.8Tbps，包转发率≥2000Mpps</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 交换芯片、CPU自主研发</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4. 支持直流、交流和高压直流供电模式，电源支持1+1冗余备份</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5. 支持风扇模块≥4，保证设备散热效果和可靠性，支持严格的前进后出风道</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6. MAC地址容量≥287K,ARP/ND表项容量≥256K,IPv4路由表容量≥256K,IPv6路由表容量≥256K</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F4473C3">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40E61F08">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 </w:t>
            </w:r>
          </w:p>
        </w:tc>
      </w:tr>
      <w:tr w14:paraId="545DA0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5"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5A90A42A">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A3A1ED6">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接入交换机</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C8E1EFF">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1.交换容量≥672Gbps，包转发率≥216Mpps，支持48个千兆电口， 4个万兆光口</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2.支持模块化电源，支持电源个数≥2，支持380V高压直流</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3.可通过前面板指示灯获取各种设备重要信息</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4.CPU、转发交换芯片、CPLD为国产芯片，操作系统和协议栈为厂家自研</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5.支持横向虚拟化技术，将多台设备虚拟为一台</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6.支持4K个VLAN，支持Voice VLAN，基于端口的VLAN，基于协议的VLAN</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7.支持MAC地址≥32K，IPv4子网路由规格≥16K，主机路由规格≥8K</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8.支持静态路由，RIPv1/v2，RIPng,OSPFv2/v3， ISIS，ISISv6, BGP4,BGP4+,支持ECMP</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DA49AEF">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5E478D4">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5.00 </w:t>
            </w:r>
          </w:p>
        </w:tc>
      </w:tr>
      <w:tr w14:paraId="614AE1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16"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290E9CBD">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1405EA9">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内网防火墙</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474575E">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1、性能参数：网络层吞吐量≥10G，应用层吞吐量≥4G，IPS吞吐量≥1G；并发连接数≥400万，HTTP新建连接数≥10万，IPSec VPN 接入数≥1000。</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2、硬件参数：国产化设备，规格：1U，内存大小≥8G，硬盘容量≥128G SSD，单电源，接口≥6千兆电口+8个千兆光口（含光模块）。</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3、包含</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年WEB应用防护识别库、IPS特征库、僵尸网络防护库、实时漏洞分析识别库和URL&amp;应用识别库定期更新，保持设备具备检测防御最新威胁的能力，</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年产品质保，</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年软件升级服务。</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4、下一代防火墙以保障单位核心资产为目标，提供L2-L7层各类威胁的检测和防护，能够有效应对传统网络攻击和未知威胁攻击。</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5、支持病毒文件库≥100W，IPS≥12000种，应用的识别和控制≥6000种。</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6、支持对挖矿、CC通信等威胁流量就近进行实时检测、拦截，实现失陷主机外联实时阻断。</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C797E70">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66192ECC">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2.00 </w:t>
            </w:r>
          </w:p>
        </w:tc>
      </w:tr>
      <w:tr w14:paraId="34B0D4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7"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218CFBEE">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44183AF">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互联网防火墙</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AEF5FBB">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1、性能参数：网络层吞吐量≥10G，应用层吞吐量≥4G，IPS吞吐量≥1G；并发连接数≥400万，HTTP新建连接数≥10万，IPSec VPN 接入数≥1000。</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2、硬件参数：国产化设备，规格：1U，内存大小≥8G，硬盘容量≥128G SSD，单电源，接口≥6千兆电口+8个千兆光口（含光模块）。</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3、包含</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年WEB应用防护识别库、IPS特征库、僵尸网络防护库、实时漏洞分析识别库和URL&amp;应用识别库定期更新，保持设备具备检测防御最新威胁的能力，</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年产品质保，</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年软件升级服务。</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4、下一代防火墙以保障单位核心资产为目标，提供L2-L7层各类威胁的检测和防护，能够有效应对传统网络攻击和未知威胁攻击。</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5、支持病毒文件库≥100W，IPS≥12000种，应用的识别和控制≥6000种。</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6、支持对挖矿、CC通信等威胁流量就近进行实时检测、拦截，实现失陷主机外联实时阻断。</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3F7AA71">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18812D8">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6CB549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98"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09374D6B">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DFE09D1">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上网行为管理A</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8238B53">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1、性能参数：网络层吞吐量≥5Gb，应用层吞吐量≥750Mb，带宽性能≥500Mb，支持用户数≥4000，准入终端数≥2000，每秒新建连接数≥10000，最大并发连接数≥500000。</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2、硬件参数：国产化设备，规格：1U，内存大小≥8G，硬盘容量≥480G SSD，单电源，接口≥6千兆电口+4个千兆光口（含光模块）。</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3、包含</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年URL&amp;应用识别规则库升级，</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年软件升级，</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年产品质保，包含终端安全检查、非法外联检查/管控、外设管控、802.1x认证和Portal认证客户端、U盘管控和审计、客户端分时访问管控、端口管控、应用联网管控、软件安装检查/推送等。</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4、上网行为管理聚焦单位网络行为安全，实现全网资产、身份、行为可视可控，智能感知内部威胁风险，构建有效防御体系。</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5、支持显示接入用户人数、终端类型、用户违规检查项排行、违规用户排行、分析带宽质量、实时流量排名、资产类型分布、发现新设备等。</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2EAB653">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031A385">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40F8B7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77"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721F1FDD">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1610EF10">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零信任VPN</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BD7F2FA">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1、IPSEC性能参数：加密流量（Mbps）≥100，并发隧道数≥1000；SSL性能参数：加密流量（Mbps）≥300Mbps，并发用户数≥600，标配≥50个并发用户授权；</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2、硬件参数：规格：1U，内存大小≥16G，硬盘容量≥128G SSD，单电源，接口≥6千兆电口+4千兆光口SFP（含2个千兆光模块）。</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底层采用国产服务器系统，搭载信创处理器，设备内置符合中国商用密码标准的加密卡，采用国家密码管理局颁布的SM1、SM2、SM3、SM4密码算法及其协议，支持多种身份认证方式、细粒度访问权限控制等主要功能，，保证远程系统接入的用户身份安全、终端/数据安全、传输安全、应用权限安全和审计安全，符合国家商用密码标准，具有快速、易用、全面等优势特点。</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4、通过还原用户接入系统后的会话信息，对用户访问行为进行自动分析并智能生成分析报告，支持展示整个访问过程对关联的终端进行整体分析。</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5、包含</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年产品质保，</w:t>
            </w:r>
            <w:r>
              <w:rPr>
                <w:rFonts w:hint="eastAsia" w:ascii="宋体" w:hAnsi="宋体" w:cs="宋体"/>
                <w:i w:val="0"/>
                <w:iCs w:val="0"/>
                <w:color w:val="auto"/>
                <w:kern w:val="0"/>
                <w:sz w:val="20"/>
                <w:szCs w:val="20"/>
                <w:highlight w:val="none"/>
                <w:u w:val="none"/>
                <w:lang w:val="en-US" w:eastAsia="zh-CN" w:bidi="ar"/>
              </w:rPr>
              <w:t>一</w:t>
            </w:r>
            <w:r>
              <w:rPr>
                <w:rFonts w:hint="eastAsia" w:ascii="宋体" w:hAnsi="宋体" w:eastAsia="宋体" w:cs="宋体"/>
                <w:i w:val="0"/>
                <w:iCs w:val="0"/>
                <w:color w:val="auto"/>
                <w:kern w:val="0"/>
                <w:sz w:val="20"/>
                <w:szCs w:val="20"/>
                <w:highlight w:val="none"/>
                <w:u w:val="none"/>
                <w:lang w:val="en-US" w:eastAsia="zh-CN" w:bidi="ar"/>
              </w:rPr>
              <w:t>年软件升级。</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7B3CF592">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087007B1">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 </w:t>
            </w:r>
          </w:p>
        </w:tc>
      </w:tr>
      <w:tr w14:paraId="09C294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87" w:hRule="atLeast"/>
          <w:jc w:val="center"/>
        </w:trPr>
        <w:tc>
          <w:tcPr>
            <w:tcW w:w="676" w:type="dxa"/>
            <w:tcBorders>
              <w:top w:val="single" w:color="000000" w:sz="4" w:space="0"/>
              <w:left w:val="single" w:color="000000" w:sz="8" w:space="0"/>
              <w:bottom w:val="single" w:color="000000" w:sz="4" w:space="0"/>
              <w:right w:val="single" w:color="000000" w:sz="4" w:space="0"/>
            </w:tcBorders>
            <w:shd w:val="clear" w:color="auto" w:fill="FFFFFF"/>
            <w:noWrap w:val="0"/>
            <w:vAlign w:val="center"/>
          </w:tcPr>
          <w:p w14:paraId="2149207F">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7</w:t>
            </w:r>
          </w:p>
        </w:tc>
        <w:tc>
          <w:tcPr>
            <w:tcW w:w="118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3B1D708">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终端杀毒软件</w:t>
            </w:r>
          </w:p>
        </w:tc>
        <w:tc>
          <w:tcPr>
            <w:tcW w:w="542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50F54682">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1、包含管理控制中心软件及终端客户端软件，其中管理控制中心可云化部署；</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2、通过管理平台统一管控，下发查杀任务；上报杀毒事件；对恶意文件进行隔离、信任等处置操作；并支持多维度的日志记录与展示。</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具备系统漏洞扫描，终端基线检查，资产盘点，资产主动发现；恶意文件检测，网端联动杀毒；文件急速隔离，终端一键隔离，感染文件修复，病毒处置响应，网端深度联动，全网威胁定位；外设管控，SSH服务管控等功能。</w:t>
            </w:r>
          </w:p>
        </w:tc>
        <w:tc>
          <w:tcPr>
            <w:tcW w:w="74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26714A63">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台</w:t>
            </w:r>
          </w:p>
        </w:tc>
        <w:tc>
          <w:tcPr>
            <w:tcW w:w="729"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14:paraId="317BDE22">
            <w:pPr>
              <w:keepNext w:val="0"/>
              <w:keepLines w:val="0"/>
              <w:widowControl/>
              <w:suppressLineNumbers w:val="0"/>
              <w:jc w:val="righ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 xml:space="preserve">100.00 </w:t>
            </w:r>
          </w:p>
        </w:tc>
      </w:tr>
    </w:tbl>
    <w:p w14:paraId="4600CD32">
      <w:pPr>
        <w:pStyle w:val="11"/>
        <w:widowControl/>
        <w:spacing w:line="360" w:lineRule="auto"/>
        <w:ind w:firstLine="560"/>
        <w:jc w:val="left"/>
        <w:outlineLvl w:val="1"/>
        <w:rPr>
          <w:rFonts w:hint="eastAsia" w:ascii="宋体" w:hAnsi="宋体" w:eastAsia="宋体" w:cs="宋体"/>
          <w:b/>
          <w:bCs/>
          <w:color w:val="auto"/>
          <w:sz w:val="28"/>
          <w:szCs w:val="28"/>
          <w:highlight w:val="none"/>
          <w:lang w:val="en-US" w:eastAsia="zh-CN"/>
        </w:rPr>
      </w:pPr>
      <w:bookmarkStart w:id="231" w:name="_Toc23899"/>
      <w:r>
        <w:rPr>
          <w:rFonts w:hint="eastAsia" w:ascii="宋体" w:hAnsi="宋体" w:eastAsia="宋体" w:cs="宋体"/>
          <w:b/>
          <w:bCs/>
          <w:color w:val="auto"/>
          <w:sz w:val="28"/>
          <w:szCs w:val="28"/>
          <w:highlight w:val="none"/>
          <w:lang w:val="en-US" w:eastAsia="zh-CN"/>
        </w:rPr>
        <w:t>（十）网络租赁要求</w:t>
      </w:r>
      <w:bookmarkEnd w:id="231"/>
    </w:p>
    <w:p w14:paraId="5629EEF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配置以下线路资源：</w:t>
      </w:r>
    </w:p>
    <w:tbl>
      <w:tblPr>
        <w:tblStyle w:val="8"/>
        <w:tblW w:w="4939"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80"/>
        <w:gridCol w:w="1778"/>
        <w:gridCol w:w="2884"/>
        <w:gridCol w:w="1534"/>
        <w:gridCol w:w="1442"/>
      </w:tblGrid>
      <w:tr w14:paraId="764EAC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280" w:hRule="atLeast"/>
        </w:trPr>
        <w:tc>
          <w:tcPr>
            <w:tcW w:w="463" w:type="pct"/>
            <w:tcBorders>
              <w:top w:val="single" w:color="000000" w:sz="8" w:space="0"/>
              <w:left w:val="single" w:color="000000" w:sz="8" w:space="0"/>
              <w:bottom w:val="single" w:color="000000" w:sz="4" w:space="0"/>
              <w:right w:val="single" w:color="000000" w:sz="4" w:space="0"/>
            </w:tcBorders>
            <w:shd w:val="clear" w:color="auto" w:fill="F2F2F2"/>
            <w:noWrap/>
            <w:vAlign w:val="center"/>
          </w:tcPr>
          <w:p w14:paraId="57E2E0EB">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序号</w:t>
            </w:r>
          </w:p>
        </w:tc>
        <w:tc>
          <w:tcPr>
            <w:tcW w:w="1056" w:type="pct"/>
            <w:tcBorders>
              <w:top w:val="single" w:color="000000" w:sz="8" w:space="0"/>
              <w:left w:val="single" w:color="000000" w:sz="4" w:space="0"/>
              <w:bottom w:val="single" w:color="000000" w:sz="4" w:space="0"/>
              <w:right w:val="single" w:color="000000" w:sz="4" w:space="0"/>
            </w:tcBorders>
            <w:shd w:val="clear" w:color="auto" w:fill="F2F2F2"/>
            <w:noWrap/>
            <w:vAlign w:val="center"/>
          </w:tcPr>
          <w:p w14:paraId="6D794794">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名称</w:t>
            </w:r>
          </w:p>
        </w:tc>
        <w:tc>
          <w:tcPr>
            <w:tcW w:w="1712" w:type="pct"/>
            <w:tcBorders>
              <w:top w:val="single" w:color="000000" w:sz="8" w:space="0"/>
              <w:left w:val="single" w:color="000000" w:sz="4" w:space="0"/>
              <w:bottom w:val="single" w:color="000000" w:sz="4" w:space="0"/>
              <w:right w:val="single" w:color="000000" w:sz="4" w:space="0"/>
            </w:tcBorders>
            <w:shd w:val="clear" w:color="auto" w:fill="F2F2F2"/>
            <w:noWrap/>
            <w:vAlign w:val="center"/>
          </w:tcPr>
          <w:p w14:paraId="162C362A">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服务内容</w:t>
            </w:r>
          </w:p>
        </w:tc>
        <w:tc>
          <w:tcPr>
            <w:tcW w:w="911" w:type="pct"/>
            <w:tcBorders>
              <w:top w:val="single" w:color="000000" w:sz="8" w:space="0"/>
              <w:left w:val="single" w:color="000000" w:sz="4" w:space="0"/>
              <w:bottom w:val="single" w:color="000000" w:sz="4" w:space="0"/>
              <w:right w:val="single" w:color="000000" w:sz="4" w:space="0"/>
            </w:tcBorders>
            <w:shd w:val="clear" w:color="auto" w:fill="F2F2F2"/>
            <w:noWrap/>
            <w:vAlign w:val="center"/>
          </w:tcPr>
          <w:p w14:paraId="0DE69856">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服务期限(月)</w:t>
            </w:r>
          </w:p>
        </w:tc>
        <w:tc>
          <w:tcPr>
            <w:tcW w:w="856" w:type="pct"/>
            <w:tcBorders>
              <w:top w:val="single" w:color="000000" w:sz="8" w:space="0"/>
              <w:left w:val="single" w:color="000000" w:sz="4" w:space="0"/>
              <w:bottom w:val="single" w:color="000000" w:sz="4" w:space="0"/>
              <w:right w:val="single" w:color="000000" w:sz="4" w:space="0"/>
            </w:tcBorders>
            <w:shd w:val="clear" w:color="auto" w:fill="F2F2F2"/>
            <w:noWrap w:val="0"/>
            <w:vAlign w:val="center"/>
          </w:tcPr>
          <w:p w14:paraId="51DCB134">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备注</w:t>
            </w:r>
          </w:p>
        </w:tc>
      </w:tr>
      <w:tr w14:paraId="162A82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463" w:type="pct"/>
            <w:tcBorders>
              <w:top w:val="single" w:color="000000" w:sz="4" w:space="0"/>
              <w:left w:val="single" w:color="000000" w:sz="8" w:space="0"/>
              <w:bottom w:val="single" w:color="000000" w:sz="4" w:space="0"/>
              <w:right w:val="single" w:color="000000" w:sz="4" w:space="0"/>
            </w:tcBorders>
            <w:noWrap w:val="0"/>
            <w:vAlign w:val="center"/>
          </w:tcPr>
          <w:p w14:paraId="1AA2B92C">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1056" w:type="pct"/>
            <w:tcBorders>
              <w:top w:val="single" w:color="000000" w:sz="4" w:space="0"/>
              <w:left w:val="single" w:color="000000" w:sz="4" w:space="0"/>
              <w:bottom w:val="single" w:color="000000" w:sz="4" w:space="0"/>
              <w:right w:val="single" w:color="000000" w:sz="4" w:space="0"/>
            </w:tcBorders>
            <w:noWrap/>
            <w:vAlign w:val="center"/>
          </w:tcPr>
          <w:p w14:paraId="23F60934">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双路由光纤链路1</w:t>
            </w:r>
          </w:p>
        </w:tc>
        <w:tc>
          <w:tcPr>
            <w:tcW w:w="1712" w:type="pct"/>
            <w:tcBorders>
              <w:top w:val="single" w:color="000000" w:sz="4" w:space="0"/>
              <w:left w:val="single" w:color="000000" w:sz="4" w:space="0"/>
              <w:bottom w:val="single" w:color="000000" w:sz="4" w:space="0"/>
              <w:right w:val="single" w:color="000000" w:sz="4" w:space="0"/>
            </w:tcBorders>
            <w:noWrap/>
            <w:vAlign w:val="center"/>
          </w:tcPr>
          <w:p w14:paraId="096E0770">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100M双路由光纤链路，支持根据服务需求方要求调整链路A端和Z端地址，配合服务需求方软件迁移等必要的网络服务，线路不发生不计费。</w:t>
            </w:r>
          </w:p>
        </w:tc>
        <w:tc>
          <w:tcPr>
            <w:tcW w:w="911" w:type="pct"/>
            <w:tcBorders>
              <w:top w:val="single" w:color="000000" w:sz="4" w:space="0"/>
              <w:left w:val="single" w:color="000000" w:sz="4" w:space="0"/>
              <w:bottom w:val="single" w:color="000000" w:sz="4" w:space="0"/>
              <w:right w:val="single" w:color="000000" w:sz="4" w:space="0"/>
            </w:tcBorders>
            <w:noWrap/>
            <w:vAlign w:val="center"/>
          </w:tcPr>
          <w:p w14:paraId="6AA7D412">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w:t>
            </w:r>
          </w:p>
        </w:tc>
        <w:tc>
          <w:tcPr>
            <w:tcW w:w="856" w:type="pct"/>
            <w:tcBorders>
              <w:top w:val="single" w:color="000000" w:sz="4" w:space="0"/>
              <w:left w:val="single" w:color="000000" w:sz="4" w:space="0"/>
              <w:bottom w:val="single" w:color="000000" w:sz="4" w:space="0"/>
              <w:right w:val="single" w:color="000000" w:sz="4" w:space="0"/>
            </w:tcBorders>
            <w:noWrap/>
            <w:vAlign w:val="center"/>
          </w:tcPr>
          <w:p w14:paraId="1A547CC7">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三亚12345至新服务商</w:t>
            </w:r>
          </w:p>
        </w:tc>
      </w:tr>
      <w:tr w14:paraId="039715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463" w:type="pct"/>
            <w:tcBorders>
              <w:top w:val="single" w:color="000000" w:sz="4" w:space="0"/>
              <w:left w:val="single" w:color="000000" w:sz="8" w:space="0"/>
              <w:bottom w:val="single" w:color="000000" w:sz="4" w:space="0"/>
              <w:right w:val="single" w:color="000000" w:sz="4" w:space="0"/>
            </w:tcBorders>
            <w:noWrap w:val="0"/>
            <w:vAlign w:val="center"/>
          </w:tcPr>
          <w:p w14:paraId="5D9E3B7E">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w:t>
            </w:r>
          </w:p>
        </w:tc>
        <w:tc>
          <w:tcPr>
            <w:tcW w:w="1056" w:type="pct"/>
            <w:tcBorders>
              <w:top w:val="single" w:color="000000" w:sz="4" w:space="0"/>
              <w:left w:val="single" w:color="000000" w:sz="4" w:space="0"/>
              <w:bottom w:val="single" w:color="000000" w:sz="4" w:space="0"/>
              <w:right w:val="single" w:color="000000" w:sz="4" w:space="0"/>
            </w:tcBorders>
            <w:noWrap/>
            <w:vAlign w:val="center"/>
          </w:tcPr>
          <w:p w14:paraId="54C4A4B5">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双路由光纤链路2</w:t>
            </w:r>
          </w:p>
        </w:tc>
        <w:tc>
          <w:tcPr>
            <w:tcW w:w="1712" w:type="pct"/>
            <w:tcBorders>
              <w:top w:val="single" w:color="000000" w:sz="4" w:space="0"/>
              <w:left w:val="single" w:color="000000" w:sz="4" w:space="0"/>
              <w:bottom w:val="single" w:color="000000" w:sz="4" w:space="0"/>
              <w:right w:val="single" w:color="000000" w:sz="4" w:space="0"/>
            </w:tcBorders>
            <w:noWrap/>
            <w:vAlign w:val="center"/>
          </w:tcPr>
          <w:p w14:paraId="6D25C0F6">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100M双路由光纤链路，支持根据服务需求方要求调整链路A端和Z端地址，配合服务需求方软件迁移等必要的网络服务，线路不发生不计费。</w:t>
            </w:r>
          </w:p>
        </w:tc>
        <w:tc>
          <w:tcPr>
            <w:tcW w:w="911" w:type="pct"/>
            <w:tcBorders>
              <w:top w:val="single" w:color="000000" w:sz="4" w:space="0"/>
              <w:left w:val="single" w:color="000000" w:sz="4" w:space="0"/>
              <w:bottom w:val="single" w:color="000000" w:sz="4" w:space="0"/>
              <w:right w:val="single" w:color="000000" w:sz="4" w:space="0"/>
            </w:tcBorders>
            <w:noWrap/>
            <w:vAlign w:val="center"/>
          </w:tcPr>
          <w:p w14:paraId="7F6D3AE1">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w:t>
            </w:r>
          </w:p>
        </w:tc>
        <w:tc>
          <w:tcPr>
            <w:tcW w:w="856" w:type="pct"/>
            <w:tcBorders>
              <w:top w:val="single" w:color="000000" w:sz="4" w:space="0"/>
              <w:left w:val="single" w:color="000000" w:sz="4" w:space="0"/>
              <w:bottom w:val="single" w:color="000000" w:sz="4" w:space="0"/>
              <w:right w:val="single" w:color="000000" w:sz="4" w:space="0"/>
            </w:tcBorders>
            <w:noWrap/>
            <w:vAlign w:val="center"/>
          </w:tcPr>
          <w:p w14:paraId="7A4A05A2">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三亚12345至原服务商</w:t>
            </w:r>
          </w:p>
        </w:tc>
      </w:tr>
      <w:tr w14:paraId="3DE58D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463" w:type="pct"/>
            <w:tcBorders>
              <w:top w:val="single" w:color="000000" w:sz="4" w:space="0"/>
              <w:left w:val="single" w:color="000000" w:sz="8" w:space="0"/>
              <w:bottom w:val="single" w:color="000000" w:sz="4" w:space="0"/>
              <w:right w:val="single" w:color="000000" w:sz="4" w:space="0"/>
            </w:tcBorders>
            <w:noWrap w:val="0"/>
            <w:vAlign w:val="center"/>
          </w:tcPr>
          <w:p w14:paraId="7918A132">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1056" w:type="pct"/>
            <w:tcBorders>
              <w:top w:val="single" w:color="000000" w:sz="4" w:space="0"/>
              <w:left w:val="single" w:color="000000" w:sz="4" w:space="0"/>
              <w:bottom w:val="single" w:color="000000" w:sz="4" w:space="0"/>
              <w:right w:val="single" w:color="000000" w:sz="4" w:space="0"/>
            </w:tcBorders>
            <w:noWrap/>
            <w:vAlign w:val="center"/>
          </w:tcPr>
          <w:p w14:paraId="4B7A74F0">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双路由光纤链路3</w:t>
            </w:r>
          </w:p>
        </w:tc>
        <w:tc>
          <w:tcPr>
            <w:tcW w:w="1712" w:type="pct"/>
            <w:tcBorders>
              <w:top w:val="single" w:color="000000" w:sz="4" w:space="0"/>
              <w:left w:val="single" w:color="000000" w:sz="4" w:space="0"/>
              <w:bottom w:val="single" w:color="000000" w:sz="4" w:space="0"/>
              <w:right w:val="single" w:color="000000" w:sz="4" w:space="0"/>
            </w:tcBorders>
            <w:noWrap/>
            <w:vAlign w:val="center"/>
          </w:tcPr>
          <w:p w14:paraId="12C33EE3">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100M双路由光纤链路，支持根据服务需求方要求调整链路A端和Z端地址，配合服务需求方软件迁移等必要的网络服务，线路不发生不计费。</w:t>
            </w:r>
          </w:p>
        </w:tc>
        <w:tc>
          <w:tcPr>
            <w:tcW w:w="911" w:type="pct"/>
            <w:tcBorders>
              <w:top w:val="single" w:color="000000" w:sz="4" w:space="0"/>
              <w:left w:val="single" w:color="000000" w:sz="4" w:space="0"/>
              <w:bottom w:val="single" w:color="000000" w:sz="4" w:space="0"/>
              <w:right w:val="single" w:color="000000" w:sz="4" w:space="0"/>
            </w:tcBorders>
            <w:noWrap/>
            <w:vAlign w:val="center"/>
          </w:tcPr>
          <w:p w14:paraId="31B4A7B0">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856" w:type="pct"/>
            <w:tcBorders>
              <w:top w:val="single" w:color="000000" w:sz="4" w:space="0"/>
              <w:left w:val="single" w:color="000000" w:sz="4" w:space="0"/>
              <w:bottom w:val="single" w:color="000000" w:sz="4" w:space="0"/>
              <w:right w:val="single" w:color="000000" w:sz="4" w:space="0"/>
            </w:tcBorders>
            <w:noWrap/>
            <w:vAlign w:val="center"/>
          </w:tcPr>
          <w:p w14:paraId="36679650">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新服务商-原服务商</w:t>
            </w:r>
          </w:p>
        </w:tc>
      </w:tr>
      <w:tr w14:paraId="4EE5F8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463" w:type="pct"/>
            <w:tcBorders>
              <w:top w:val="single" w:color="000000" w:sz="4" w:space="0"/>
              <w:left w:val="single" w:color="000000" w:sz="8" w:space="0"/>
              <w:bottom w:val="single" w:color="000000" w:sz="4" w:space="0"/>
              <w:right w:val="single" w:color="000000" w:sz="4" w:space="0"/>
            </w:tcBorders>
            <w:noWrap w:val="0"/>
            <w:vAlign w:val="center"/>
          </w:tcPr>
          <w:p w14:paraId="5FFFD575">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1056" w:type="pct"/>
            <w:tcBorders>
              <w:top w:val="single" w:color="000000" w:sz="4" w:space="0"/>
              <w:left w:val="single" w:color="000000" w:sz="4" w:space="0"/>
              <w:bottom w:val="single" w:color="000000" w:sz="4" w:space="0"/>
              <w:right w:val="single" w:color="000000" w:sz="4" w:space="0"/>
            </w:tcBorders>
            <w:noWrap/>
            <w:vAlign w:val="center"/>
          </w:tcPr>
          <w:p w14:paraId="1EFE607C">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双路由光纤链路4</w:t>
            </w:r>
          </w:p>
        </w:tc>
        <w:tc>
          <w:tcPr>
            <w:tcW w:w="1712" w:type="pct"/>
            <w:tcBorders>
              <w:top w:val="single" w:color="000000" w:sz="4" w:space="0"/>
              <w:left w:val="single" w:color="000000" w:sz="4" w:space="0"/>
              <w:bottom w:val="single" w:color="000000" w:sz="4" w:space="0"/>
              <w:right w:val="single" w:color="000000" w:sz="4" w:space="0"/>
            </w:tcBorders>
            <w:noWrap/>
            <w:vAlign w:val="center"/>
          </w:tcPr>
          <w:p w14:paraId="5FF71BE2">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100M双路由光纤链路，支持根据服务需求方要求调整链路A端和Z端地址，配合服务需求方软件迁移等必要的网络服务，线路不发生不计费。</w:t>
            </w:r>
          </w:p>
        </w:tc>
        <w:tc>
          <w:tcPr>
            <w:tcW w:w="911" w:type="pct"/>
            <w:tcBorders>
              <w:top w:val="single" w:color="000000" w:sz="4" w:space="0"/>
              <w:left w:val="single" w:color="000000" w:sz="4" w:space="0"/>
              <w:bottom w:val="single" w:color="000000" w:sz="4" w:space="0"/>
              <w:right w:val="single" w:color="000000" w:sz="4" w:space="0"/>
            </w:tcBorders>
            <w:noWrap/>
            <w:vAlign w:val="center"/>
          </w:tcPr>
          <w:p w14:paraId="64D919DE">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856" w:type="pct"/>
            <w:tcBorders>
              <w:top w:val="single" w:color="000000" w:sz="4" w:space="0"/>
              <w:left w:val="single" w:color="000000" w:sz="4" w:space="0"/>
              <w:bottom w:val="single" w:color="000000" w:sz="4" w:space="0"/>
              <w:right w:val="single" w:color="000000" w:sz="4" w:space="0"/>
            </w:tcBorders>
            <w:noWrap/>
            <w:vAlign w:val="center"/>
          </w:tcPr>
          <w:p w14:paraId="1C62923C">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原服务商-省政务云平台</w:t>
            </w:r>
          </w:p>
        </w:tc>
      </w:tr>
      <w:tr w14:paraId="3E0F8A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463" w:type="pct"/>
            <w:tcBorders>
              <w:top w:val="single" w:color="000000" w:sz="4" w:space="0"/>
              <w:left w:val="single" w:color="000000" w:sz="8" w:space="0"/>
              <w:bottom w:val="single" w:color="000000" w:sz="4" w:space="0"/>
              <w:right w:val="single" w:color="000000" w:sz="4" w:space="0"/>
            </w:tcBorders>
            <w:noWrap/>
            <w:vAlign w:val="center"/>
          </w:tcPr>
          <w:p w14:paraId="1556D908">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c>
          <w:tcPr>
            <w:tcW w:w="1056" w:type="pct"/>
            <w:tcBorders>
              <w:top w:val="single" w:color="000000" w:sz="4" w:space="0"/>
              <w:left w:val="single" w:color="000000" w:sz="4" w:space="0"/>
              <w:bottom w:val="single" w:color="000000" w:sz="4" w:space="0"/>
              <w:right w:val="single" w:color="000000" w:sz="4" w:space="0"/>
            </w:tcBorders>
            <w:noWrap/>
            <w:vAlign w:val="center"/>
          </w:tcPr>
          <w:p w14:paraId="37F9EC02">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双路由光纤链路5</w:t>
            </w:r>
          </w:p>
        </w:tc>
        <w:tc>
          <w:tcPr>
            <w:tcW w:w="1712" w:type="pct"/>
            <w:tcBorders>
              <w:top w:val="single" w:color="000000" w:sz="4" w:space="0"/>
              <w:left w:val="single" w:color="000000" w:sz="4" w:space="0"/>
              <w:bottom w:val="single" w:color="000000" w:sz="4" w:space="0"/>
              <w:right w:val="single" w:color="000000" w:sz="4" w:space="0"/>
            </w:tcBorders>
            <w:noWrap/>
            <w:vAlign w:val="center"/>
          </w:tcPr>
          <w:p w14:paraId="68FD427B">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100M双路由光纤链路，支持根据服务需求方要求调整链路A端和Z端地址，配合服务需求方软件迁移等必要的网络服务，线路不发生不计费。</w:t>
            </w:r>
          </w:p>
        </w:tc>
        <w:tc>
          <w:tcPr>
            <w:tcW w:w="911" w:type="pct"/>
            <w:tcBorders>
              <w:top w:val="single" w:color="000000" w:sz="4" w:space="0"/>
              <w:left w:val="single" w:color="000000" w:sz="4" w:space="0"/>
              <w:bottom w:val="single" w:color="000000" w:sz="4" w:space="0"/>
              <w:right w:val="single" w:color="000000" w:sz="4" w:space="0"/>
            </w:tcBorders>
            <w:noWrap/>
            <w:vAlign w:val="center"/>
          </w:tcPr>
          <w:p w14:paraId="5D0AF10E">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w:t>
            </w:r>
          </w:p>
        </w:tc>
        <w:tc>
          <w:tcPr>
            <w:tcW w:w="856" w:type="pct"/>
            <w:tcBorders>
              <w:top w:val="single" w:color="000000" w:sz="4" w:space="0"/>
              <w:left w:val="single" w:color="000000" w:sz="4" w:space="0"/>
              <w:bottom w:val="single" w:color="000000" w:sz="4" w:space="0"/>
              <w:right w:val="single" w:color="000000" w:sz="4" w:space="0"/>
            </w:tcBorders>
            <w:noWrap/>
            <w:vAlign w:val="center"/>
          </w:tcPr>
          <w:p w14:paraId="4CDA160D">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新服务商-省政务云平台</w:t>
            </w:r>
          </w:p>
        </w:tc>
      </w:tr>
      <w:tr w14:paraId="547AB2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463" w:type="pct"/>
            <w:tcBorders>
              <w:top w:val="single" w:color="000000" w:sz="4" w:space="0"/>
              <w:left w:val="single" w:color="000000" w:sz="8" w:space="0"/>
              <w:bottom w:val="single" w:color="000000" w:sz="4" w:space="0"/>
              <w:right w:val="single" w:color="000000" w:sz="4" w:space="0"/>
            </w:tcBorders>
            <w:noWrap/>
            <w:vAlign w:val="center"/>
          </w:tcPr>
          <w:p w14:paraId="74273238">
            <w:pPr>
              <w:keepNext w:val="0"/>
              <w:keepLines w:val="0"/>
              <w:widowControl/>
              <w:suppressLineNumbers w:val="0"/>
              <w:jc w:val="center"/>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6</w:t>
            </w:r>
          </w:p>
        </w:tc>
        <w:tc>
          <w:tcPr>
            <w:tcW w:w="1056" w:type="pct"/>
            <w:tcBorders>
              <w:top w:val="single" w:color="000000" w:sz="4" w:space="0"/>
              <w:left w:val="single" w:color="000000" w:sz="4" w:space="0"/>
              <w:bottom w:val="single" w:color="000000" w:sz="4" w:space="0"/>
              <w:right w:val="single" w:color="000000" w:sz="4" w:space="0"/>
            </w:tcBorders>
            <w:noWrap/>
            <w:vAlign w:val="center"/>
          </w:tcPr>
          <w:p w14:paraId="5E4E2070">
            <w:pPr>
              <w:keepNext w:val="0"/>
              <w:keepLines w:val="0"/>
              <w:widowControl/>
              <w:suppressLineNumbers w:val="0"/>
              <w:jc w:val="left"/>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互联网光纤链路</w:t>
            </w:r>
          </w:p>
        </w:tc>
        <w:tc>
          <w:tcPr>
            <w:tcW w:w="1712" w:type="pct"/>
            <w:tcBorders>
              <w:top w:val="single" w:color="000000" w:sz="4" w:space="0"/>
              <w:left w:val="single" w:color="000000" w:sz="4" w:space="0"/>
              <w:bottom w:val="single" w:color="000000" w:sz="4" w:space="0"/>
              <w:right w:val="single" w:color="000000" w:sz="4" w:space="0"/>
            </w:tcBorders>
            <w:noWrap/>
            <w:vAlign w:val="center"/>
          </w:tcPr>
          <w:p w14:paraId="4FF28275">
            <w:pPr>
              <w:keepNext w:val="0"/>
              <w:keepLines w:val="0"/>
              <w:widowControl/>
              <w:suppressLineNumbers w:val="0"/>
              <w:jc w:val="left"/>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400M，1条，线路不发生不计费。</w:t>
            </w:r>
          </w:p>
        </w:tc>
        <w:tc>
          <w:tcPr>
            <w:tcW w:w="911" w:type="pct"/>
            <w:tcBorders>
              <w:top w:val="single" w:color="000000" w:sz="4" w:space="0"/>
              <w:left w:val="single" w:color="000000" w:sz="4" w:space="0"/>
              <w:bottom w:val="single" w:color="000000" w:sz="4" w:space="0"/>
              <w:right w:val="single" w:color="000000" w:sz="4" w:space="0"/>
            </w:tcBorders>
            <w:noWrap/>
            <w:vAlign w:val="center"/>
          </w:tcPr>
          <w:p w14:paraId="3AACADD1">
            <w:pPr>
              <w:keepNext w:val="0"/>
              <w:keepLines w:val="0"/>
              <w:widowControl/>
              <w:suppressLineNumbers w:val="0"/>
              <w:jc w:val="center"/>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12</w:t>
            </w:r>
          </w:p>
        </w:tc>
        <w:tc>
          <w:tcPr>
            <w:tcW w:w="856" w:type="pct"/>
            <w:tcBorders>
              <w:top w:val="single" w:color="000000" w:sz="4" w:space="0"/>
              <w:left w:val="single" w:color="000000" w:sz="4" w:space="0"/>
              <w:bottom w:val="single" w:color="000000" w:sz="4" w:space="0"/>
              <w:right w:val="single" w:color="000000" w:sz="4" w:space="0"/>
            </w:tcBorders>
            <w:noWrap/>
            <w:vAlign w:val="center"/>
          </w:tcPr>
          <w:p w14:paraId="64B273D4">
            <w:pPr>
              <w:keepNext w:val="0"/>
              <w:keepLines w:val="0"/>
              <w:widowControl/>
              <w:suppressLineNumbers w:val="0"/>
              <w:jc w:val="left"/>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三亚12345互联网出口</w:t>
            </w:r>
          </w:p>
        </w:tc>
      </w:tr>
    </w:tbl>
    <w:p w14:paraId="743DDA90">
      <w:pPr>
        <w:pStyle w:val="11"/>
        <w:keepNext w:val="0"/>
        <w:keepLines w:val="0"/>
        <w:pageBreakBefore w:val="0"/>
        <w:widowControl/>
        <w:kinsoku/>
        <w:wordWrap/>
        <w:overflowPunct/>
        <w:topLinePunct w:val="0"/>
        <w:autoSpaceDE/>
        <w:autoSpaceDN/>
        <w:bidi w:val="0"/>
        <w:adjustRightInd/>
        <w:snapToGrid/>
        <w:spacing w:line="360" w:lineRule="auto"/>
        <w:ind w:firstLine="560"/>
        <w:jc w:val="left"/>
        <w:textAlignment w:val="auto"/>
        <w:outlineLvl w:val="1"/>
        <w:rPr>
          <w:rFonts w:hint="eastAsia" w:ascii="宋体" w:hAnsi="宋体" w:eastAsia="宋体" w:cs="宋体"/>
          <w:b/>
          <w:bCs/>
          <w:color w:val="auto"/>
          <w:sz w:val="28"/>
          <w:szCs w:val="28"/>
          <w:highlight w:val="none"/>
          <w:lang w:val="en-US" w:eastAsia="zh-CN"/>
        </w:rPr>
      </w:pPr>
      <w:bookmarkStart w:id="232" w:name="_Toc13197"/>
      <w:r>
        <w:rPr>
          <w:rFonts w:hint="eastAsia" w:ascii="宋体" w:hAnsi="宋体" w:eastAsia="宋体" w:cs="宋体"/>
          <w:b/>
          <w:bCs/>
          <w:color w:val="auto"/>
          <w:sz w:val="28"/>
          <w:szCs w:val="28"/>
          <w:highlight w:val="none"/>
          <w:lang w:val="en-US" w:eastAsia="zh-CN"/>
        </w:rPr>
        <w:t>（十一）固话语音要求</w:t>
      </w:r>
      <w:bookmarkEnd w:id="232"/>
    </w:p>
    <w:p w14:paraId="74EF8FB2">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包含30台固定电话及语音通话服务。</w:t>
      </w:r>
    </w:p>
    <w:p w14:paraId="264C654B">
      <w:pPr>
        <w:pStyle w:val="11"/>
        <w:widowControl/>
        <w:spacing w:line="360" w:lineRule="auto"/>
        <w:ind w:firstLine="560"/>
        <w:jc w:val="left"/>
        <w:outlineLvl w:val="1"/>
        <w:rPr>
          <w:rFonts w:hint="eastAsia" w:ascii="宋体" w:hAnsi="宋体" w:eastAsia="宋体" w:cs="宋体"/>
          <w:b/>
          <w:bCs/>
          <w:color w:val="auto"/>
          <w:sz w:val="28"/>
          <w:szCs w:val="28"/>
          <w:highlight w:val="none"/>
          <w:lang w:val="en-US" w:eastAsia="zh-CN"/>
        </w:rPr>
      </w:pPr>
      <w:bookmarkStart w:id="233" w:name="_Toc31161"/>
      <w:r>
        <w:rPr>
          <w:rFonts w:hint="eastAsia" w:ascii="宋体" w:hAnsi="宋体" w:eastAsia="宋体" w:cs="宋体"/>
          <w:b/>
          <w:bCs/>
          <w:color w:val="auto"/>
          <w:sz w:val="28"/>
          <w:szCs w:val="28"/>
          <w:highlight w:val="none"/>
          <w:lang w:val="en-US" w:eastAsia="zh-CN"/>
        </w:rPr>
        <w:t>（十二）坐席热线要求</w:t>
      </w:r>
      <w:bookmarkEnd w:id="233"/>
    </w:p>
    <w:p w14:paraId="005EC265">
      <w:pPr>
        <w:pStyle w:val="11"/>
        <w:widowControl/>
        <w:spacing w:line="360" w:lineRule="auto"/>
        <w:ind w:firstLine="560"/>
        <w:jc w:val="left"/>
        <w:outlineLvl w:val="2"/>
        <w:rPr>
          <w:rFonts w:hint="eastAsia" w:ascii="宋体" w:hAnsi="宋体" w:eastAsia="宋体" w:cs="宋体"/>
          <w:b/>
          <w:bCs/>
          <w:color w:val="auto"/>
          <w:sz w:val="28"/>
          <w:szCs w:val="28"/>
          <w:highlight w:val="none"/>
          <w:lang w:val="en-US" w:eastAsia="zh-CN"/>
        </w:rPr>
      </w:pPr>
      <w:bookmarkStart w:id="234" w:name="_Toc23337"/>
      <w:bookmarkStart w:id="235" w:name="_Toc16946"/>
      <w:r>
        <w:rPr>
          <w:rFonts w:hint="eastAsia" w:ascii="宋体" w:hAnsi="宋体" w:eastAsia="宋体" w:cs="宋体"/>
          <w:b/>
          <w:bCs/>
          <w:color w:val="auto"/>
          <w:sz w:val="28"/>
          <w:szCs w:val="28"/>
          <w:highlight w:val="none"/>
          <w:lang w:val="en-US" w:eastAsia="zh-CN"/>
        </w:rPr>
        <w:t>（1）总体要求</w:t>
      </w:r>
      <w:bookmarkEnd w:id="234"/>
      <w:bookmarkEnd w:id="235"/>
    </w:p>
    <w:p w14:paraId="726AFC2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打造一个基于电话、网站、微信等渠道融合的立体化服务平台，确保平台所有系统软硬件运行稳定，为三亚市民和游客服务和管理提供便捷、高效、专业和智能的服务，统筹12345政府服务热线人员的招聘、培训、薪酬发放、管理工作，确保热线人员熟练掌握相应的服务技能，按时按质完成三亚12345政府服务热线日常工作，保证服务质量，满足三亚市及海南省热线服务考核要求。</w:t>
      </w:r>
    </w:p>
    <w:p w14:paraId="59504083">
      <w:pPr>
        <w:pStyle w:val="11"/>
        <w:widowControl/>
        <w:numPr>
          <w:ilvl w:val="0"/>
          <w:numId w:val="4"/>
        </w:numPr>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组织架构</w:t>
      </w:r>
    </w:p>
    <w:p w14:paraId="4F761094">
      <w:pPr>
        <w:pStyle w:val="11"/>
        <w:widowControl/>
        <w:numPr>
          <w:ilvl w:val="0"/>
          <w:numId w:val="0"/>
        </w:numPr>
        <w:spacing w:line="360" w:lineRule="auto"/>
        <w:ind w:firstLine="560" w:firstLineChars="200"/>
        <w:jc w:val="left"/>
        <w:rPr>
          <w:rFonts w:hint="default" w:ascii="宋体" w:hAnsi="宋体" w:eastAsia="宋体" w:cs="宋体"/>
          <w:color w:val="auto"/>
          <w:sz w:val="28"/>
          <w:szCs w:val="28"/>
          <w:highlight w:val="none"/>
          <w:lang w:val="en-US" w:eastAsia="zh-CN"/>
        </w:rPr>
      </w:pPr>
      <w:r>
        <w:rPr>
          <w:rFonts w:hint="default" w:ascii="宋体" w:hAnsi="宋体" w:eastAsia="宋体" w:cs="宋体"/>
          <w:color w:val="auto"/>
          <w:sz w:val="28"/>
          <w:szCs w:val="28"/>
          <w:highlight w:val="none"/>
          <w:lang w:val="en-US" w:eastAsia="zh-CN"/>
        </w:rPr>
        <w:t>设置12345热线运营中心和12345热线话务中心，12345热线运营中心统筹12345热线话务中心的管理工作，12345热线话务中心负责热线服务的基本运营</w:t>
      </w:r>
      <w:r>
        <w:rPr>
          <w:rFonts w:hint="eastAsia" w:ascii="宋体" w:hAnsi="宋体" w:eastAsia="宋体" w:cs="宋体"/>
          <w:color w:val="auto"/>
          <w:sz w:val="28"/>
          <w:szCs w:val="28"/>
          <w:highlight w:val="none"/>
          <w:lang w:val="en-US" w:eastAsia="zh-CN"/>
        </w:rPr>
        <w:t>。</w:t>
      </w:r>
    </w:p>
    <w:p w14:paraId="1911DB41">
      <w:pPr>
        <w:pStyle w:val="11"/>
        <w:widowControl/>
        <w:spacing w:line="360" w:lineRule="auto"/>
        <w:ind w:firstLine="560"/>
        <w:jc w:val="left"/>
        <w:outlineLvl w:val="2"/>
        <w:rPr>
          <w:rFonts w:hint="eastAsia" w:ascii="宋体" w:hAnsi="宋体" w:eastAsia="宋体" w:cs="宋体"/>
          <w:b/>
          <w:bCs/>
          <w:color w:val="auto"/>
          <w:sz w:val="28"/>
          <w:szCs w:val="28"/>
          <w:highlight w:val="none"/>
          <w:lang w:val="en-US" w:eastAsia="zh-CN"/>
        </w:rPr>
      </w:pPr>
      <w:bookmarkStart w:id="236" w:name="_Toc11295"/>
      <w:bookmarkStart w:id="237" w:name="_Toc12677"/>
      <w:bookmarkStart w:id="238" w:name="_Toc19315"/>
      <w:bookmarkStart w:id="239" w:name="_Toc9505"/>
      <w:bookmarkStart w:id="240" w:name="_Toc24206"/>
      <w:bookmarkStart w:id="241" w:name="_Toc9887"/>
      <w:bookmarkStart w:id="242" w:name="_Toc7797"/>
      <w:bookmarkStart w:id="243" w:name="_Toc14332"/>
      <w:bookmarkStart w:id="244" w:name="_Toc6261"/>
      <w:bookmarkStart w:id="245" w:name="_Toc14955"/>
      <w:bookmarkStart w:id="246" w:name="_Toc27804"/>
      <w:bookmarkStart w:id="247" w:name="_Toc7422"/>
      <w:bookmarkStart w:id="248" w:name="_Toc13727"/>
      <w:bookmarkStart w:id="249" w:name="_Toc18084"/>
      <w:bookmarkStart w:id="250" w:name="_Toc7861"/>
      <w:r>
        <w:rPr>
          <w:rFonts w:hint="eastAsia" w:ascii="宋体" w:hAnsi="宋体" w:eastAsia="宋体" w:cs="宋体"/>
          <w:b/>
          <w:bCs/>
          <w:color w:val="auto"/>
          <w:sz w:val="28"/>
          <w:szCs w:val="28"/>
          <w:highlight w:val="none"/>
          <w:lang w:val="en-US" w:eastAsia="zh-CN"/>
        </w:rPr>
        <w:t>（3）团队责任</w:t>
      </w:r>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p>
    <w:p w14:paraId="69983B4D">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三亚市12345服务团队是政务服务便民热线管理的第一梯队，为畅通诉求反映渠道、加强诉求办理工作、提升为民服务水平、建设人民满意的服务型政府提供有力支撑。</w:t>
      </w:r>
    </w:p>
    <w:p w14:paraId="56677DE4">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根据《三亚市 12345 政府服务热线平台监督管理办法》（三府〔2017〕332 号），第八条 热线呼叫中心是 12345 政府服务热线的日常工作受理平台，负责接听来电，受理和解答诉求人反映的问题，转派热线工单，并跟踪回访工单办理情况。</w:t>
      </w:r>
    </w:p>
    <w:p w14:paraId="58061757">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受理范围：</w:t>
      </w:r>
    </w:p>
    <w:p w14:paraId="37294585">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第十一条 12345 热线主要受理以下事项：</w:t>
      </w:r>
    </w:p>
    <w:p w14:paraId="39AB152F">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（一）三亚市各级人民政府工作职责、政策法规、办事流程、执法程序、审批及服务事项等政务信息咨询；</w:t>
      </w:r>
    </w:p>
    <w:p w14:paraId="3055BC4F">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（二）三亚市各级人民政府职责范围内的非紧急类求助；</w:t>
      </w:r>
    </w:p>
    <w:p w14:paraId="10B627F9">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（三）三亚市各级人民政府公共管理、公共服务、城市建设、经济社会发展、创文巩卫及河长制等方面的投诉、意见和建议;</w:t>
      </w:r>
    </w:p>
    <w:p w14:paraId="6B38F144">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（四）三亚市各级人民政府内部工作人员工作作风、服务态度、办事效率及行政效能等方面的投诉；</w:t>
      </w:r>
    </w:p>
    <w:p w14:paraId="01FF60CB">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（五）消费者合法权益受到侵害或经营者不履行法定义务的投诉；</w:t>
      </w:r>
    </w:p>
    <w:p w14:paraId="17DA941A">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（六）制假售假、欺行霸市、非法垄断等各类扭曲市场机制、危害群众生命财产安全、破坏公平竞争和正常交易秩序、阻碍市场经济健康发展的经济违法违规行为举报；</w:t>
      </w:r>
    </w:p>
    <w:p w14:paraId="5FE5C36E">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 xml:space="preserve">（七）其它应当受理的事项。 </w:t>
      </w:r>
    </w:p>
    <w:p w14:paraId="4606DB20">
      <w:pPr>
        <w:pStyle w:val="11"/>
        <w:widowControl/>
        <w:spacing w:line="360" w:lineRule="auto"/>
        <w:ind w:firstLine="560"/>
        <w:jc w:val="left"/>
        <w:outlineLvl w:val="2"/>
        <w:rPr>
          <w:rFonts w:hint="default" w:ascii="宋体" w:hAnsi="宋体" w:eastAsia="宋体" w:cs="宋体"/>
          <w:b/>
          <w:bCs/>
          <w:color w:val="auto"/>
          <w:sz w:val="28"/>
          <w:szCs w:val="28"/>
          <w:highlight w:val="none"/>
          <w:lang w:val="en-US" w:eastAsia="zh-CN"/>
        </w:rPr>
      </w:pPr>
      <w:bookmarkStart w:id="251" w:name="_Toc13330"/>
      <w:bookmarkStart w:id="252" w:name="_Toc14234"/>
      <w:bookmarkStart w:id="253" w:name="_Toc32363"/>
      <w:bookmarkStart w:id="254" w:name="_Toc25401"/>
      <w:bookmarkStart w:id="255" w:name="_Toc17087"/>
      <w:bookmarkStart w:id="256" w:name="_Toc29073"/>
      <w:bookmarkStart w:id="257" w:name="_Toc29275"/>
      <w:bookmarkStart w:id="258" w:name="_Toc6153"/>
      <w:bookmarkStart w:id="259" w:name="_Toc32603"/>
      <w:bookmarkStart w:id="260" w:name="_Toc17073"/>
      <w:bookmarkStart w:id="261" w:name="_Toc6259"/>
      <w:bookmarkStart w:id="262" w:name="_Toc26818"/>
      <w:bookmarkStart w:id="263" w:name="_Toc22644"/>
      <w:bookmarkStart w:id="264" w:name="_Toc19209"/>
      <w:bookmarkStart w:id="265" w:name="_Toc25737"/>
      <w:r>
        <w:rPr>
          <w:rFonts w:hint="eastAsia" w:ascii="宋体" w:hAnsi="宋体" w:eastAsia="宋体" w:cs="宋体"/>
          <w:b/>
          <w:bCs/>
          <w:color w:val="auto"/>
          <w:sz w:val="28"/>
          <w:szCs w:val="28"/>
          <w:highlight w:val="none"/>
          <w:lang w:val="en-US" w:eastAsia="zh-CN"/>
        </w:rPr>
        <w:t>（4）团队岗位设置</w:t>
      </w:r>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p>
    <w:p w14:paraId="27D1AC54">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bookmarkStart w:id="266" w:name="_Toc4584"/>
      <w:bookmarkStart w:id="267" w:name="_Toc21228"/>
      <w:bookmarkStart w:id="268" w:name="_Toc29484"/>
      <w:bookmarkStart w:id="269" w:name="_Toc2396"/>
      <w:bookmarkStart w:id="270" w:name="_Toc32716"/>
      <w:bookmarkStart w:id="271" w:name="_Toc495"/>
      <w:bookmarkStart w:id="272" w:name="_Toc17285"/>
      <w:bookmarkStart w:id="273" w:name="_Toc11680"/>
      <w:bookmarkStart w:id="274" w:name="_Toc24682"/>
      <w:bookmarkStart w:id="275" w:name="_Toc24032"/>
      <w:bookmarkStart w:id="276" w:name="_Toc5999"/>
      <w:bookmarkStart w:id="277" w:name="_Toc7568"/>
      <w:r>
        <w:rPr>
          <w:rFonts w:hint="eastAsia" w:ascii="宋体" w:hAnsi="宋体" w:eastAsia="宋体" w:cs="宋体"/>
          <w:color w:val="auto"/>
          <w:sz w:val="28"/>
          <w:szCs w:val="28"/>
          <w:highlight w:val="none"/>
          <w:lang w:val="en-US" w:eastAsia="zh-CN"/>
        </w:rPr>
        <w:t>1.话务班组</w:t>
      </w:r>
      <w:bookmarkEnd w:id="266"/>
      <w:bookmarkEnd w:id="267"/>
      <w:bookmarkEnd w:id="268"/>
      <w:bookmarkEnd w:id="269"/>
      <w:bookmarkEnd w:id="270"/>
      <w:bookmarkEnd w:id="271"/>
      <w:bookmarkEnd w:id="272"/>
      <w:bookmarkEnd w:id="273"/>
      <w:bookmarkEnd w:id="274"/>
      <w:bookmarkEnd w:id="275"/>
      <w:bookmarkEnd w:id="276"/>
      <w:bookmarkEnd w:id="277"/>
    </w:p>
    <w:p w14:paraId="1BEB530B">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市政专席</w:t>
      </w:r>
    </w:p>
    <w:p w14:paraId="079075E1">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分工：专注于城市管理、市政设施领域的诉求处理。</w:t>
      </w:r>
    </w:p>
    <w:p w14:paraId="642D5145">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协作：接收诉求后与派单组协作进行工单转办，和督办组沟通工单进度，必要时参与应急处置协同工作。</w:t>
      </w:r>
    </w:p>
    <w:p w14:paraId="129ECADF">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职责范围：受理市民相关咨询与诉求，精准记录并分类转办，跟踪督办进度，审核结果并反馈市民；收集分析高频问题，协助培训与应急处置。</w:t>
      </w:r>
    </w:p>
    <w:p w14:paraId="0C860F30">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旅游专席</w:t>
      </w:r>
    </w:p>
    <w:p w14:paraId="4EAE4EDD">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分工：聚焦旅游景区、住宿餐饮、旅行社服务等旅游领域诉求。</w:t>
      </w:r>
    </w:p>
    <w:p w14:paraId="0504F601">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协作：与文旅、市场监管等部门及派单组、督办组、回访组协同，共同处理旅游类诉求。</w:t>
      </w:r>
    </w:p>
    <w:p w14:paraId="521EB2BE">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职责范围：受理旅游相关咨询与投诉，转办、跟踪进度、审核结果并反馈；收集分析高频问题，协助政策宣传与应急处置。</w:t>
      </w:r>
    </w:p>
    <w:p w14:paraId="2152FDB0">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放心游专席</w:t>
      </w:r>
    </w:p>
    <w:p w14:paraId="4B6235B4">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分工：主要处理旅游消费安全、服务质量等 “放心游” 相关诉求。</w:t>
      </w:r>
    </w:p>
    <w:p w14:paraId="29A7EC9E">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协作：与文旅、市场监管等部门及派单组、督办组紧密合作，确保诉求解决。</w:t>
      </w:r>
    </w:p>
    <w:p w14:paraId="2BEC53C6">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职责范围：受理相关诉求，快速转办，跟踪进度，督促整改，回访确认结果；收集分析热点，协助宣传与预警。</w:t>
      </w:r>
    </w:p>
    <w:p w14:paraId="4B5EB730">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营商专席</w:t>
      </w:r>
    </w:p>
    <w:p w14:paraId="00BAD456">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分工：负责优化营商环境领域的咨询与诉求。</w:t>
      </w:r>
    </w:p>
    <w:p w14:paraId="106E9F5F">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协作：和政务服务、商务、市场监管等部门及派单组、督办组协作，推动问题解决。</w:t>
      </w:r>
    </w:p>
    <w:p w14:paraId="67DFA8C0">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职责范围：受理营商环境诉求，转办、跟踪进度；收集分析热点堵点，协助政策宣传与政企对接。</w:t>
      </w:r>
    </w:p>
    <w:p w14:paraId="537A73A7">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行政审批专席</w:t>
      </w:r>
    </w:p>
    <w:p w14:paraId="57F66B5E">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分工：专门处理行政审批领域的咨询与诉求。</w:t>
      </w:r>
    </w:p>
    <w:p w14:paraId="5F69103B">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协作：与政务服务、各审批职能部门及派单组、督办组协同，解决审批问题。</w:t>
      </w:r>
    </w:p>
    <w:p w14:paraId="11D76D4C">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职责范围：受理行政审批诉求，转办、跟踪情况，协调解决问题；收集分析高频问题，协助政策解读与流程优化。</w:t>
      </w:r>
    </w:p>
    <w:p w14:paraId="0E1FF235">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bookmarkStart w:id="278" w:name="_Toc2612"/>
      <w:bookmarkStart w:id="279" w:name="_Toc23544"/>
      <w:bookmarkStart w:id="280" w:name="_Toc19535"/>
      <w:bookmarkStart w:id="281" w:name="_Toc6113"/>
      <w:bookmarkStart w:id="282" w:name="_Toc6943"/>
      <w:bookmarkStart w:id="283" w:name="_Toc28402"/>
      <w:bookmarkStart w:id="284" w:name="_Toc8106"/>
      <w:bookmarkStart w:id="285" w:name="_Toc849"/>
      <w:bookmarkStart w:id="286" w:name="_Toc2636"/>
      <w:bookmarkStart w:id="287" w:name="_Toc13968"/>
      <w:bookmarkStart w:id="288" w:name="_Toc26957"/>
      <w:bookmarkStart w:id="289" w:name="_Toc31469"/>
      <w:r>
        <w:rPr>
          <w:rFonts w:hint="eastAsia" w:ascii="宋体" w:hAnsi="宋体" w:eastAsia="宋体" w:cs="宋体"/>
          <w:color w:val="auto"/>
          <w:sz w:val="28"/>
          <w:szCs w:val="28"/>
          <w:highlight w:val="none"/>
          <w:lang w:val="en-US" w:eastAsia="zh-CN"/>
        </w:rPr>
        <w:t>2.业务班组</w:t>
      </w:r>
      <w:bookmarkEnd w:id="278"/>
      <w:bookmarkEnd w:id="279"/>
      <w:bookmarkEnd w:id="280"/>
      <w:bookmarkEnd w:id="281"/>
      <w:bookmarkEnd w:id="282"/>
      <w:bookmarkEnd w:id="283"/>
      <w:bookmarkEnd w:id="284"/>
      <w:bookmarkEnd w:id="285"/>
      <w:bookmarkEnd w:id="286"/>
      <w:bookmarkEnd w:id="287"/>
      <w:bookmarkEnd w:id="288"/>
      <w:bookmarkEnd w:id="289"/>
    </w:p>
    <w:p w14:paraId="0ECE44BA">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督办组</w:t>
      </w:r>
    </w:p>
    <w:p w14:paraId="6979B2F7">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分工：对所有承办单位的工单进行督办。</w:t>
      </w:r>
    </w:p>
    <w:p w14:paraId="3DEEC069">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协作：与各专席、派单组、回访组等密切配合，确保工单按时高质量办结。</w:t>
      </w:r>
    </w:p>
    <w:p w14:paraId="0BCC22A2">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职责范围：跟踪办理时限与质量，催办超时件，核实谎报件，协调推诿问题，上报疑难件并监督处置，总结优化督办工作。</w:t>
      </w:r>
    </w:p>
    <w:p w14:paraId="37E8008A">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回访组</w:t>
      </w:r>
    </w:p>
    <w:p w14:paraId="15B932E0">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分工：对已办结工单进行满意度回访。</w:t>
      </w:r>
    </w:p>
    <w:p w14:paraId="31B7CF2D">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协作：与承办单位、督办组合作，处理不满意或未解决的办件。</w:t>
      </w:r>
    </w:p>
    <w:p w14:paraId="025CE6B8">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职责范围：回访核实问题解决情况，反馈意见，跟进处理不满意办件，收集整理共性问题与建议。</w:t>
      </w:r>
    </w:p>
    <w:p w14:paraId="41D74061">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直通联办组</w:t>
      </w:r>
    </w:p>
    <w:p w14:paraId="5808EE3A">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分工：处理紧急、复杂诉求，协调多部门联合处置。</w:t>
      </w:r>
    </w:p>
    <w:p w14:paraId="018C180A">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协作：与公安、应急、市政等部门及其他工单处理岗位协同，快速响应重大民生问题。</w:t>
      </w:r>
    </w:p>
    <w:p w14:paraId="00B7BF38">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职责范围：协调多部门实时响应，跟踪跨部门工单进度，建立联办机制，解决疑难问题，优化流程。</w:t>
      </w:r>
    </w:p>
    <w:p w14:paraId="2F9CEE27">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派单组</w:t>
      </w:r>
    </w:p>
    <w:p w14:paraId="21DD7B07">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分工：对各类诉求进行分类派单。</w:t>
      </w:r>
    </w:p>
    <w:p w14:paraId="2D62DB90">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协作：与各专席、督办组等沟通，确保工单准确分流。</w:t>
      </w:r>
    </w:p>
    <w:p w14:paraId="26E3CBD5">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职责范围：分类梳理诉求，精准派单，审核工单信息，跟踪流转状态，优化派单规则与流程。</w:t>
      </w:r>
    </w:p>
    <w:p w14:paraId="5C170092">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考核组</w:t>
      </w:r>
    </w:p>
    <w:p w14:paraId="421992D6">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分工：负责制定与实施 12345 热线服务考核体系，评估各岗位工作效能。</w:t>
      </w:r>
    </w:p>
    <w:p w14:paraId="4CA22191">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协作：与质培组联动，依据考核结果优化培训方向；与各业务组协同，将考核指标融入日常工作流程。​</w:t>
      </w:r>
    </w:p>
    <w:p w14:paraId="372F9772">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职责范围：制定考核标准与细则，定期开展服务质量考核、人员绩效评估；分析考核数据，形成考核报告；督促整改落实，建立考核档案，为奖惩与晋升提供依据。</w:t>
      </w:r>
    </w:p>
    <w:p w14:paraId="27C482A7">
      <w:pPr>
        <w:pStyle w:val="11"/>
        <w:widowControl/>
        <w:shd w:val="clear" w:color="auto" w:fill="auto"/>
        <w:spacing w:line="360" w:lineRule="auto"/>
        <w:ind w:firstLine="560"/>
        <w:jc w:val="left"/>
        <w:rPr>
          <w:rFonts w:hint="default"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知识库组</w:t>
      </w:r>
    </w:p>
    <w:p w14:paraId="558C16BC">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分工：构建、维护和优化 12345 热线知识库体系，确保信息准确高效。​</w:t>
      </w:r>
    </w:p>
    <w:p w14:paraId="3C3AFF2A">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协作：与智能分析组共享资料，与质培组共同完善培训内容，为各岗位提供知识检索支持。​</w:t>
      </w:r>
    </w:p>
    <w:p w14:paraId="2F8CEF13">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职责范围：收集、审核、更新知识库内容；建立知识分类体系与检索机制；组织知识梳理与整合；开展知识培训与推广，监控知识使用效果，优化知识库管理流程。</w:t>
      </w:r>
    </w:p>
    <w:p w14:paraId="623B7CF5">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bookmarkStart w:id="290" w:name="_Toc15783"/>
      <w:bookmarkStart w:id="291" w:name="_Toc12268"/>
      <w:bookmarkStart w:id="292" w:name="_Toc30026"/>
      <w:bookmarkStart w:id="293" w:name="_Toc13851"/>
      <w:bookmarkStart w:id="294" w:name="_Toc32510"/>
      <w:bookmarkStart w:id="295" w:name="_Toc14961"/>
      <w:bookmarkStart w:id="296" w:name="_Toc30624"/>
      <w:bookmarkStart w:id="297" w:name="_Toc18764"/>
      <w:bookmarkStart w:id="298" w:name="_Toc8226"/>
      <w:bookmarkStart w:id="299" w:name="_Toc18149"/>
      <w:bookmarkStart w:id="300" w:name="_Toc28617"/>
      <w:bookmarkStart w:id="301" w:name="_Toc14180"/>
      <w:r>
        <w:rPr>
          <w:rFonts w:hint="eastAsia" w:ascii="宋体" w:hAnsi="宋体" w:eastAsia="宋体" w:cs="宋体"/>
          <w:color w:val="auto"/>
          <w:sz w:val="28"/>
          <w:szCs w:val="28"/>
          <w:highlight w:val="none"/>
          <w:lang w:val="en-US" w:eastAsia="zh-CN"/>
        </w:rPr>
        <w:t>3.综合服务班组</w:t>
      </w:r>
      <w:bookmarkEnd w:id="290"/>
      <w:bookmarkEnd w:id="291"/>
      <w:bookmarkEnd w:id="292"/>
      <w:bookmarkEnd w:id="293"/>
      <w:bookmarkEnd w:id="294"/>
      <w:bookmarkEnd w:id="295"/>
      <w:bookmarkEnd w:id="296"/>
      <w:bookmarkEnd w:id="297"/>
      <w:bookmarkEnd w:id="298"/>
      <w:bookmarkEnd w:id="299"/>
      <w:bookmarkEnd w:id="300"/>
      <w:bookmarkEnd w:id="301"/>
    </w:p>
    <w:p w14:paraId="216C303C">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bookmarkStart w:id="302" w:name="OLE_LINK209"/>
      <w:r>
        <w:rPr>
          <w:rFonts w:hint="eastAsia" w:ascii="宋体" w:hAnsi="宋体" w:eastAsia="宋体" w:cs="宋体"/>
          <w:color w:val="auto"/>
          <w:sz w:val="28"/>
          <w:szCs w:val="28"/>
          <w:highlight w:val="none"/>
          <w:lang w:val="en-US" w:eastAsia="zh-CN"/>
        </w:rPr>
        <w:t>质培组</w:t>
      </w:r>
    </w:p>
    <w:p w14:paraId="6922D9B1">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分工：负责台席录音质检，以及热线服务质量提升与人员培训。</w:t>
      </w:r>
    </w:p>
    <w:p w14:paraId="163FE2D2">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协作：与各岗位协作，根据业务需求制定培训方案和提升计划。</w:t>
      </w:r>
    </w:p>
    <w:p w14:paraId="7567BDAC">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职责范围：制定质量提升计划与培训方案，开展培训，监督服务质量，完善知识库，组织考核与整改。</w:t>
      </w:r>
    </w:p>
    <w:p w14:paraId="4822E317">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智能分析组</w:t>
      </w:r>
    </w:p>
    <w:p w14:paraId="6D49351C">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分工：管理热线各类材料与数据。</w:t>
      </w:r>
    </w:p>
    <w:p w14:paraId="38AEA294">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协作：为各岗位提供数据支持，与质培组共同维护知识库。</w:t>
      </w:r>
    </w:p>
    <w:p w14:paraId="30691EA7">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职责范围：收集、整理与归档资料，统计分析数据，维护知识库，落实数据安全与保密制度。</w:t>
      </w:r>
    </w:p>
    <w:p w14:paraId="7AD1D882">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技术支撑组</w:t>
      </w:r>
    </w:p>
    <w:p w14:paraId="0489CC25">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分工：保障热线系统的技术稳定运行。</w:t>
      </w:r>
    </w:p>
    <w:p w14:paraId="00966E7B">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协作：与各岗位配合，及时解决技术问题，支持业务系统优化升级。</w:t>
      </w:r>
    </w:p>
    <w:p w14:paraId="498B9258">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职责范围：维护系统与设备，解决技术问题，配合业务优化系统，开展安全巡检，提供应急技术支持。</w:t>
      </w:r>
    </w:p>
    <w:p w14:paraId="4182A721">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bookmarkStart w:id="303" w:name="OLE_LINK208"/>
      <w:r>
        <w:rPr>
          <w:rFonts w:hint="eastAsia" w:ascii="宋体" w:hAnsi="宋体" w:eastAsia="宋体" w:cs="宋体"/>
          <w:color w:val="auto"/>
          <w:sz w:val="28"/>
          <w:szCs w:val="28"/>
          <w:highlight w:val="none"/>
          <w:lang w:val="en-US" w:eastAsia="zh-CN"/>
        </w:rPr>
        <w:t>综合支撑组</w:t>
      </w:r>
      <w:bookmarkEnd w:id="303"/>
    </w:p>
    <w:p w14:paraId="58D3FE3D">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分工：统筹热线日常运营的综合保障。</w:t>
      </w:r>
    </w:p>
    <w:p w14:paraId="6B5B5048">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协作：为各岗位提供行政、后勤等方面的支持，协调解决跨部门问题。</w:t>
      </w:r>
    </w:p>
    <w:p w14:paraId="01B38D0D">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职责范围：管理固定资产与办公设备，落实安全卫生制度，协助行政事务，对接外部单位，协调资源解决共性问题。</w:t>
      </w:r>
    </w:p>
    <w:bookmarkEnd w:id="302"/>
    <w:p w14:paraId="3F9293DF">
      <w:pPr>
        <w:pStyle w:val="11"/>
        <w:widowControl/>
        <w:spacing w:line="360" w:lineRule="auto"/>
        <w:ind w:firstLine="560"/>
        <w:jc w:val="left"/>
        <w:outlineLvl w:val="2"/>
        <w:rPr>
          <w:rFonts w:hint="default" w:ascii="宋体" w:hAnsi="宋体" w:eastAsia="宋体" w:cs="宋体"/>
          <w:b/>
          <w:bCs/>
          <w:color w:val="auto"/>
          <w:sz w:val="28"/>
          <w:szCs w:val="28"/>
          <w:highlight w:val="none"/>
          <w:lang w:val="en-US" w:eastAsia="zh-CN"/>
        </w:rPr>
      </w:pPr>
      <w:bookmarkStart w:id="304" w:name="_Toc3430"/>
      <w:bookmarkStart w:id="305" w:name="_Toc6318"/>
      <w:bookmarkStart w:id="306" w:name="_Toc14246"/>
      <w:bookmarkStart w:id="307" w:name="_Toc5539"/>
      <w:bookmarkStart w:id="308" w:name="_Toc5797"/>
      <w:bookmarkStart w:id="309" w:name="_Toc23471"/>
      <w:bookmarkStart w:id="310" w:name="_Toc15840"/>
      <w:bookmarkStart w:id="311" w:name="_Toc12650"/>
      <w:bookmarkStart w:id="312" w:name="_Toc12088"/>
      <w:bookmarkStart w:id="313" w:name="_Toc30449"/>
      <w:bookmarkStart w:id="314" w:name="_Toc21145"/>
      <w:bookmarkStart w:id="315" w:name="_Toc32557"/>
      <w:bookmarkStart w:id="316" w:name="_Toc10155"/>
      <w:bookmarkStart w:id="317" w:name="_Toc7801"/>
      <w:bookmarkStart w:id="318" w:name="_Toc23857"/>
      <w:r>
        <w:rPr>
          <w:rFonts w:hint="eastAsia" w:ascii="宋体" w:hAnsi="宋体" w:eastAsia="宋体" w:cs="宋体"/>
          <w:b/>
          <w:bCs/>
          <w:color w:val="auto"/>
          <w:sz w:val="28"/>
          <w:szCs w:val="28"/>
          <w:highlight w:val="none"/>
          <w:lang w:val="en-US" w:eastAsia="zh-CN"/>
        </w:rPr>
        <w:t>（5）岗位职责</w:t>
      </w:r>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p>
    <w:p w14:paraId="696D7572">
      <w:pPr>
        <w:pStyle w:val="11"/>
        <w:widowControl/>
        <w:shd w:val="clear" w:color="auto" w:fill="auto"/>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根据岗位设置，本项目服务团队共设置41个岗位，各岗位职责如下：</w:t>
      </w:r>
    </w:p>
    <w:tbl>
      <w:tblPr>
        <w:tblStyle w:val="8"/>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6"/>
        <w:gridCol w:w="1809"/>
        <w:gridCol w:w="6074"/>
      </w:tblGrid>
      <w:tr w14:paraId="2D6A91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blHeader/>
        </w:trPr>
        <w:tc>
          <w:tcPr>
            <w:tcW w:w="373" w:type="pct"/>
            <w:tcBorders>
              <w:top w:val="single" w:color="000000" w:sz="4" w:space="0"/>
              <w:left w:val="single" w:color="000000" w:sz="4" w:space="0"/>
              <w:bottom w:val="single" w:color="000000" w:sz="4" w:space="0"/>
              <w:right w:val="single" w:color="000000" w:sz="4" w:space="0"/>
            </w:tcBorders>
            <w:noWrap/>
            <w:vAlign w:val="center"/>
          </w:tcPr>
          <w:p w14:paraId="7705D40A">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序号</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621AC29C">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岗位</w:t>
            </w:r>
          </w:p>
        </w:tc>
        <w:tc>
          <w:tcPr>
            <w:tcW w:w="3564" w:type="pct"/>
            <w:tcBorders>
              <w:top w:val="single" w:color="000000" w:sz="4" w:space="0"/>
              <w:left w:val="single" w:color="000000" w:sz="4" w:space="0"/>
              <w:bottom w:val="single" w:color="000000" w:sz="4" w:space="0"/>
              <w:right w:val="single" w:color="000000" w:sz="4" w:space="0"/>
            </w:tcBorders>
            <w:noWrap/>
            <w:vAlign w:val="center"/>
          </w:tcPr>
          <w:p w14:paraId="488CD3E7">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岗位职责</w:t>
            </w:r>
          </w:p>
        </w:tc>
      </w:tr>
      <w:tr w14:paraId="24E9D5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15C527A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49774880">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热线总值班长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2FC2C0D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1.确保市政专席、营商专席、回访组的工作正常运转及各项指标达标；</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2.根据市政专席话务现场需要，及时调配话务员班次，做好排班、考勤登记；</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3.对热线话务情况进行分析预测和统筹应急调度，确保热线畅通。</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4.对分管班组的的业务工作做指导意见；</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5.与各承办单位做好沟通工作，整理业务知识和最新政策；</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6.定期对话务员的规范服务、业务知识及业务处理能力进行培训。</w:t>
            </w:r>
          </w:p>
        </w:tc>
      </w:tr>
      <w:tr w14:paraId="2175A4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6704943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75563079">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热线副总值班长（分管旅游专席、放心游专席、质培组）</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3B736C2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1.确保分管区域内的工作正常运转及各项指标达标；</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2.与各承办单位做好沟通工作，定期整理业务知识和最新政策；</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3.对分管班组的服务及业务能力进行培训、指导；</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4.监督检查分管班组的工作情况，做好指标提升工作。</w:t>
            </w:r>
          </w:p>
        </w:tc>
      </w:tr>
      <w:tr w14:paraId="58BF7D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1B4DF3D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142A3410">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热线副总值班长（分管直通联办派单组、考核及知识库小组）</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5925E49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1.确保分管区域内的工作正常运转及各项指标达标；</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2.与各承办单位做好沟通工作，定期整理业务知识和最新政策；</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3.对分管班组的服务及业务能力进行培训、指导；</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4.监督检查分管班组的工作情况，做好指标提升工作。</w:t>
            </w:r>
          </w:p>
        </w:tc>
      </w:tr>
      <w:tr w14:paraId="58EC74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0D2E9AB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0761C13D">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旅游专席组长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1B43FD8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1.负责梳理涉及旅游相关的各类办件数据和相关材料；</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2.负责统筹旅游专席运行工作，保障专席正常运转；</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3.监督话务员工作质量及效率，必要时采取改善措施；</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4.做好话务员排班、考核考勤登记、业务培训，仪容仪表监督等；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5.了解本专席话务员情绪，及时做好思想工作等</w:t>
            </w:r>
          </w:p>
        </w:tc>
      </w:tr>
      <w:tr w14:paraId="2BF745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6B5F1AC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14C11C30">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放心游专席组长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4959B2A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1.负责梳理涉及放心游相关的各类办件数据和相关材料；</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2.负责统筹放心游专席运行工作，保障专席正常运转；</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3.监督话务员工作质量及效率，必要时采取改善措施；</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4.做好话务员排班、考核考勤登记、业务培训，仪容仪表监督等；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5.了解本专席话务员情绪，及时做好思想工作等。</w:t>
            </w:r>
          </w:p>
        </w:tc>
      </w:tr>
      <w:tr w14:paraId="444105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5D6ABAF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02B34E65">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营商专席组长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7D62B4C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1.负责梳理涉及营商环境服务相关的各类办件数据和相关材料；</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2.负责统筹营商专席运行工作，保障专席正常运转；</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3.监督话务员工作质量及效率，必要时采取改善措施；</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4.做好话务员排班、考核考勤登记、业务培训，仪容仪表监督等；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5.了解本专席话务员情绪，及时做好思想工作等。</w:t>
            </w:r>
          </w:p>
        </w:tc>
      </w:tr>
      <w:tr w14:paraId="29A0C3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02E9A07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7</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3EBBFE18">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行政审批专席组长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52D23FD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1.统筹行政审批专席的日常运营工作，确保专席高效、有序运行；</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2.负责梳理行政审批相关的办件数据，分析业务动态和趋势；</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3.与各行政审批部门保持密切沟通，及时获取最新政策和审批流程信息，并整理传达给话务员；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4.监督话务员对行政审批业务的受理和解答质量，定期进行检查和评估，提出改进建议；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5.组织话务员开展行政审批业务知识培训，提升话务员的专业素养和服务水平；</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6.处理话务员遇到的疑难问题和投诉，协调相关部门解决问题；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7.做好话务员的排班、考勤管理和绩效考核工作。</w:t>
            </w:r>
          </w:p>
        </w:tc>
      </w:tr>
      <w:tr w14:paraId="1CA3B7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64CDF6CE">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8</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0C56152F">
            <w:pPr>
              <w:pStyle w:val="12"/>
              <w:jc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行政审批专席副组长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61F15EDB">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1.统筹管理审批专席工作，达成各项工作指标要求；</w:t>
            </w:r>
          </w:p>
          <w:p w14:paraId="1DE2A4A8">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2.做好组员排班、考核、考勤登记、仪容仪表监督等工作，抽查话务员工单派发的准确性；</w:t>
            </w:r>
          </w:p>
          <w:p w14:paraId="7CCD01DD">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3.审查话务员处理网上形式审批办件的准确性；</w:t>
            </w:r>
          </w:p>
          <w:p w14:paraId="0DFAA2E3">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4.及时向各审批窗口呈送网上形式审批办件的打印材料；</w:t>
            </w:r>
          </w:p>
          <w:p w14:paraId="7D657B8E">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5.与其他班组、各承办单位进行业务对接，传达落实最新业务通知，做好业务指导；</w:t>
            </w:r>
          </w:p>
          <w:p w14:paraId="213AC4FE">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0" w:leftChars="0"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6.检查话务现场的办公设备及语音平台系统，发现故障及时上报维修。</w:t>
            </w:r>
          </w:p>
        </w:tc>
      </w:tr>
      <w:tr w14:paraId="719046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4C70F456">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9</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0FBB75CE">
            <w:pPr>
              <w:pStyle w:val="12"/>
              <w:jc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审批专席话务代表</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741334B1">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1.电话诉求处理：承接群众对行政审批、效能监察、政务公开的非紧急类咨询、投诉、建议及举报等诉求电话，提供及时接听、登记、核实、解答、转办和回访的全流程服务。</w:t>
            </w:r>
          </w:p>
          <w:p w14:paraId="23F785AD">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2.线上多渠道办件：通过电话、视频等模式，为市民提供“帮代办”服务，受理三亚市政务中心的线上办件需求，整合线上、线下与语音渠道，打造高效便捷的全方位政务服务体系。</w:t>
            </w:r>
          </w:p>
          <w:p w14:paraId="59AB68E3">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3.公众号平台互动：实时回应“一鹿快办”微信公众号平台上的群众咨询，汇总热点问题，提升政民互动效率、服务透明度和公众满意度。</w:t>
            </w:r>
          </w:p>
          <w:p w14:paraId="34E17B14">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4.其他工作任务：完成上级交办的其他相关工作。</w:t>
            </w:r>
          </w:p>
        </w:tc>
      </w:tr>
      <w:tr w14:paraId="599B86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607DE2D1">
            <w:pPr>
              <w:pStyle w:val="12"/>
              <w:rPr>
                <w:rFonts w:hint="eastAsia"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eastAsia="zh-CN"/>
              </w:rPr>
              <w:t>10</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1F7618D9">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话务值班长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5807C64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1.管理当班期间所有话务台席（市政专席、旅游专席、营商专席）的话</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务秩序，保障热线话务工作正常运转；</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2.对当班话务员进行业务指导、及时做好业务传达；</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3.负责当班班次工单及录音抽查；</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4.负责当班班次工单跟进及热点问题整理；</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5.了解当班班次话务员情绪，及时做好思想工作；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6.协助各区（局）长进行热线接访工作等</w:t>
            </w:r>
          </w:p>
        </w:tc>
      </w:tr>
      <w:tr w14:paraId="5B81C7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351B6BA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11</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2DB26C26">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话务代表（市政专席、放心游专席、营商专席）</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704C3BA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1.具有良好的服务意识，热情高效、积极主动；</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2.耐心接听、受理市民和游客的诉求；</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3.按相关规定如实登记市民所反映的信息。</w:t>
            </w:r>
          </w:p>
        </w:tc>
      </w:tr>
      <w:tr w14:paraId="62ABDE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60DD424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12</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522455D3">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外语话务代表</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1E0B9DF6">
            <w:pPr>
              <w:pStyle w:val="12"/>
              <w:rPr>
                <w:rFonts w:hint="eastAsia" w:ascii="宋体" w:hAnsi="宋体" w:eastAsia="宋体" w:cs="宋体"/>
                <w:color w:val="auto"/>
                <w:sz w:val="21"/>
                <w:szCs w:val="21"/>
                <w:highlight w:val="none"/>
              </w:rPr>
            </w:pPr>
            <w:bookmarkStart w:id="319" w:name="OLE_LINK87"/>
            <w:r>
              <w:rPr>
                <w:rFonts w:hint="eastAsia" w:ascii="宋体" w:hAnsi="宋体" w:eastAsia="宋体" w:cs="宋体"/>
                <w:color w:val="auto"/>
                <w:sz w:val="21"/>
                <w:szCs w:val="21"/>
                <w:highlight w:val="none"/>
                <w:lang w:val="en-US" w:eastAsia="zh-CN"/>
              </w:rPr>
              <w:t>1.负责受理国内外游客的咨询、投诉、举报、建议、求助等业务；</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2.按相关规定如实登记游客所反映的信息，及时跟踪处理所受理的办件；</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3.掌握外国游客来电咨询及投诉的热点问题；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4.服从调度，可随时联系到本人。</w:t>
            </w:r>
            <w:bookmarkEnd w:id="319"/>
          </w:p>
        </w:tc>
      </w:tr>
      <w:tr w14:paraId="4823CC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7CFFCD02">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13</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2332AE6E">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营商专席话务代表</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7C9E02F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1.为企业提供政策咨询、服务办理、效能监督等配套服务；</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2.受理涉及营商环境的各类咨询、求助、投诉，及时跟踪处理所受理的</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办件。</w:t>
            </w:r>
          </w:p>
        </w:tc>
      </w:tr>
      <w:tr w14:paraId="2952F5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459DD8A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14</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1C9405A0">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直通联办派单组组长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18C9DAD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1.统筹直通联办及工单转派相关事宜，达成各项工作指标要求；</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2.做好组员排班、考核、考勤登记、仪容仪表监督等；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3.监督组员工作质量及效率，必要时采取改善措施；</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4.了解组员情绪，及时做好思想工作；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5.与其他班组、各承办单位进行业务对接，传达落实最新业务通知，做好业务指导；</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6.统计本组相关办件数据，梳理和撰写相关材料。</w:t>
            </w:r>
          </w:p>
        </w:tc>
      </w:tr>
      <w:tr w14:paraId="625414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61D13DF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15</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5EBF6D18">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直通联办派单组副组长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22AC62D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1.统筹直通联办及工单转派相关事宜，达成各项工作指标要求；</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2.做好组员排班、考核、考勤登记、仪容仪表监督等；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3.监督组员工作质量及效率，必要时采取改善措施；</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4.了解组员情绪，及时做好思想工作；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5.与其他班组、各承办单位进行业务对接，传达落实最新业务通知，做好业务指导；</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6.统计本组相关办件数据，梳理和撰写相关材料。</w:t>
            </w:r>
          </w:p>
        </w:tc>
      </w:tr>
      <w:tr w14:paraId="2132D6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5BF48F3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16</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64696DCA">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直通联办派单组组员</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6FBA0BB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1.处理直通联办相关办件的退单、延期、催办、复核及督办等工作，解</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答直通联办工作群内业务问题；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2.处理热线平台咨询类办件，联系承办单位及时为诉求人答疑；</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3.梳理各类转后台的办件并及时派发工单；</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4.熟记各类最新业务口径，按要求完成每日工作量。</w:t>
            </w:r>
          </w:p>
        </w:tc>
      </w:tr>
      <w:tr w14:paraId="0B637D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6530B56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17</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756F5F24">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督办组组长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6DC27DD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1.统筹督办相关工作，达成各项工作指标要求；</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2.做好组员排班、考核、考勤登记、仪容仪表监督等；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3.监督组员工作质量及效率，必要时采取改善措施；</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4.了解组员情绪，及时做好思想工作；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5.与其他班组、各承办单位进行业务对接，传达落实最新业务通知，做好业务指导；</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6.统计本组相关办件数据，梳理和撰写相关材料；</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7.组织现场协调会等。</w:t>
            </w:r>
          </w:p>
        </w:tc>
      </w:tr>
      <w:tr w14:paraId="6E7496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11314B2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18</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1CF37DB1">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督办组副组长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14B1881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1.统筹督办相关工作，达成各项工作指标要求；</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2.做好组员排班、考核、考勤登记、仪容仪表监督等；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3.监督组员工作质量及效率，必要时采取改善措施；</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4.了解组员情绪，及时做好思想工作；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5.与其他班组、各承办单位进行业务对接，传达落实最新业务通知，做好业务指导；</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6.统计本组相关办件数据，梳理和撰写相关材料；</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7.组织现场协调会等。</w:t>
            </w:r>
          </w:p>
        </w:tc>
      </w:tr>
      <w:tr w14:paraId="74D1C1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01ABBBA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19</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2AD10271">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督办组组员</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373ADB2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1.负责处理热线后台退单，对承办单位存在推诿谎报、超期、长时效未处理的办件进行督办；</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2.发现工单流程中出现的问题并及时上报；</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3.熟记各类最新业务口径，按要求达成每日工作量要求等。</w:t>
            </w:r>
          </w:p>
        </w:tc>
      </w:tr>
      <w:tr w14:paraId="2B4030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590C093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20</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43704921">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派单组组长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4E1B0AD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1.全面负责派单组的日常管理工作，确保工单及时、准确地分派到各承办单位；</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2.制定和完善派单工作流程和规范，提高派单工作效率和质量；</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3.协调与其他部门和班组之间的工作关系，确保工单流转顺畅；</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4.监督组员的工作质量和效率，定期进行检查和考核，及时发现和解决问题；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5.组织组员进行业务培训，提高组员对各类工单的理解和派单能力；</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6.分析工单派单情况，提出优化建议，不断改进派单工作；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7.做好组员的排班、考勤登记和团队建设工作。</w:t>
            </w:r>
          </w:p>
        </w:tc>
      </w:tr>
      <w:tr w14:paraId="6A68D5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785CE2A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21</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3927F031">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派单组副组长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2CF94F2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1.协助组长做好派单组的日常管理工作，确保工单派单工作的顺利进行；</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2.在组长不在时，代理组长职责，全面负责派单组的工作；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3.监督组员严格按照派单流程和规范进行操作，确保工单分派的准确性和及时性；</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4.协调解决组员在派单过程中遇到的问题，及时与相关部门沟通协调；</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5.协助组长组织组员进行业务培训和技能提升活动；</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6.参与派单工作流程和规范的制定和完善工作；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7.做好组员的考勤登记和绩效考核数据收集工作。</w:t>
            </w:r>
          </w:p>
        </w:tc>
      </w:tr>
      <w:tr w14:paraId="744C68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0B1FBC3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22</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11D76B4D">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派单组组员</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4BFEB1C0">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1.按照派单工作流程和规范，及时、准确地将各类工单分派到相应的承办单位；</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2.与承办单位保持密切沟通，跟进工单的接收和处理情况，及时解决工单分派过程中出现的问题；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3.对分派的工单进行详细记录和跟踪，确保工单得到有效处理；</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4.及时了解最新的业务知识和政策，准确解答承办单位关于工单的疑问；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5.协助组长和副组长完成其他相关工作，如数据统计、文件整理等；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6.发现工单分派工作中存在的问题，及时向上级汇报并提出改进建议。</w:t>
            </w:r>
          </w:p>
        </w:tc>
      </w:tr>
      <w:tr w14:paraId="30694C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25CB2547">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23</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3F752544">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回访组组长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2A261C8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1.统筹回访组的整体工作，制定回访工作计划和目标，确保各项回访工作按要求完成；</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2.建立和完善回访工作流程和标准，提高回访工作的质量和效率；</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3.组织组员开展回访工作，监督组员的回访质量和工作进度，及时给予指导和反馈；</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4.与其他部门和班组保持良好的沟通与协作，及时获取回访所需的信息和资料；</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5.分析回访数据和结果，撰写回访报告，为提升服务质量和改进工作提供依据；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6.组织组员进行业务培训，提高组员的沟通技巧和回访能力；</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7.做好组员的排班、考勤登记和绩效考核工作。</w:t>
            </w:r>
          </w:p>
        </w:tc>
      </w:tr>
      <w:tr w14:paraId="5215CD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2335858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24</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3AE62CD8">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回访组副组长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75953AF9">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1.协助组长做好回访组的日常管理工作，确保回访工作的顺利开展；</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2.在组长不在时，代理组长职责，全面负责回访组的工作；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3.监督组员按照回访工作流程和标准进行操作，保证回访质量；</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4.协调解决组员在回访过程中遇到的问题，及时与相关部门沟通协调；</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5.协助组长组织组员进行业务培训和技能提升活动；</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6.参与回访工作流程和标准的制定和完善工作；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7.做好组员的考勤登记和绩效考核数据收集工作。</w:t>
            </w:r>
          </w:p>
        </w:tc>
      </w:tr>
      <w:tr w14:paraId="5ACCDD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17B8D07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25</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7E604FEB">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回访组组员</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4E7752C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1.按照回访工作流程和要求，对诉求人进行回访，了解诉求处理情况和满意度；</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2.详细记录回访内容和结果，及时反馈回访中发现的问题；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3.与承办单位沟通，协调解决回访中诉求人提出的问题；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4.整理和分析回访数据，为回访报告提供基础资料；</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5.协助组长和副组长完成其他相关工作，如文件整理、数据统计等；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6.不断学习和提升回访业务知识和沟通技巧，提高回访工作质量。</w:t>
            </w:r>
          </w:p>
        </w:tc>
      </w:tr>
      <w:tr w14:paraId="767C8E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2AFB29E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26</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6407E9BA">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考核组组长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56E42F7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1.负责优化并实施三亚热线平台成员单位的考核方案；</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2.收集汇总分析重点考核指标等数据，编纂考核结果情况说明；</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3.负责与省热线平台对接考核事宜；</w:t>
            </w:r>
          </w:p>
        </w:tc>
      </w:tr>
      <w:tr w14:paraId="3C0D40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32A12C8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27</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4B54FE6D">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考核组组员</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1937A39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1.协助组长收集、整理和分析三亚热线平台成员单位的考核数据；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2.按照考核方案，对成员单位的各项考核指标进行准确统计和记录；</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3.参与重点考核指标数据的汇总和分析工作，为考核结果的评定提供数据支持；</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4.协助编纂考核结果情况说明，确保内容准确、客观；</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5.负责与省热线平台对接考核数据报送等相关事宜；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6.及时完成组长交办的其他考核相关工作，如文件整理、档案管理等。</w:t>
            </w:r>
          </w:p>
        </w:tc>
      </w:tr>
      <w:tr w14:paraId="0E9B91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1758076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28</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686A37B9">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知识库组长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1577C09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1.全面负责知识库的规划、建设和管理工作，制定知识库发展策略和目标；</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2.组织制定知识库的管理制度和规范，确保知识库的信息质量和安全性；</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3.协调各部门和班组，收集、整理和审核各类业务知识和政策信息，及时更新知识库内容；</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4.监督知识库组员的工作质量和进度，定期进行检查和评估；</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5.分析知识库的使用情况和用户反馈，提出优化和改进建议，提升知识库的实用性和易用性；</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6.组织知识库组员进行业务培训，提高组员的知识管理和审核能力；</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7.与其他部门合作，推动知识库在热线服务中的有效应用。</w:t>
            </w:r>
          </w:p>
        </w:tc>
      </w:tr>
      <w:tr w14:paraId="48F198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6B93387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29</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432033DB">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知识库组员</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5ED3FC3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1.知识库日常信息的录入和更新；</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2.审核各类政策信息；</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3.保证各项业务信息传递的准确性和及时性；</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4.做好知识库相关内容的整理和数据分析工作。</w:t>
            </w:r>
          </w:p>
        </w:tc>
      </w:tr>
      <w:tr w14:paraId="4A7150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7A05CA4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30</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31448C89">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质检培训组组长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6D62374F">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1.制定中心的培训制度、课件及考题；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2.制定针对性培训方案，开展新员入职、员工业务强化等培训工作；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3.负责中心内部讲解接待工作；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4.对新加入的成员单位进行服务规范、工单系统操作的培训；</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5.优化工作流程，提升服务质量；</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6.对新员工进行心理纾解及辅导，给新员工答疑解惑。</w:t>
            </w:r>
          </w:p>
        </w:tc>
      </w:tr>
      <w:tr w14:paraId="2810AA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05826984">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31</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5697799A">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质检培训组副组长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51292D5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1.制定中心的培训制度、课件及考题；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2.制定针对性培训方案，开展新员入职、员工业务强化等培训工作；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3.负责中心内部讲解接待工作；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4.对新加入的成员单位进行服务规范、工单系统操作的培训；</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5.优化工作流程，提升服务质量；</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6.对新员工进行心理纾解及辅导，给新员工答疑解惑。</w:t>
            </w:r>
          </w:p>
        </w:tc>
      </w:tr>
      <w:tr w14:paraId="56B532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235287E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32</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40929B74">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质检培训员</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3FA8F77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1.负责监听抽查全台席录音质检及工单登记，完成质检报告；</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2.结合质检情况提出优化方案，为内训师提供案例分析；</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3.发现工作中存在的问题，及时向上反映。</w:t>
            </w:r>
          </w:p>
        </w:tc>
      </w:tr>
      <w:tr w14:paraId="41C2F6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4D34C19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33</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76679E33">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智能分析组组长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70AADAB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1.负责撰写热线平台每日、每周、每月、每季度、每年受理情况专报；</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2.省热线平台及其他部门来函要求的各类材料数据；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3.固定报送各类专项情况（环保督察报告、信用体系情况报告、六水共治等）；</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4.撰写工作美篇及会议纪要（协调会、座谈会、检查、参观）；</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5.撰写热线平台的各类宣传材料及文稿。</w:t>
            </w:r>
          </w:p>
        </w:tc>
      </w:tr>
      <w:tr w14:paraId="3314E0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6CC2867E">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34</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0533884C">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智能分析组副组长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555DA81C">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1.协助组长做好智能分析组的日常管理工作，确保各项材料撰写和数据统计任务顺利完成；</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2.在组长不在时，代理组长职责，全面负责智能分析组的工作；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3.组织组员收集、整理和分析热线平台的各类数据，为材料撰写提供数据支持；</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4.协助审核各类材料初稿，确保内容准确、规范；</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5.协调与其他部门和班组之间的工作关系，及时获取材料撰写所需的信息和资料；</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6.协助组长制定材料撰写计划和数据统计方案，提高工作效率和质量；</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7.做好组员的考勤登记和绩效考核数据收集工作。</w:t>
            </w:r>
          </w:p>
        </w:tc>
      </w:tr>
      <w:tr w14:paraId="0DEDA1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4F0220AD">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35</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18F05D42">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材料数据员</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14FB40F6">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1.负责统计热线平台的受理情况及数据分析；</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2.审核热线受理工单，发现并纠正工单问题；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3.负责撰写上级交办文稿、宣传稿件、汇报材料、阶段安排、阶段小结、总结报告、制度文件等各类综合性材料的初稿；</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4.负责有关会议、调研、检查等工作中领导讲话记录及会议纪要的撰写；</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5.负责</w:t>
            </w:r>
            <w:r>
              <w:rPr>
                <w:rFonts w:hint="eastAsia" w:ascii="宋体" w:hAnsi="宋体" w:cs="宋体"/>
                <w:color w:val="auto"/>
                <w:sz w:val="21"/>
                <w:szCs w:val="21"/>
                <w:highlight w:val="none"/>
                <w:lang w:val="en-US" w:eastAsia="zh-CN"/>
              </w:rPr>
              <w:t>12345</w:t>
            </w:r>
            <w:r>
              <w:rPr>
                <w:rFonts w:hint="eastAsia" w:ascii="宋体" w:hAnsi="宋体" w:eastAsia="宋体" w:cs="宋体"/>
                <w:color w:val="auto"/>
                <w:sz w:val="21"/>
                <w:szCs w:val="21"/>
                <w:highlight w:val="none"/>
                <w:lang w:val="en-US" w:eastAsia="zh-CN"/>
              </w:rPr>
              <w:t>热线运营中心收文工作。</w:t>
            </w:r>
          </w:p>
        </w:tc>
      </w:tr>
      <w:tr w14:paraId="7BC670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025F18C3">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36</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12EBCD7F">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技术支撑组长</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75C6FE8A">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1.全面负责技术支撑组的管理与规划工作，制定技术发展战略与年度工作计划，确保热线平台技术体系的稳定运行与持续优化。</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2.组织团队深入了解热线平台的业务需求，结合技术发展趋势，提出并实施合理的技术解决方案，以满足业务发展对技术的要求。</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3.带领团队做好全台席、办公区信息系统以及应急指挥中心设备的日常管理、维护与升级工作，制定完善的维护计划与应急预案，保障系统与设备的高可用性。</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4.协调团队成员组织定期更新和完善知识库的相关技术资料，并负责对话务员进行系统、全面的技术培训，提升话务员的技术操作能力。</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5.监督团队成员的工作质量和进度，建立有效的绩效评估体系，定期对团队成员进行考核与评价，促进团队整体技术水平的提升。</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6.与其他部门保持密切沟通协作，及时了解业务部门的技术需求与反馈，快速响应并解决各类技术问题，确保热线业务的顺利开展。</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7.跟踪行业内先进技术动态，积极推动新技术在热线平台的应用与创新，提升热线平台的技术竞争力。</w:t>
            </w:r>
          </w:p>
        </w:tc>
      </w:tr>
      <w:tr w14:paraId="1DEB7D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513977D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37</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64526784">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技术支撑组员</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73CE7AF8">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1.做好全台席、办公区信息系统的管理、维护工作；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2.了解热线平台应急预案，熟悉工单系统、语音平台系统的前台和后台的功能操作；</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3.组织定期更新和完善知识库的相关资料，对话务员进行相关技术的培训；</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4.发现异常及时处理并向相关领导报告；</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5.负责应急指挥中心设备的操作及维护；</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6.负责现场运营保障及故障排查等。</w:t>
            </w:r>
          </w:p>
        </w:tc>
      </w:tr>
      <w:tr w14:paraId="12AF4C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4B2B080C">
            <w:pPr>
              <w:pStyle w:val="12"/>
              <w:rPr>
                <w:rFonts w:hint="eastAsia"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eastAsia="zh-CN"/>
              </w:rPr>
              <w:t>38</w:t>
            </w:r>
          </w:p>
        </w:tc>
        <w:tc>
          <w:tcPr>
            <w:tcW w:w="1061" w:type="pct"/>
            <w:tcBorders>
              <w:top w:val="single" w:color="000000" w:sz="4" w:space="0"/>
              <w:left w:val="single" w:color="000000" w:sz="4" w:space="0"/>
              <w:bottom w:val="single" w:color="000000" w:sz="4" w:space="0"/>
              <w:right w:val="single" w:color="000000" w:sz="4" w:space="0"/>
            </w:tcBorders>
            <w:noWrap/>
            <w:vAlign w:val="center"/>
          </w:tcPr>
          <w:p w14:paraId="7D1DB8BB">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法务</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62E2A9E5">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1.为热线平台的各项工作提供法律咨询和法律支持，确保工作符合法律法规要求；</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2.审核各类合同、协议等法律文件，防范法律风险；</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3.参与处理热线平台涉及的法律纠纷和诉讼案件，制定应对策略并协调律师进行处理；</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4.跟踪法律法规的变化，及时向内部各部门传达相关信息，并提出合规建议；</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5.协助制定和完善热线平台的内部规章制度，确保制度的合法性和有效性；</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6.组织开展法律知识培训，提高员工的法律意识和法律素养；</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7.对热线平台的重大决策和业务活动进行法律风险评估，提供法律意见。</w:t>
            </w:r>
          </w:p>
        </w:tc>
      </w:tr>
      <w:tr w14:paraId="5451EA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104E86C0">
            <w:pPr>
              <w:pStyle w:val="12"/>
              <w:rPr>
                <w:rFonts w:hint="eastAsia"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eastAsia="zh-CN"/>
              </w:rPr>
              <w:t>39</w:t>
            </w:r>
          </w:p>
        </w:tc>
        <w:tc>
          <w:tcPr>
            <w:tcW w:w="1061" w:type="pct"/>
            <w:tcBorders>
              <w:top w:val="single" w:color="000000" w:sz="4" w:space="0"/>
              <w:left w:val="single" w:color="000000" w:sz="4" w:space="0"/>
              <w:bottom w:val="single" w:color="000000" w:sz="4" w:space="0"/>
              <w:right w:val="single" w:color="000000" w:sz="4" w:space="0"/>
            </w:tcBorders>
            <w:noWrap w:val="0"/>
            <w:vAlign w:val="center"/>
          </w:tcPr>
          <w:p w14:paraId="6AA5EA78">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现场管理员（后勤保障方向）</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3739FE0C">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1.修改完善热线管理及考核制度、制定人员KPI考核；</w:t>
            </w:r>
          </w:p>
          <w:p w14:paraId="7209C5F0">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2.对话务现场员工秩序、服务规范、话务班次等工作进行监督检查；</w:t>
            </w:r>
          </w:p>
          <w:p w14:paraId="4C5620B7">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3.及时上报热线平台现场重大突发事件和舆情；</w:t>
            </w:r>
          </w:p>
          <w:p w14:paraId="1DBAF19C">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4.负责制定中心的各项培训计划及活动；</w:t>
            </w:r>
          </w:p>
          <w:p w14:paraId="6B1E33CF">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5.负责调度应急事件及应急预案工作；</w:t>
            </w:r>
          </w:p>
          <w:p w14:paraId="79867D71">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6.负责物资采购等中心内部保障工作；</w:t>
            </w:r>
          </w:p>
          <w:p w14:paraId="2F35CE5E">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7.负责撰写上级交办文稿、汇报材料、阶段安排、总结报告、制度文件等各类综合性材料；</w:t>
            </w:r>
          </w:p>
          <w:p w14:paraId="60327DA0">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9.负责有关会议、调研、迎检、讲解、检查等工作中领导讲话稿；</w:t>
            </w:r>
          </w:p>
          <w:p w14:paraId="3CD08FE1">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10.协助完成各班组情况统计汇总等综合工作。</w:t>
            </w:r>
          </w:p>
          <w:p w14:paraId="4A826F0F">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11.负责各成员单位工单协调联办及处理疑难问题；</w:t>
            </w:r>
          </w:p>
          <w:p w14:paraId="2E2AD193">
            <w:pPr>
              <w:pStyle w:val="12"/>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12.负责审定各班组合理建议和制度汇编；</w:t>
            </w:r>
          </w:p>
          <w:p w14:paraId="7B9ED239">
            <w:pPr>
              <w:pStyle w:val="11"/>
              <w:ind w:firstLine="0" w:firstLineChars="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13.负责现场安全保障工作</w:t>
            </w:r>
            <w:r>
              <w:rPr>
                <w:rFonts w:hint="eastAsia" w:ascii="宋体" w:hAnsi="宋体" w:eastAsia="宋体" w:cs="宋体"/>
                <w:color w:val="auto"/>
                <w:kern w:val="2"/>
                <w:sz w:val="21"/>
                <w:szCs w:val="21"/>
                <w:highlight w:val="none"/>
              </w:rPr>
              <w:t>。</w:t>
            </w:r>
          </w:p>
        </w:tc>
      </w:tr>
      <w:tr w14:paraId="58DF30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373" w:type="pct"/>
            <w:tcBorders>
              <w:top w:val="single" w:color="000000" w:sz="4" w:space="0"/>
              <w:left w:val="single" w:color="000000" w:sz="4" w:space="0"/>
              <w:bottom w:val="single" w:color="000000" w:sz="4" w:space="0"/>
              <w:right w:val="single" w:color="000000" w:sz="4" w:space="0"/>
            </w:tcBorders>
            <w:noWrap/>
            <w:vAlign w:val="center"/>
          </w:tcPr>
          <w:p w14:paraId="242B1007">
            <w:pPr>
              <w:pStyle w:val="12"/>
              <w:rPr>
                <w:rFonts w:hint="eastAsia"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eastAsia="zh-CN"/>
              </w:rPr>
              <w:t>40</w:t>
            </w:r>
          </w:p>
        </w:tc>
        <w:tc>
          <w:tcPr>
            <w:tcW w:w="1061" w:type="pct"/>
            <w:tcBorders>
              <w:top w:val="single" w:color="000000" w:sz="4" w:space="0"/>
              <w:left w:val="single" w:color="000000" w:sz="4" w:space="0"/>
              <w:bottom w:val="single" w:color="000000" w:sz="4" w:space="0"/>
              <w:right w:val="single" w:color="000000" w:sz="4" w:space="0"/>
            </w:tcBorders>
            <w:noWrap w:val="0"/>
            <w:vAlign w:val="center"/>
          </w:tcPr>
          <w:p w14:paraId="7B4B59BA">
            <w:pPr>
              <w:pStyle w:val="12"/>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现场管理员（技术支撑方向）</w:t>
            </w:r>
          </w:p>
        </w:tc>
        <w:tc>
          <w:tcPr>
            <w:tcW w:w="3564" w:type="pct"/>
            <w:tcBorders>
              <w:top w:val="single" w:color="000000" w:sz="4" w:space="0"/>
              <w:left w:val="single" w:color="000000" w:sz="4" w:space="0"/>
              <w:bottom w:val="single" w:color="000000" w:sz="4" w:space="0"/>
              <w:right w:val="single" w:color="000000" w:sz="4" w:space="0"/>
            </w:tcBorders>
            <w:noWrap w:val="0"/>
            <w:vAlign w:val="center"/>
          </w:tcPr>
          <w:p w14:paraId="2F801B61">
            <w:pPr>
              <w:pStyle w:val="12"/>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1.定期对中心信息系统和设备进行维护、故障排查工作，及时对中心设备故障和问题进行维修处理；</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2.根据热线技术故障应急预案及时处置中心突发故障，及时上报现场故障情况、解决情况至各级领导；</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3.后台修改各班组、各职能局所报的工单错误；</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4.处理话务员遇到的技术、设备与工单系统问题；</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5.为职能局添加或解决工单问题，答疑解惑；</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6.汇总热线技术需求、升级等问题与第三方公司对接协调解决；</w:t>
            </w:r>
            <w:r>
              <w:rPr>
                <w:rFonts w:hint="eastAsia" w:ascii="宋体" w:hAnsi="宋体" w:eastAsia="宋体" w:cs="宋体"/>
                <w:color w:val="auto"/>
                <w:sz w:val="21"/>
                <w:szCs w:val="21"/>
                <w:highlight w:val="none"/>
                <w:lang w:val="en-US" w:eastAsia="zh-CN"/>
              </w:rPr>
              <w:br w:type="textWrapping"/>
            </w:r>
            <w:r>
              <w:rPr>
                <w:rFonts w:hint="eastAsia" w:ascii="宋体" w:hAnsi="宋体" w:eastAsia="宋体" w:cs="宋体"/>
                <w:color w:val="auto"/>
                <w:sz w:val="21"/>
                <w:szCs w:val="21"/>
                <w:highlight w:val="none"/>
                <w:lang w:val="en-US" w:eastAsia="zh-CN"/>
              </w:rPr>
              <w:t>7.对话务员进行技术相关培训。</w:t>
            </w:r>
          </w:p>
        </w:tc>
      </w:tr>
    </w:tbl>
    <w:p w14:paraId="3C5BDC96">
      <w:pPr>
        <w:pStyle w:val="11"/>
        <w:bidi w:val="0"/>
        <w:ind w:left="0" w:leftChars="0" w:firstLine="0" w:firstLineChars="0"/>
        <w:rPr>
          <w:rFonts w:hint="eastAsia"/>
          <w:color w:val="auto"/>
          <w:highlight w:val="none"/>
          <w:lang w:eastAsia="zh-CN"/>
        </w:rPr>
      </w:pPr>
    </w:p>
    <w:p w14:paraId="2C16E79A">
      <w:pPr>
        <w:pStyle w:val="11"/>
        <w:widowControl/>
        <w:spacing w:line="360" w:lineRule="auto"/>
        <w:ind w:firstLine="560"/>
        <w:jc w:val="left"/>
        <w:outlineLvl w:val="2"/>
        <w:rPr>
          <w:rFonts w:hint="default" w:ascii="宋体" w:hAnsi="宋体" w:eastAsia="宋体" w:cs="宋体"/>
          <w:b/>
          <w:bCs/>
          <w:color w:val="auto"/>
          <w:sz w:val="28"/>
          <w:szCs w:val="28"/>
          <w:highlight w:val="none"/>
          <w:lang w:val="en-US" w:eastAsia="zh-CN"/>
        </w:rPr>
      </w:pPr>
      <w:bookmarkStart w:id="320" w:name="_Toc9760"/>
      <w:bookmarkStart w:id="321" w:name="_Toc24017"/>
      <w:r>
        <w:rPr>
          <w:rFonts w:hint="eastAsia" w:ascii="宋体" w:hAnsi="宋体" w:eastAsia="宋体" w:cs="宋体"/>
          <w:b/>
          <w:bCs/>
          <w:color w:val="auto"/>
          <w:sz w:val="28"/>
          <w:szCs w:val="28"/>
          <w:highlight w:val="none"/>
          <w:lang w:val="en-US" w:eastAsia="zh-CN"/>
        </w:rPr>
        <w:t>（6）服务团队人员要求</w:t>
      </w:r>
      <w:bookmarkEnd w:id="320"/>
      <w:bookmarkEnd w:id="321"/>
    </w:p>
    <w:p w14:paraId="3F614610">
      <w:pPr>
        <w:pStyle w:val="11"/>
        <w:widowControl/>
        <w:numPr>
          <w:ilvl w:val="0"/>
          <w:numId w:val="0"/>
        </w:numPr>
        <w:spacing w:line="360" w:lineRule="auto"/>
        <w:ind w:firstLine="560" w:firstLineChars="20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kern w:val="0"/>
          <w:sz w:val="28"/>
          <w:szCs w:val="28"/>
          <w:highlight w:val="none"/>
          <w:lang w:val="en-US" w:eastAsia="zh-CN" w:bidi="ar-SA"/>
        </w:rPr>
        <w:t>1.</w:t>
      </w:r>
      <w:r>
        <w:rPr>
          <w:rFonts w:hint="eastAsia" w:ascii="宋体" w:hAnsi="宋体" w:eastAsia="宋体" w:cs="宋体"/>
          <w:color w:val="auto"/>
          <w:sz w:val="28"/>
          <w:szCs w:val="28"/>
          <w:highlight w:val="none"/>
          <w:lang w:val="en-US" w:eastAsia="zh-CN"/>
        </w:rPr>
        <w:t>根据业务类别划分班组服务类别，包括：市政专席、旅游</w:t>
      </w:r>
      <w:r>
        <w:rPr>
          <w:rFonts w:hint="eastAsia" w:ascii="宋体" w:hAnsi="宋体" w:cs="宋体"/>
          <w:color w:val="auto"/>
          <w:sz w:val="28"/>
          <w:szCs w:val="28"/>
          <w:highlight w:val="none"/>
          <w:lang w:val="en-US" w:eastAsia="zh-CN"/>
        </w:rPr>
        <w:t>专席</w:t>
      </w:r>
      <w:r>
        <w:rPr>
          <w:rFonts w:hint="eastAsia" w:ascii="宋体" w:hAnsi="宋体" w:eastAsia="宋体" w:cs="宋体"/>
          <w:color w:val="auto"/>
          <w:sz w:val="28"/>
          <w:szCs w:val="28"/>
          <w:highlight w:val="none"/>
          <w:lang w:val="en-US" w:eastAsia="zh-CN"/>
        </w:rPr>
        <w:t>、放心游专席、行政审批专席、营商专线等话务班组，配置督办、回访、直通联办、派单、质培、考核、知识库、智能分析、技术支撑、现场管理、法务等工作组。</w:t>
      </w:r>
    </w:p>
    <w:p w14:paraId="3CE8A8D9">
      <w:pPr>
        <w:pStyle w:val="11"/>
        <w:widowControl/>
        <w:numPr>
          <w:ilvl w:val="0"/>
          <w:numId w:val="0"/>
        </w:numPr>
        <w:spacing w:line="360" w:lineRule="auto"/>
        <w:ind w:firstLine="560" w:firstLineChars="20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kern w:val="0"/>
          <w:sz w:val="28"/>
          <w:szCs w:val="28"/>
          <w:highlight w:val="none"/>
          <w:lang w:val="en-US" w:eastAsia="zh-CN" w:bidi="ar-SA"/>
        </w:rPr>
        <w:t>2.</w:t>
      </w:r>
      <w:r>
        <w:rPr>
          <w:rFonts w:hint="eastAsia" w:ascii="宋体" w:hAnsi="宋体" w:eastAsia="宋体" w:cs="宋体"/>
          <w:color w:val="auto"/>
          <w:sz w:val="28"/>
          <w:szCs w:val="28"/>
          <w:highlight w:val="none"/>
          <w:lang w:val="en-US" w:eastAsia="zh-CN"/>
        </w:rPr>
        <w:t>建立各岗位的薪酬及考核体系，话务团队包括话务员、外语专席、运营人员、管理人员、数能分析人员、质检人员等,可根据业务及话务量需求，灵活调配各岗位人员具体数量。</w:t>
      </w:r>
    </w:p>
    <w:p w14:paraId="6D77CE5B">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人员招聘须具备以下基本条件：</w:t>
      </w:r>
    </w:p>
    <w:p w14:paraId="39F86460">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1）</w:t>
      </w:r>
      <w:r>
        <w:rPr>
          <w:rFonts w:hint="eastAsia" w:ascii="宋体" w:hAnsi="宋体" w:cs="宋体"/>
          <w:color w:val="auto"/>
          <w:sz w:val="28"/>
          <w:szCs w:val="28"/>
          <w:highlight w:val="none"/>
          <w:lang w:val="en-US" w:eastAsia="zh-CN"/>
        </w:rPr>
        <w:t>本科</w:t>
      </w:r>
      <w:r>
        <w:rPr>
          <w:rFonts w:hint="eastAsia" w:ascii="宋体" w:hAnsi="宋体" w:eastAsia="宋体" w:cs="宋体"/>
          <w:color w:val="auto"/>
          <w:sz w:val="28"/>
          <w:szCs w:val="28"/>
          <w:highlight w:val="none"/>
          <w:lang w:val="en-US" w:eastAsia="zh-CN"/>
        </w:rPr>
        <w:t>及以上学历。</w:t>
      </w:r>
    </w:p>
    <w:p w14:paraId="4C9785AC">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2）年龄40周岁以下。</w:t>
      </w:r>
    </w:p>
    <w:p w14:paraId="24144CBE">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3）遵纪守法、品行端正、爱岗敬业，具有良好品行，无违法违纪行为。</w:t>
      </w:r>
    </w:p>
    <w:p w14:paraId="0A0C03B0">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4）普通话发音标准，语调自然，表达流畅，具有政府部门热线或市县政府12345热线等工作经验者可优先考虑。</w:t>
      </w:r>
    </w:p>
    <w:p w14:paraId="7A9CD6D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5）双语话务人员能至少使用英/俄/日/韩/西班牙/法等其中一门外语流利对话、顺畅沟通，具备英/俄/日/韩/西班牙/法等相关专业、专业语言等级证书人员优先。</w:t>
      </w:r>
    </w:p>
    <w:p w14:paraId="58A91179">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6）业务管理人员须具备2年以上的话务工作经验或1年以上的呼叫中心管理经验。</w:t>
      </w:r>
    </w:p>
    <w:p w14:paraId="31E22A86">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7）具备较强的服务意识和良好的语言表达能力、沟通能力、学习能力和心理承受能力。</w:t>
      </w:r>
    </w:p>
    <w:p w14:paraId="205373E0">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8）身体状况良好。</w:t>
      </w:r>
    </w:p>
    <w:p w14:paraId="37FE1255">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9）有标</w:t>
      </w:r>
      <w:bookmarkStart w:id="322" w:name="OLE_LINK1"/>
      <w:r>
        <w:rPr>
          <w:rFonts w:hint="eastAsia" w:ascii="宋体" w:hAnsi="宋体" w:eastAsia="宋体" w:cs="宋体"/>
          <w:color w:val="auto"/>
          <w:sz w:val="28"/>
          <w:szCs w:val="28"/>
          <w:highlight w:val="none"/>
          <w:lang w:val="en-US" w:eastAsia="zh-CN"/>
        </w:rPr>
        <w:t>准的普通话、具备从事</w:t>
      </w:r>
      <w:bookmarkEnd w:id="322"/>
      <w:r>
        <w:rPr>
          <w:rFonts w:hint="eastAsia" w:ascii="宋体" w:hAnsi="宋体" w:eastAsia="宋体" w:cs="宋体"/>
          <w:color w:val="auto"/>
          <w:sz w:val="28"/>
          <w:szCs w:val="28"/>
          <w:highlight w:val="none"/>
          <w:lang w:val="en-US" w:eastAsia="zh-CN"/>
        </w:rPr>
        <w:t>话务员工作专业知识和技能等优秀人员或有话务经验可放宽限制。</w:t>
      </w:r>
    </w:p>
    <w:p w14:paraId="24FB5536">
      <w:pPr>
        <w:pStyle w:val="11"/>
        <w:widowControl/>
        <w:numPr>
          <w:ilvl w:val="0"/>
          <w:numId w:val="0"/>
        </w:numPr>
        <w:spacing w:line="360" w:lineRule="auto"/>
        <w:ind w:left="0" w:leftChars="0" w:firstLine="560" w:firstLineChars="20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3.根据往年121.2万通的呼入量，在满足各考核要求的前提下，提供不低于167人保障热线服务。</w:t>
      </w:r>
    </w:p>
    <w:p w14:paraId="3167DD4D">
      <w:pPr>
        <w:pStyle w:val="11"/>
        <w:widowControl/>
        <w:numPr>
          <w:ilvl w:val="0"/>
          <w:numId w:val="0"/>
        </w:numPr>
        <w:spacing w:line="360" w:lineRule="auto"/>
        <w:ind w:left="0" w:leftChars="0" w:firstLine="560" w:firstLineChars="20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kern w:val="0"/>
          <w:sz w:val="28"/>
          <w:szCs w:val="28"/>
          <w:highlight w:val="none"/>
          <w:lang w:val="en-US" w:eastAsia="zh-CN" w:bidi="ar-SA"/>
        </w:rPr>
        <w:t>4.</w:t>
      </w:r>
      <w:r>
        <w:rPr>
          <w:rFonts w:hint="eastAsia" w:ascii="宋体" w:hAnsi="宋体" w:eastAsia="宋体" w:cs="宋体"/>
          <w:color w:val="auto"/>
          <w:sz w:val="28"/>
          <w:szCs w:val="28"/>
          <w:highlight w:val="none"/>
          <w:lang w:val="en-US" w:eastAsia="zh-CN"/>
        </w:rPr>
        <w:t>满足《政务服务便民热线运行指南》（GB/T 44189—2024）要求，规划现场管理，包括：基本原则、服务对象、诉求受理、运行模式、现场管理、工作流程、监督管理、服务改进、招聘管理、培训管理、知识库管理、运营管理等。</w:t>
      </w:r>
    </w:p>
    <w:p w14:paraId="1AEFA47D">
      <w:pPr>
        <w:pStyle w:val="11"/>
        <w:widowControl/>
        <w:numPr>
          <w:ilvl w:val="0"/>
          <w:numId w:val="0"/>
        </w:numPr>
        <w:spacing w:line="360" w:lineRule="auto"/>
        <w:ind w:left="0" w:leftChars="0" w:firstLine="560" w:firstLineChars="20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kern w:val="0"/>
          <w:sz w:val="28"/>
          <w:szCs w:val="28"/>
          <w:highlight w:val="none"/>
          <w:lang w:val="en-US" w:eastAsia="zh-CN" w:bidi="ar-SA"/>
        </w:rPr>
        <w:t>5.</w:t>
      </w:r>
      <w:r>
        <w:rPr>
          <w:rFonts w:hint="eastAsia" w:ascii="宋体" w:hAnsi="宋体" w:eastAsia="宋体" w:cs="宋体"/>
          <w:color w:val="auto"/>
          <w:sz w:val="28"/>
          <w:szCs w:val="28"/>
          <w:highlight w:val="none"/>
          <w:lang w:val="en-US" w:eastAsia="zh-CN"/>
        </w:rPr>
        <w:t>提供服务所涉及的软硬件的运维服务，建立应急响应制度。</w:t>
      </w:r>
    </w:p>
    <w:p w14:paraId="068C3A11">
      <w:pPr>
        <w:pStyle w:val="11"/>
        <w:widowControl/>
        <w:numPr>
          <w:ilvl w:val="0"/>
          <w:numId w:val="0"/>
        </w:numPr>
        <w:spacing w:line="360" w:lineRule="auto"/>
        <w:ind w:left="0" w:leftChars="0" w:firstLine="560" w:firstLineChars="20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6.限于10日内与原服务商完成项目交接。</w:t>
      </w:r>
    </w:p>
    <w:p w14:paraId="520F2789">
      <w:pPr>
        <w:pStyle w:val="11"/>
        <w:widowControl/>
        <w:numPr>
          <w:ilvl w:val="0"/>
          <w:numId w:val="0"/>
        </w:numPr>
        <w:spacing w:line="360" w:lineRule="auto"/>
        <w:ind w:left="0" w:leftChars="0" w:firstLine="560" w:firstLineChars="20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7.提供项目服务的售后服务。</w:t>
      </w:r>
    </w:p>
    <w:p w14:paraId="5F04E6A9">
      <w:pPr>
        <w:pStyle w:val="11"/>
        <w:widowControl/>
        <w:numPr>
          <w:ilvl w:val="0"/>
          <w:numId w:val="0"/>
        </w:numPr>
        <w:spacing w:line="360" w:lineRule="auto"/>
        <w:ind w:left="0" w:leftChars="0" w:firstLine="560" w:firstLineChars="20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8.满足海南省及三亚设定的考核指标。</w:t>
      </w:r>
    </w:p>
    <w:p w14:paraId="14642C55">
      <w:pPr>
        <w:pStyle w:val="11"/>
        <w:widowControl/>
        <w:spacing w:line="360" w:lineRule="auto"/>
        <w:ind w:firstLine="560"/>
        <w:jc w:val="left"/>
        <w:outlineLvl w:val="2"/>
        <w:rPr>
          <w:rFonts w:hint="eastAsia" w:ascii="宋体" w:hAnsi="宋体" w:eastAsia="宋体" w:cs="宋体"/>
          <w:b/>
          <w:bCs/>
          <w:color w:val="auto"/>
          <w:sz w:val="28"/>
          <w:szCs w:val="28"/>
          <w:highlight w:val="none"/>
          <w:lang w:val="en-US" w:eastAsia="zh-CN"/>
        </w:rPr>
      </w:pPr>
      <w:bookmarkStart w:id="323" w:name="_Toc2343"/>
      <w:bookmarkStart w:id="324" w:name="_Toc14746"/>
      <w:r>
        <w:rPr>
          <w:rFonts w:hint="eastAsia" w:ascii="宋体" w:hAnsi="宋体" w:eastAsia="宋体" w:cs="宋体"/>
          <w:b/>
          <w:bCs/>
          <w:color w:val="auto"/>
          <w:sz w:val="28"/>
          <w:szCs w:val="28"/>
          <w:highlight w:val="none"/>
          <w:lang w:val="en-US" w:eastAsia="zh-CN"/>
        </w:rPr>
        <w:t>（7）服务要求</w:t>
      </w:r>
      <w:bookmarkEnd w:id="323"/>
      <w:bookmarkEnd w:id="324"/>
    </w:p>
    <w:p w14:paraId="55D0698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1.配置话务座席不低于100线IP软电话（含移动端许可和PC端座席许可共享）、不低于100线录音资源以及中继接入10线的IVR语音资源；在应急或特殊场景下（如重大自然灾害、重大公</w:t>
      </w:r>
      <w:r>
        <w:rPr>
          <w:rFonts w:hint="eastAsia" w:ascii="宋体" w:hAnsi="宋体" w:cs="宋体"/>
          <w:color w:val="auto"/>
          <w:sz w:val="28"/>
          <w:szCs w:val="28"/>
          <w:highlight w:val="none"/>
          <w:lang w:val="en-US" w:eastAsia="zh-CN"/>
        </w:rPr>
        <w:t>共</w:t>
      </w:r>
      <w:r>
        <w:rPr>
          <w:rFonts w:hint="eastAsia" w:ascii="宋体" w:hAnsi="宋体" w:eastAsia="宋体" w:cs="宋体"/>
          <w:color w:val="auto"/>
          <w:sz w:val="28"/>
          <w:szCs w:val="28"/>
          <w:highlight w:val="none"/>
          <w:lang w:val="en-US" w:eastAsia="zh-CN"/>
        </w:rPr>
        <w:t>卫</w:t>
      </w:r>
      <w:r>
        <w:rPr>
          <w:rFonts w:hint="eastAsia" w:ascii="宋体" w:hAnsi="宋体" w:cs="宋体"/>
          <w:color w:val="auto"/>
          <w:sz w:val="28"/>
          <w:szCs w:val="28"/>
          <w:highlight w:val="none"/>
          <w:lang w:val="en-US" w:eastAsia="zh-CN"/>
        </w:rPr>
        <w:t>生</w:t>
      </w:r>
      <w:r>
        <w:rPr>
          <w:rFonts w:hint="eastAsia" w:ascii="宋体" w:hAnsi="宋体" w:eastAsia="宋体" w:cs="宋体"/>
          <w:color w:val="auto"/>
          <w:sz w:val="28"/>
          <w:szCs w:val="28"/>
          <w:highlight w:val="none"/>
          <w:lang w:val="en-US" w:eastAsia="zh-CN"/>
        </w:rPr>
        <w:t>事件等），可提供不低于17人的虚拟团队。</w:t>
      </w:r>
    </w:p>
    <w:p w14:paraId="69E067F0">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2.热线服务团队需提供语音平台的二次业务开发能力和开放接口，免费为三亚市12345工单系统及其所有子系统提供相适配的功能、模块、接口等，支持采购人后续业务系统的升级和完善。</w:t>
      </w:r>
    </w:p>
    <w:p w14:paraId="24C321CA">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3.基于语音平台上的呼入、呼出等数据（含话户数据和运营管理数据）在服务期间完全属于采购人所有，应及时提供给热线管理部门，并按要求存储于采购人指定的区域。</w:t>
      </w:r>
    </w:p>
    <w:p w14:paraId="7E268077">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4.保证三亚热线与其他各市县、省热线的坐席通话互转，确保紧急情况的话务资源统筹调配，录音文件格式与其他市县一致，至少满足VOX、WAV、MP3中的1-2种。</w:t>
      </w:r>
    </w:p>
    <w:p w14:paraId="317DA907">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5.如热线管理部门基于资源整合要求需要热线服务团队配合迁移系统，热线服务团队须无条件配合，且不得收取任何费用。</w:t>
      </w:r>
    </w:p>
    <w:p w14:paraId="40CC1E1C">
      <w:pPr>
        <w:pStyle w:val="11"/>
        <w:widowControl/>
        <w:spacing w:line="360" w:lineRule="auto"/>
        <w:ind w:firstLine="560"/>
        <w:jc w:val="left"/>
        <w:outlineLvl w:val="1"/>
        <w:rPr>
          <w:rFonts w:hint="eastAsia" w:ascii="宋体" w:hAnsi="宋体" w:eastAsia="宋体" w:cs="宋体"/>
          <w:b/>
          <w:bCs/>
          <w:color w:val="auto"/>
          <w:sz w:val="28"/>
          <w:szCs w:val="28"/>
          <w:highlight w:val="none"/>
          <w:lang w:val="en-US" w:eastAsia="zh-CN"/>
        </w:rPr>
      </w:pPr>
      <w:bookmarkStart w:id="325" w:name="_Toc5724"/>
      <w:r>
        <w:rPr>
          <w:rFonts w:hint="eastAsia" w:ascii="宋体" w:hAnsi="宋体" w:eastAsia="宋体" w:cs="宋体"/>
          <w:b/>
          <w:bCs/>
          <w:color w:val="auto"/>
          <w:sz w:val="28"/>
          <w:szCs w:val="28"/>
          <w:highlight w:val="none"/>
          <w:lang w:val="en-US" w:eastAsia="zh-CN"/>
        </w:rPr>
        <w:t>（十三）场地及物业要求</w:t>
      </w:r>
      <w:bookmarkEnd w:id="325"/>
    </w:p>
    <w:p w14:paraId="7076FC76">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（1）为方便热线业务开展，场地需位于迎宾路片区。</w:t>
      </w:r>
    </w:p>
    <w:p w14:paraId="1BE4E99B">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（2）场地租金不超过62元/平/月（含税），物业费不超过13.8元/平/月。</w:t>
      </w:r>
    </w:p>
    <w:p w14:paraId="10752930">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（3）场地使用面积不超过1300平方米，建筑面积不超过2000平方米。</w:t>
      </w:r>
    </w:p>
    <w:p w14:paraId="6FE9CCE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（4）包含物业配套服务。</w:t>
      </w:r>
    </w:p>
    <w:p w14:paraId="2526874C">
      <w:pPr>
        <w:spacing w:before="240" w:line="360" w:lineRule="exact"/>
        <w:jc w:val="left"/>
        <w:rPr>
          <w:rFonts w:hint="default" w:ascii="宋体" w:hAnsi="宋体" w:eastAsia="宋体"/>
          <w:color w:val="auto"/>
          <w:sz w:val="28"/>
          <w:highlight w:val="none"/>
          <w:lang w:val="en-US" w:eastAsia="zh-CN"/>
        </w:rPr>
      </w:pPr>
    </w:p>
    <w:p w14:paraId="293997D8">
      <w:pPr>
        <w:rPr>
          <w:rFonts w:hint="eastAsia" w:ascii="仿宋_GB2312" w:hAnsi="仿宋_GB2312" w:eastAsia="仿宋_GB2312" w:cs="仿宋_GB2312"/>
          <w:bCs/>
          <w:color w:val="auto"/>
          <w:sz w:val="32"/>
          <w:szCs w:val="32"/>
          <w:highlight w:val="none"/>
        </w:rPr>
      </w:pPr>
      <w:r>
        <w:rPr>
          <w:rFonts w:hint="eastAsia" w:ascii="仿宋_GB2312" w:hAnsi="仿宋_GB2312" w:eastAsia="仿宋_GB2312" w:cs="仿宋_GB2312"/>
          <w:bCs/>
          <w:color w:val="auto"/>
          <w:sz w:val="32"/>
          <w:szCs w:val="32"/>
          <w:highlight w:val="none"/>
        </w:rPr>
        <w:br w:type="page"/>
      </w:r>
    </w:p>
    <w:p w14:paraId="0620B542">
      <w:pPr>
        <w:widowControl/>
        <w:spacing w:before="100" w:beforeAutospacing="1" w:after="100" w:afterAutospacing="1" w:line="560" w:lineRule="exact"/>
        <w:rPr>
          <w:rFonts w:ascii="仿宋_GB2312" w:hAnsi="仿宋_GB2312" w:eastAsia="仿宋_GB2312" w:cs="仿宋_GB2312"/>
          <w:bCs/>
          <w:color w:val="auto"/>
          <w:sz w:val="32"/>
          <w:szCs w:val="32"/>
          <w:highlight w:val="none"/>
        </w:rPr>
      </w:pPr>
      <w:r>
        <w:rPr>
          <w:rFonts w:hint="eastAsia" w:ascii="仿宋_GB2312" w:hAnsi="仿宋_GB2312" w:eastAsia="仿宋_GB2312" w:cs="仿宋_GB2312"/>
          <w:bCs/>
          <w:color w:val="auto"/>
          <w:sz w:val="32"/>
          <w:szCs w:val="32"/>
          <w:highlight w:val="none"/>
        </w:rPr>
        <w:t>附件</w:t>
      </w:r>
      <w:r>
        <w:rPr>
          <w:rFonts w:hint="eastAsia" w:ascii="仿宋_GB2312" w:hAnsi="仿宋_GB2312" w:eastAsia="仿宋_GB2312" w:cs="仿宋_GB2312"/>
          <w:bCs/>
          <w:color w:val="auto"/>
          <w:sz w:val="32"/>
          <w:szCs w:val="32"/>
          <w:highlight w:val="none"/>
          <w:lang w:val="en-US" w:eastAsia="zh-CN"/>
        </w:rPr>
        <w:t>2</w:t>
      </w:r>
      <w:r>
        <w:rPr>
          <w:rFonts w:hint="eastAsia" w:ascii="仿宋_GB2312" w:hAnsi="仿宋_GB2312" w:eastAsia="仿宋_GB2312" w:cs="仿宋_GB2312"/>
          <w:bCs/>
          <w:color w:val="auto"/>
          <w:sz w:val="32"/>
          <w:szCs w:val="32"/>
          <w:highlight w:val="none"/>
        </w:rPr>
        <w:t>：</w:t>
      </w:r>
    </w:p>
    <w:p w14:paraId="39EF64CD">
      <w:pPr>
        <w:widowControl/>
        <w:spacing w:before="100" w:beforeAutospacing="1" w:after="100" w:afterAutospacing="1" w:line="560" w:lineRule="exact"/>
        <w:jc w:val="center"/>
        <w:rPr>
          <w:rFonts w:hint="eastAsia" w:ascii="宋体" w:hAnsi="宋体" w:eastAsia="宋体" w:cs="宋体"/>
          <w:b/>
          <w:bCs w:val="0"/>
          <w:color w:val="auto"/>
          <w:sz w:val="32"/>
          <w:szCs w:val="32"/>
          <w:highlight w:val="none"/>
        </w:rPr>
      </w:pPr>
      <w:r>
        <w:rPr>
          <w:rFonts w:hint="eastAsia" w:ascii="宋体" w:hAnsi="宋体" w:eastAsia="宋体" w:cs="宋体"/>
          <w:b/>
          <w:bCs w:val="0"/>
          <w:color w:val="auto"/>
          <w:sz w:val="32"/>
          <w:szCs w:val="32"/>
          <w:highlight w:val="none"/>
        </w:rPr>
        <w:t>三亚12345热线运营考核标准</w:t>
      </w:r>
    </w:p>
    <w:p w14:paraId="1E91B223">
      <w:pPr>
        <w:keepNext w:val="0"/>
        <w:keepLines w:val="0"/>
        <w:pageBreakBefore w:val="0"/>
        <w:widowControl w:val="0"/>
        <w:kinsoku/>
        <w:wordWrap/>
        <w:overflowPunct/>
        <w:topLinePunct w:val="0"/>
        <w:autoSpaceDE/>
        <w:autoSpaceDN/>
        <w:bidi w:val="0"/>
        <w:adjustRightInd/>
        <w:snapToGrid/>
        <w:spacing w:line="578" w:lineRule="exact"/>
        <w:ind w:firstLine="560" w:firstLineChars="200"/>
        <w:textAlignment w:val="auto"/>
        <w:rPr>
          <w:rFonts w:hint="eastAsia"/>
          <w:color w:val="auto"/>
          <w:sz w:val="28"/>
          <w:szCs w:val="28"/>
          <w:highlight w:val="none"/>
          <w:lang w:val="en-US" w:eastAsia="zh-CN"/>
        </w:rPr>
      </w:pPr>
      <w:r>
        <w:rPr>
          <w:rFonts w:hint="eastAsia"/>
          <w:color w:val="auto"/>
          <w:sz w:val="28"/>
          <w:szCs w:val="28"/>
          <w:highlight w:val="none"/>
          <w:lang w:val="en-US" w:eastAsia="zh-CN"/>
        </w:rPr>
        <w:t>一、考核标准（满分110分）</w:t>
      </w:r>
    </w:p>
    <w:p w14:paraId="37BA8F4C">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（1）接通率（所占分值：10分）</w:t>
      </w:r>
    </w:p>
    <w:p w14:paraId="3E7EEC5D">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在总合同金额不变的前提下，以话务量复合增长率作为来年业务量评估的计算依据。剔除2022年因疫情极端情况导致的峰值数据254万接通量，以2019年至2024年呼入量平均值82万，月均呼入量约为6.8万作为基数，超过月均呼入量6.8万不计接通率，月呼入量未达到6.8万通实行分级考核，分级考核以月接通率达到95%为考核标准。</w:t>
      </w:r>
    </w:p>
    <w:p w14:paraId="062AB02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计分方法：接通率=平台人工应答总量÷呼入总量。以月呼入量6.8万通为考核基数，95%接通率作为起点，即：月呼入量为6.8万通以下的（不含6.8万通）接通率达到95%，接通率每高于95%一个百分点加0.5分，</w:t>
      </w:r>
      <w:r>
        <w:rPr>
          <w:rFonts w:hint="eastAsia" w:ascii="宋体" w:hAnsi="宋体" w:cs="宋体"/>
          <w:color w:val="auto"/>
          <w:sz w:val="28"/>
          <w:szCs w:val="28"/>
          <w:highlight w:val="none"/>
          <w:lang w:val="en-US" w:eastAsia="zh-CN"/>
        </w:rPr>
        <w:t>最高加5分。</w:t>
      </w:r>
      <w:r>
        <w:rPr>
          <w:rFonts w:hint="eastAsia" w:ascii="宋体" w:hAnsi="宋体" w:eastAsia="宋体" w:cs="宋体"/>
          <w:color w:val="auto"/>
          <w:sz w:val="28"/>
          <w:szCs w:val="28"/>
          <w:highlight w:val="none"/>
          <w:lang w:val="en-US" w:eastAsia="zh-CN"/>
        </w:rPr>
        <w:t>接通率每低于95%一个百分点扣0.5分，扣完为止。</w:t>
      </w:r>
    </w:p>
    <w:p w14:paraId="6980EDCB">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月呼入量超过6.8万通以上时，以月接通量5.9万通为基数，每接通超出1万通电话，加0.5分，最高加5分。每减少1万通扣0.5分，扣完为止。</w:t>
      </w:r>
    </w:p>
    <w:p w14:paraId="4F99DFB3">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数据来源：系统平台话务日报表。</w:t>
      </w:r>
    </w:p>
    <w:p w14:paraId="0EFD3D47">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（2）平均接通时长（所占分值：5分）</w:t>
      </w:r>
    </w:p>
    <w:p w14:paraId="0C595509">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目标值：考核分平台接话快捷情况，平台话务接通时长为15s。</w:t>
      </w:r>
    </w:p>
    <w:p w14:paraId="1A7ACD07">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计分方法：平均人工接通时长=呼入人工接通时长÷平台人工应答总量。以15s为目标值，若接通时长≤15s，则接通时长为满分；若接通时长≥15s，每超出3s则扣减1分，扣完为止。</w:t>
      </w:r>
    </w:p>
    <w:p w14:paraId="0E16EC1B">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数据来源：系统平台话务报表。</w:t>
      </w:r>
    </w:p>
    <w:p w14:paraId="7318C4B6">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（3）响应率（所占分值：15分）</w:t>
      </w:r>
    </w:p>
    <w:p w14:paraId="34EA6896">
      <w:pPr>
        <w:pStyle w:val="11"/>
        <w:widowControl/>
        <w:spacing w:line="360" w:lineRule="auto"/>
        <w:ind w:firstLine="560"/>
        <w:jc w:val="left"/>
        <w:rPr>
          <w:rFonts w:hint="eastAsia" w:ascii="宋体" w:hAnsi="宋体" w:eastAsia="宋体" w:cs="宋体"/>
          <w:b w:val="0"/>
          <w:bCs w:val="0"/>
          <w:color w:val="auto"/>
          <w:sz w:val="28"/>
          <w:szCs w:val="28"/>
          <w:highlight w:val="none"/>
          <w:lang w:val="en-US" w:eastAsia="zh-CN"/>
        </w:rPr>
      </w:pPr>
      <w:r>
        <w:rPr>
          <w:rFonts w:hint="eastAsia" w:ascii="宋体" w:hAnsi="宋体" w:eastAsia="宋体" w:cs="宋体"/>
          <w:b w:val="0"/>
          <w:bCs w:val="0"/>
          <w:color w:val="auto"/>
          <w:sz w:val="28"/>
          <w:szCs w:val="28"/>
          <w:highlight w:val="none"/>
          <w:lang w:val="en-US" w:eastAsia="zh-CN"/>
        </w:rPr>
        <w:t>①故障响应（所占分值：5分）</w:t>
      </w:r>
    </w:p>
    <w:p w14:paraId="4F7AA8AE">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目标值：保障平台系统平稳有序运行，如系统发生故障，维护人员应在接报后30分钟内响应，1 小时内到达现场，并及时开启应急电话。（详细的运维响应要求可参照“运维服务质量考核要求”及客户要求调整）</w:t>
      </w:r>
    </w:p>
    <w:p w14:paraId="2DBEF065">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计分方法：如超时不予响应提出解决措施每次扣减0.5分，造成严重后果，扣完为止</w:t>
      </w:r>
      <w:r>
        <w:rPr>
          <w:rFonts w:hint="eastAsia" w:ascii="宋体" w:hAnsi="宋体" w:cs="宋体"/>
          <w:color w:val="auto"/>
          <w:sz w:val="28"/>
          <w:szCs w:val="28"/>
          <w:highlight w:val="none"/>
          <w:lang w:val="en-US" w:eastAsia="zh-CN"/>
        </w:rPr>
        <w:t>，并</w:t>
      </w:r>
      <w:r>
        <w:rPr>
          <w:rFonts w:hint="eastAsia" w:ascii="宋体" w:hAnsi="宋体" w:eastAsia="宋体" w:cs="宋体"/>
          <w:color w:val="auto"/>
          <w:sz w:val="28"/>
          <w:szCs w:val="28"/>
          <w:highlight w:val="none"/>
          <w:lang w:val="en-US" w:eastAsia="zh-CN"/>
        </w:rPr>
        <w:t>由三亚市营商环境综合服务中心视情节轻重进行扣罚，。</w:t>
      </w:r>
    </w:p>
    <w:p w14:paraId="28CFD6C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数据来源：三亚市营商环境综合服务中心监督</w:t>
      </w:r>
    </w:p>
    <w:p w14:paraId="53F9BE70">
      <w:pPr>
        <w:pStyle w:val="11"/>
        <w:widowControl/>
        <w:spacing w:line="360" w:lineRule="auto"/>
        <w:ind w:firstLine="560"/>
        <w:jc w:val="left"/>
        <w:rPr>
          <w:rFonts w:hint="eastAsia" w:ascii="宋体" w:hAnsi="宋体" w:eastAsia="宋体" w:cs="宋体"/>
          <w:b w:val="0"/>
          <w:bCs w:val="0"/>
          <w:color w:val="auto"/>
          <w:sz w:val="28"/>
          <w:szCs w:val="28"/>
          <w:highlight w:val="none"/>
          <w:lang w:val="en-US" w:eastAsia="zh-CN"/>
        </w:rPr>
      </w:pPr>
      <w:r>
        <w:rPr>
          <w:rFonts w:hint="eastAsia" w:ascii="宋体" w:hAnsi="宋体" w:eastAsia="宋体" w:cs="宋体"/>
          <w:b w:val="0"/>
          <w:bCs w:val="0"/>
          <w:color w:val="auto"/>
          <w:sz w:val="28"/>
          <w:szCs w:val="28"/>
          <w:highlight w:val="none"/>
          <w:lang w:val="en-US" w:eastAsia="zh-CN"/>
        </w:rPr>
        <w:t>②运维响应（所占分值：5分）</w:t>
      </w:r>
    </w:p>
    <w:p w14:paraId="4602E57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b w:val="0"/>
          <w:bCs w:val="0"/>
          <w:color w:val="auto"/>
          <w:sz w:val="28"/>
          <w:szCs w:val="28"/>
          <w:highlight w:val="none"/>
          <w:lang w:val="en-US" w:eastAsia="zh-CN"/>
        </w:rPr>
        <w:t>目标值：因热线发展需要，</w:t>
      </w:r>
      <w:r>
        <w:rPr>
          <w:rFonts w:hint="eastAsia" w:ascii="宋体" w:hAnsi="宋体"/>
          <w:strike w:val="0"/>
          <w:dstrike w:val="0"/>
          <w:color w:val="auto"/>
          <w:sz w:val="28"/>
          <w:szCs w:val="28"/>
          <w:highlight w:val="none"/>
          <w:lang w:val="en-US" w:eastAsia="zh-CN"/>
        </w:rPr>
        <w:t>乙方</w:t>
      </w:r>
      <w:r>
        <w:rPr>
          <w:rFonts w:hint="eastAsia" w:ascii="宋体" w:hAnsi="宋体" w:eastAsia="宋体" w:cs="宋体"/>
          <w:b w:val="0"/>
          <w:bCs w:val="0"/>
          <w:color w:val="auto"/>
          <w:sz w:val="28"/>
          <w:szCs w:val="28"/>
          <w:highlight w:val="none"/>
          <w:lang w:val="en-US" w:eastAsia="zh-CN"/>
        </w:rPr>
        <w:t>应按时维护平台和向</w:t>
      </w:r>
      <w:r>
        <w:rPr>
          <w:rFonts w:hint="eastAsia" w:ascii="宋体" w:hAnsi="宋体"/>
          <w:strike w:val="0"/>
          <w:dstrike w:val="0"/>
          <w:color w:val="auto"/>
          <w:sz w:val="28"/>
          <w:szCs w:val="28"/>
          <w:highlight w:val="none"/>
          <w:lang w:val="en-US" w:eastAsia="zh-CN"/>
        </w:rPr>
        <w:t>甲方</w:t>
      </w:r>
      <w:r>
        <w:rPr>
          <w:rFonts w:hint="eastAsia" w:ascii="宋体" w:hAnsi="宋体" w:eastAsia="宋体" w:cs="宋体"/>
          <w:b w:val="0"/>
          <w:bCs w:val="0"/>
          <w:color w:val="auto"/>
          <w:sz w:val="28"/>
          <w:szCs w:val="28"/>
          <w:highlight w:val="none"/>
          <w:lang w:val="en-US" w:eastAsia="zh-CN"/>
        </w:rPr>
        <w:t>提交维</w:t>
      </w:r>
      <w:r>
        <w:rPr>
          <w:rFonts w:hint="eastAsia" w:ascii="宋体" w:hAnsi="宋体" w:eastAsia="宋体" w:cs="宋体"/>
          <w:color w:val="auto"/>
          <w:sz w:val="28"/>
          <w:szCs w:val="28"/>
          <w:highlight w:val="none"/>
          <w:lang w:val="en-US" w:eastAsia="zh-CN"/>
        </w:rPr>
        <w:t>护报告，并对</w:t>
      </w:r>
      <w:r>
        <w:rPr>
          <w:rFonts w:hint="eastAsia" w:ascii="宋体" w:hAnsi="宋体"/>
          <w:strike w:val="0"/>
          <w:dstrike w:val="0"/>
          <w:color w:val="auto"/>
          <w:sz w:val="28"/>
          <w:szCs w:val="28"/>
          <w:highlight w:val="none"/>
          <w:lang w:val="en-US" w:eastAsia="zh-CN"/>
        </w:rPr>
        <w:t>甲方</w:t>
      </w:r>
      <w:r>
        <w:rPr>
          <w:rFonts w:hint="eastAsia" w:ascii="宋体" w:hAnsi="宋体" w:eastAsia="宋体" w:cs="宋体"/>
          <w:color w:val="auto"/>
          <w:sz w:val="28"/>
          <w:szCs w:val="28"/>
          <w:highlight w:val="none"/>
          <w:lang w:val="en-US" w:eastAsia="zh-CN"/>
        </w:rPr>
        <w:t>提出的平台改造需求进行及时响应，涉及报表、短信内容、语音菜单及导航按键调整方面的需求，应在需求提交后一个月内实施完毕，如需求较为复杂，双方再另行协商开发时限；涉及流程更改、其他功能改造和超出需求功能改造范围外的需求，应在3个工作日内对需求进行评估并明确完成所需时间并通知</w:t>
      </w:r>
      <w:r>
        <w:rPr>
          <w:rFonts w:hint="eastAsia" w:ascii="宋体" w:hAnsi="宋体"/>
          <w:strike w:val="0"/>
          <w:dstrike w:val="0"/>
          <w:color w:val="auto"/>
          <w:sz w:val="28"/>
          <w:szCs w:val="28"/>
          <w:highlight w:val="none"/>
          <w:lang w:val="en-US" w:eastAsia="zh-CN"/>
        </w:rPr>
        <w:t>甲方</w:t>
      </w:r>
      <w:r>
        <w:rPr>
          <w:rFonts w:hint="eastAsia" w:ascii="宋体" w:hAnsi="宋体" w:eastAsia="宋体" w:cs="宋体"/>
          <w:color w:val="auto"/>
          <w:sz w:val="28"/>
          <w:szCs w:val="28"/>
          <w:highlight w:val="none"/>
          <w:lang w:val="en-US" w:eastAsia="zh-CN"/>
        </w:rPr>
        <w:t>。</w:t>
      </w:r>
    </w:p>
    <w:p w14:paraId="5BE29CBC">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计分方法：不按时提供维护报告，每超时提供一次扣0.5分；如超时不完成功能改造或不按时提供需求功能建设方案，造成严重后果，扣完为止</w:t>
      </w:r>
      <w:r>
        <w:rPr>
          <w:rFonts w:hint="eastAsia" w:ascii="宋体" w:hAnsi="宋体" w:cs="宋体"/>
          <w:color w:val="auto"/>
          <w:sz w:val="28"/>
          <w:szCs w:val="28"/>
          <w:highlight w:val="none"/>
          <w:lang w:val="en-US" w:eastAsia="zh-CN"/>
        </w:rPr>
        <w:t>，并</w:t>
      </w:r>
      <w:r>
        <w:rPr>
          <w:rFonts w:hint="eastAsia" w:ascii="宋体" w:hAnsi="宋体" w:eastAsia="宋体" w:cs="宋体"/>
          <w:color w:val="auto"/>
          <w:sz w:val="28"/>
          <w:szCs w:val="28"/>
          <w:highlight w:val="none"/>
          <w:lang w:val="en-US" w:eastAsia="zh-CN"/>
        </w:rPr>
        <w:t>由三亚市营商环境综合服务中心视情节轻重进行扣罚</w:t>
      </w:r>
      <w:r>
        <w:rPr>
          <w:rFonts w:hint="eastAsia" w:ascii="宋体" w:hAnsi="宋体" w:cs="宋体"/>
          <w:color w:val="auto"/>
          <w:sz w:val="28"/>
          <w:szCs w:val="28"/>
          <w:highlight w:val="none"/>
          <w:lang w:val="en-US" w:eastAsia="zh-CN"/>
        </w:rPr>
        <w:t>。</w:t>
      </w:r>
    </w:p>
    <w:p w14:paraId="078F318E">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数据来源：以</w:t>
      </w:r>
      <w:r>
        <w:rPr>
          <w:rFonts w:hint="eastAsia" w:ascii="宋体" w:hAnsi="宋体"/>
          <w:strike w:val="0"/>
          <w:dstrike w:val="0"/>
          <w:color w:val="auto"/>
          <w:sz w:val="28"/>
          <w:szCs w:val="28"/>
          <w:highlight w:val="none"/>
          <w:lang w:val="en-US" w:eastAsia="zh-CN"/>
        </w:rPr>
        <w:t>甲方</w:t>
      </w:r>
      <w:r>
        <w:rPr>
          <w:rFonts w:hint="eastAsia" w:ascii="宋体" w:hAnsi="宋体" w:eastAsia="宋体" w:cs="宋体"/>
          <w:color w:val="auto"/>
          <w:sz w:val="28"/>
          <w:szCs w:val="28"/>
          <w:highlight w:val="none"/>
          <w:lang w:val="en-US" w:eastAsia="zh-CN"/>
        </w:rPr>
        <w:t>书面提出需求、双方确认工作时限，</w:t>
      </w:r>
      <w:r>
        <w:rPr>
          <w:rFonts w:hint="eastAsia" w:ascii="宋体" w:hAnsi="宋体"/>
          <w:strike w:val="0"/>
          <w:dstrike w:val="0"/>
          <w:color w:val="auto"/>
          <w:sz w:val="28"/>
          <w:szCs w:val="28"/>
          <w:highlight w:val="none"/>
          <w:lang w:val="en-US" w:eastAsia="zh-CN"/>
        </w:rPr>
        <w:t>乙方</w:t>
      </w:r>
      <w:r>
        <w:rPr>
          <w:rFonts w:hint="eastAsia" w:ascii="宋体" w:hAnsi="宋体" w:eastAsia="宋体" w:cs="宋体"/>
          <w:color w:val="auto"/>
          <w:sz w:val="28"/>
          <w:szCs w:val="28"/>
          <w:highlight w:val="none"/>
          <w:lang w:val="en-US" w:eastAsia="zh-CN"/>
        </w:rPr>
        <w:t>反馈完成工作的相关资料为证据。</w:t>
      </w:r>
    </w:p>
    <w:p w14:paraId="4C9CC73C">
      <w:pPr>
        <w:pStyle w:val="11"/>
        <w:widowControl/>
        <w:spacing w:line="360" w:lineRule="auto"/>
        <w:ind w:firstLine="560"/>
        <w:jc w:val="left"/>
        <w:rPr>
          <w:rFonts w:hint="eastAsia" w:ascii="宋体" w:hAnsi="宋体" w:eastAsia="宋体" w:cs="宋体"/>
          <w:b w:val="0"/>
          <w:bCs w:val="0"/>
          <w:color w:val="auto"/>
          <w:sz w:val="28"/>
          <w:szCs w:val="28"/>
          <w:highlight w:val="none"/>
          <w:lang w:val="en-US" w:eastAsia="zh-CN"/>
        </w:rPr>
      </w:pPr>
      <w:r>
        <w:rPr>
          <w:rFonts w:hint="eastAsia" w:ascii="宋体" w:hAnsi="宋体" w:eastAsia="宋体" w:cs="宋体"/>
          <w:b w:val="0"/>
          <w:bCs w:val="0"/>
          <w:color w:val="auto"/>
          <w:sz w:val="28"/>
          <w:szCs w:val="28"/>
          <w:highlight w:val="none"/>
          <w:lang w:val="en-US" w:eastAsia="zh-CN"/>
        </w:rPr>
        <w:t>③应急响应能力（所占分值：5分）</w:t>
      </w:r>
    </w:p>
    <w:p w14:paraId="69CA988E">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目标值：突发公共事件如疫情、自然灾害期间，热线受理量上涨5倍时，需在24小时内以日常坐席数量为基数，增加10%-20%坐席，保障话务接通率稳定。</w:t>
      </w:r>
    </w:p>
    <w:p w14:paraId="3F583B4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计分方法：超出24小时未能增加坐席，每次扣1分；若持续48小时未有应急保障方案缓解突发话务量高峰，造成严重后果，扣完为止</w:t>
      </w:r>
      <w:r>
        <w:rPr>
          <w:rFonts w:hint="eastAsia" w:ascii="宋体" w:hAnsi="宋体" w:cs="宋体"/>
          <w:color w:val="auto"/>
          <w:sz w:val="28"/>
          <w:szCs w:val="28"/>
          <w:highlight w:val="none"/>
          <w:lang w:val="en-US" w:eastAsia="zh-CN"/>
        </w:rPr>
        <w:t>，并</w:t>
      </w:r>
      <w:r>
        <w:rPr>
          <w:rFonts w:hint="eastAsia" w:ascii="宋体" w:hAnsi="宋体" w:eastAsia="宋体" w:cs="宋体"/>
          <w:color w:val="auto"/>
          <w:sz w:val="28"/>
          <w:szCs w:val="28"/>
          <w:highlight w:val="none"/>
          <w:lang w:val="en-US" w:eastAsia="zh-CN"/>
        </w:rPr>
        <w:t>由三亚市营商环境综合服务中心视情节轻重进行扣罚</w:t>
      </w:r>
      <w:r>
        <w:rPr>
          <w:rFonts w:hint="eastAsia" w:ascii="宋体" w:hAnsi="宋体" w:cs="宋体"/>
          <w:color w:val="auto"/>
          <w:sz w:val="28"/>
          <w:szCs w:val="28"/>
          <w:highlight w:val="none"/>
          <w:lang w:val="en-US" w:eastAsia="zh-CN"/>
        </w:rPr>
        <w:t>。</w:t>
      </w:r>
    </w:p>
    <w:p w14:paraId="4A514D5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数据来源：以系统话务数据为主。</w:t>
      </w:r>
    </w:p>
    <w:p w14:paraId="1FC7B5E9">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（4）知识库采编（所占分值：5分）</w:t>
      </w:r>
    </w:p>
    <w:p w14:paraId="56C4BD6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考核平台知识库建设情况和根据三亚市营商环境综合服务中心要求响应的各类热线报表、报告编写。每月抽查发现一次日、周、月报、各类材料分析编写不及时、不准确、不规范，扣0.5分，扣完为止；每月知识库录入信息至少1次，覆盖当月80%以上高频咨询问题及经三亚市营商环境综合服务中心确认要求录入内容，每抽查发现一次知识库信息录入更新不及时、不准确、不规范等，扣0.5分，扣完为止。</w:t>
      </w:r>
    </w:p>
    <w:p w14:paraId="42C5052D">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数据来源：系统统计和三亚市营商环境综合服务中心抽检。</w:t>
      </w:r>
    </w:p>
    <w:p w14:paraId="7B6CC434">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（5）按时办结率（所占分值：</w:t>
      </w:r>
      <w:r>
        <w:rPr>
          <w:rFonts w:hint="eastAsia" w:ascii="宋体" w:hAnsi="宋体" w:cs="宋体"/>
          <w:b/>
          <w:bCs/>
          <w:color w:val="auto"/>
          <w:sz w:val="28"/>
          <w:szCs w:val="28"/>
          <w:highlight w:val="none"/>
          <w:lang w:val="en-US" w:eastAsia="zh-CN"/>
        </w:rPr>
        <w:t>5</w:t>
      </w:r>
      <w:r>
        <w:rPr>
          <w:rFonts w:hint="eastAsia" w:ascii="宋体" w:hAnsi="宋体" w:eastAsia="宋体" w:cs="宋体"/>
          <w:b/>
          <w:bCs/>
          <w:color w:val="auto"/>
          <w:sz w:val="28"/>
          <w:szCs w:val="28"/>
          <w:highlight w:val="none"/>
          <w:lang w:val="en-US" w:eastAsia="zh-CN"/>
        </w:rPr>
        <w:t>分）</w:t>
      </w:r>
    </w:p>
    <w:p w14:paraId="555BC51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目标值：考核分平台承办单位在规定时限内按时办结工单的情况。</w:t>
      </w:r>
    </w:p>
    <w:p w14:paraId="0351A5DA">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计分方法：按时办结率=分平台转派工单中按时办结的工单量÷（办结工单量+在途逾期工单量）</w:t>
      </w:r>
    </w:p>
    <w:p w14:paraId="3779432F">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数据来源：系统平台话务报表。</w:t>
      </w:r>
    </w:p>
    <w:p w14:paraId="1CB5B66B">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（6）抽检达标率（所占分值：10分）</w:t>
      </w:r>
    </w:p>
    <w:p w14:paraId="539F6279">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①前台受理抽检服务质量（所占分值：5分）</w:t>
      </w:r>
    </w:p>
    <w:p w14:paraId="034F9206">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目标值：考核分平台前台受理流程环节中规范处理情况和服务能力。</w:t>
      </w:r>
    </w:p>
    <w:p w14:paraId="01424356">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计分方法：抽检达标率=前台抽检工单平均分/100</w:t>
      </w:r>
    </w:p>
    <w:p w14:paraId="60F10B5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抽检工单为上个月有效办结工单量的0.5%—2%，前台受理抽检工单平均分≥99分时，得5分。</w:t>
      </w:r>
    </w:p>
    <w:p w14:paraId="3F00DA6A">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数据来源：省平台抽检及质检组抽检结果。</w:t>
      </w:r>
    </w:p>
    <w:p w14:paraId="53D9BEE2">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②后台受理抽检服务质量（所占分值：5分）</w:t>
      </w:r>
    </w:p>
    <w:p w14:paraId="355DE00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目标值：考核分平台后台受理流程环节中规范处理情况和服务能力。</w:t>
      </w:r>
    </w:p>
    <w:p w14:paraId="2137BE8D">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 xml:space="preserve">计分方法：抽检达标率=后台抽检工单平均分/100 </w:t>
      </w:r>
    </w:p>
    <w:p w14:paraId="595B3A2F">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抽检工单为上个月有效办结工单量的0.5%—2%，前台受理抽检工单平均分≥99分时，得5分。</w:t>
      </w:r>
    </w:p>
    <w:p w14:paraId="75E6F40F">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数据来源：省平台抽检及质检组抽检结果。</w:t>
      </w:r>
    </w:p>
    <w:p w14:paraId="357210AB">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（7）满意率（所占分值：10分）</w:t>
      </w:r>
    </w:p>
    <w:p w14:paraId="5639FB03">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目标值：话务员全台服务态度满意率需达到95%，前台话务员应以亲切语言，对市民保持热情和友好的态度积极为客户提供周到的规范服务（出应语适时、亲切、清晰、语速恰当）；</w:t>
      </w:r>
    </w:p>
    <w:p w14:paraId="2A36E92C">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计分方法：前台满意率=（非常满意+满意+基本满意的评价数量）÷前台满意度有效评价量。</w:t>
      </w:r>
    </w:p>
    <w:p w14:paraId="2BB3D91D">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数据来源：系统工单满意度报表。</w:t>
      </w:r>
    </w:p>
    <w:p w14:paraId="479AC461">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（8）按时回访率（所占分值：10分）</w:t>
      </w:r>
    </w:p>
    <w:p w14:paraId="3C280D42">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目标值：考核分平台工单进入回访阶段的24小时内按时回访的情况。</w:t>
      </w:r>
    </w:p>
    <w:p w14:paraId="619CCD66">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计分方法：按时回访率=按时回访次数÷当月回访次数</w:t>
      </w:r>
    </w:p>
    <w:p w14:paraId="4CF5E8B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平均工单回访率每低于一个百分点扣0.5分，以此类推，扣完为止，挂起单，疑难单不计入考核范围；当回访员人均工作量达到20单/小时，以达到20单/小时的回访量作为考核指标，按满分计，每减少0.1单/小时扣0.5分，每增加0.1单/小时加0.5分。</w:t>
      </w:r>
    </w:p>
    <w:p w14:paraId="6C6B244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数据来源：由系统提取和三亚市营商环境综合服务中心监督</w:t>
      </w:r>
    </w:p>
    <w:p w14:paraId="4D4B5EEA">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（9）合理退单率（所占分值：10分）</w:t>
      </w:r>
    </w:p>
    <w:p w14:paraId="060137E0">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目标值：考核分平台内部及对于省平台转派工单的配合情况</w:t>
      </w:r>
    </w:p>
    <w:p w14:paraId="28BDCBC5">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计分方法：合理退单率=（分平台承办单位成功退单次数÷分平台承办单位 退单总次数）×4+（分平台成功退单次数÷分平台退单总次数）×6</w:t>
      </w:r>
    </w:p>
    <w:p w14:paraId="13A80CC2">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数据来源：系统平台话务报表。</w:t>
      </w:r>
    </w:p>
    <w:p w14:paraId="1CE52B66">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（10）投诉率（所占分值：10分）</w:t>
      </w:r>
    </w:p>
    <w:p w14:paraId="7F8A3EA9">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目标值：即市民对前台话务员的服务不满或谩骂市民而形成有效投诉及各类媒体（含电视、广播、报刊、网络等）舆情信息涉及12345热线的且确实由热线 前台、热线员问题所致的。</w:t>
      </w:r>
    </w:p>
    <w:p w14:paraId="3B86B63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w:t>
      </w:r>
    </w:p>
    <w:p w14:paraId="3B0EFDD3">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①客户有效投诉的次数每月累计≤3 件，超过第3次，每一次投诉扣1分，以此类推，扣完为止；如造成不良影响的，视情节轻重每次扣2—10分；</w:t>
      </w:r>
    </w:p>
    <w:p w14:paraId="0686CDB7">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②经核实确实由于热线前台、热线员问题所导致的涉及12345热线舆情信息，按照媒体所属范围来判断，国家级媒体扣3分，省级媒体扣2分，市级媒体扣1分；出现在网信办、信访局、省市领导整改批示，经核实确实由于热线前台、热线员问题所导致的，每涉及一次舆情信息，视情节轻重，扣1至3分。</w:t>
      </w:r>
    </w:p>
    <w:p w14:paraId="384F3BE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数据来源：抽取录音证实或媒体。</w:t>
      </w:r>
    </w:p>
    <w:p w14:paraId="5A523119">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（11）人员流失率（</w:t>
      </w:r>
      <w:r>
        <w:rPr>
          <w:rFonts w:hint="eastAsia" w:ascii="宋体" w:hAnsi="宋体" w:cs="宋体"/>
          <w:b/>
          <w:bCs/>
          <w:color w:val="auto"/>
          <w:sz w:val="28"/>
          <w:szCs w:val="28"/>
          <w:highlight w:val="none"/>
          <w:lang w:val="en-US" w:eastAsia="zh-CN"/>
        </w:rPr>
        <w:t>所占分值：5分</w:t>
      </w:r>
      <w:r>
        <w:rPr>
          <w:rFonts w:hint="eastAsia" w:ascii="宋体" w:hAnsi="宋体" w:eastAsia="宋体" w:cs="宋体"/>
          <w:b/>
          <w:bCs/>
          <w:color w:val="auto"/>
          <w:sz w:val="28"/>
          <w:szCs w:val="28"/>
          <w:highlight w:val="none"/>
          <w:lang w:val="en-US" w:eastAsia="zh-CN"/>
        </w:rPr>
        <w:t>）。</w:t>
      </w:r>
    </w:p>
    <w:p w14:paraId="66AB6CB3">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目标值：人员流失率低于10%。</w:t>
      </w:r>
    </w:p>
    <w:p w14:paraId="0BF4620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计分方法：人员流失率不高于10%（不含工作未满1年、主动清退等员工）。以上数据每季度核对，季度考核参照此执行，每高于1%，扣1分，</w:t>
      </w:r>
    </w:p>
    <w:p w14:paraId="376F36E2">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数据来源：乙方按季度提供数据，甲方监督</w:t>
      </w:r>
    </w:p>
    <w:p w14:paraId="4130B362">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eastAsia="宋体" w:cs="宋体"/>
          <w:b/>
          <w:bCs/>
          <w:color w:val="auto"/>
          <w:sz w:val="28"/>
          <w:szCs w:val="28"/>
          <w:highlight w:val="none"/>
          <w:lang w:val="en-US" w:eastAsia="zh-CN"/>
        </w:rPr>
        <w:t>（12）人员保障需求响应及时率（所占分值：5分）</w:t>
      </w:r>
    </w:p>
    <w:p w14:paraId="74E4496D">
      <w:pPr>
        <w:pStyle w:val="11"/>
        <w:widowControl/>
        <w:spacing w:line="360" w:lineRule="auto"/>
        <w:ind w:firstLine="560"/>
        <w:jc w:val="left"/>
        <w:rPr>
          <w:rFonts w:hint="eastAsia" w:ascii="宋体" w:hAnsi="宋体" w:eastAsia="宋体" w:cs="宋体"/>
          <w:b w:val="0"/>
          <w:bCs w:val="0"/>
          <w:color w:val="auto"/>
          <w:sz w:val="28"/>
          <w:szCs w:val="28"/>
          <w:highlight w:val="none"/>
          <w:lang w:val="en-US" w:eastAsia="zh-CN"/>
        </w:rPr>
      </w:pPr>
      <w:r>
        <w:rPr>
          <w:rFonts w:hint="eastAsia" w:ascii="宋体" w:hAnsi="宋体" w:eastAsia="宋体" w:cs="宋体"/>
          <w:b w:val="0"/>
          <w:bCs w:val="0"/>
          <w:color w:val="auto"/>
          <w:sz w:val="28"/>
          <w:szCs w:val="28"/>
          <w:highlight w:val="none"/>
          <w:lang w:val="en-US" w:eastAsia="zh-CN"/>
        </w:rPr>
        <w:t>目标:因业务量增加或实际工作需要，双方协商需求及合同条款，接到甲方书面通知后，乙方在30个工作日内增加相应的工作人员。</w:t>
      </w:r>
    </w:p>
    <w:p w14:paraId="3349EE44">
      <w:pPr>
        <w:pStyle w:val="11"/>
        <w:widowControl/>
        <w:spacing w:line="360" w:lineRule="auto"/>
        <w:ind w:firstLine="560"/>
        <w:jc w:val="left"/>
        <w:rPr>
          <w:rFonts w:hint="eastAsia" w:ascii="宋体" w:hAnsi="宋体" w:eastAsia="宋体" w:cs="宋体"/>
          <w:b w:val="0"/>
          <w:bCs w:val="0"/>
          <w:color w:val="auto"/>
          <w:sz w:val="28"/>
          <w:szCs w:val="28"/>
          <w:highlight w:val="none"/>
          <w:lang w:val="en-US" w:eastAsia="zh-CN"/>
        </w:rPr>
      </w:pPr>
      <w:r>
        <w:rPr>
          <w:rFonts w:hint="eastAsia" w:ascii="宋体" w:hAnsi="宋体" w:eastAsia="宋体" w:cs="宋体"/>
          <w:b w:val="0"/>
          <w:bCs w:val="0"/>
          <w:color w:val="auto"/>
          <w:sz w:val="28"/>
          <w:szCs w:val="28"/>
          <w:highlight w:val="none"/>
          <w:lang w:val="en-US" w:eastAsia="zh-CN"/>
        </w:rPr>
        <w:t>计分方法:超时不提供工作人员，由甲方视情况轻重扣1-5 分，扣完为止。</w:t>
      </w:r>
    </w:p>
    <w:p w14:paraId="5A136452">
      <w:pPr>
        <w:pStyle w:val="11"/>
        <w:widowControl/>
        <w:spacing w:line="360" w:lineRule="auto"/>
        <w:ind w:firstLine="560"/>
        <w:jc w:val="left"/>
        <w:rPr>
          <w:rFonts w:hint="eastAsia" w:ascii="宋体" w:hAnsi="宋体" w:cs="宋体"/>
          <w:b w:val="0"/>
          <w:bCs w:val="0"/>
          <w:color w:val="auto"/>
          <w:sz w:val="28"/>
          <w:szCs w:val="28"/>
          <w:highlight w:val="none"/>
          <w:lang w:val="en-US" w:eastAsia="zh-CN"/>
        </w:rPr>
      </w:pPr>
      <w:r>
        <w:rPr>
          <w:rFonts w:hint="eastAsia" w:ascii="宋体" w:hAnsi="宋体" w:cs="宋体"/>
          <w:b w:val="0"/>
          <w:bCs w:val="0"/>
          <w:color w:val="auto"/>
          <w:sz w:val="28"/>
          <w:szCs w:val="28"/>
          <w:highlight w:val="none"/>
          <w:lang w:val="en-US" w:eastAsia="zh-CN"/>
        </w:rPr>
        <w:t>数据来源：甲方书面通知函和乙方人员工资报表。</w:t>
      </w:r>
    </w:p>
    <w:p w14:paraId="3E5D9D2C">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cs="宋体"/>
          <w:b/>
          <w:bCs/>
          <w:color w:val="auto"/>
          <w:sz w:val="28"/>
          <w:szCs w:val="28"/>
          <w:highlight w:val="none"/>
          <w:lang w:val="en-US" w:eastAsia="zh-CN"/>
        </w:rPr>
        <w:t>（13）</w:t>
      </w:r>
      <w:r>
        <w:rPr>
          <w:rFonts w:hint="eastAsia" w:ascii="宋体" w:hAnsi="宋体" w:eastAsia="宋体" w:cs="宋体"/>
          <w:b/>
          <w:bCs/>
          <w:color w:val="auto"/>
          <w:sz w:val="28"/>
          <w:szCs w:val="28"/>
          <w:highlight w:val="none"/>
          <w:lang w:val="en-US" w:eastAsia="zh-CN"/>
        </w:rPr>
        <w:t>附加项（所占分值：10分）</w:t>
      </w:r>
    </w:p>
    <w:p w14:paraId="3D1C685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①业务管理（5分）：</w:t>
      </w:r>
      <w:r>
        <w:rPr>
          <w:rFonts w:hint="eastAsia" w:ascii="宋体" w:hAnsi="宋体"/>
          <w:strike w:val="0"/>
          <w:dstrike w:val="0"/>
          <w:color w:val="auto"/>
          <w:sz w:val="28"/>
          <w:szCs w:val="28"/>
          <w:highlight w:val="none"/>
          <w:lang w:val="en-US" w:eastAsia="zh-CN"/>
        </w:rPr>
        <w:t>乙方</w:t>
      </w:r>
      <w:r>
        <w:rPr>
          <w:rFonts w:hint="eastAsia" w:ascii="宋体" w:hAnsi="宋体" w:eastAsia="宋体" w:cs="宋体"/>
          <w:color w:val="auto"/>
          <w:sz w:val="28"/>
          <w:szCs w:val="28"/>
          <w:highlight w:val="none"/>
          <w:lang w:val="en-US" w:eastAsia="zh-CN"/>
        </w:rPr>
        <w:t>创新工作机制、改革体制、创新出台管理规范等经</w:t>
      </w:r>
      <w:r>
        <w:rPr>
          <w:rFonts w:hint="eastAsia" w:ascii="宋体" w:hAnsi="宋体"/>
          <w:strike w:val="0"/>
          <w:dstrike w:val="0"/>
          <w:color w:val="auto"/>
          <w:sz w:val="28"/>
          <w:szCs w:val="28"/>
          <w:highlight w:val="none"/>
          <w:lang w:val="en-US" w:eastAsia="zh-CN"/>
        </w:rPr>
        <w:t>甲方</w:t>
      </w:r>
      <w:r>
        <w:rPr>
          <w:rFonts w:hint="eastAsia" w:ascii="宋体" w:hAnsi="宋体" w:eastAsia="宋体" w:cs="宋体"/>
          <w:color w:val="auto"/>
          <w:sz w:val="28"/>
          <w:szCs w:val="28"/>
          <w:highlight w:val="none"/>
          <w:lang w:val="en-US" w:eastAsia="zh-CN"/>
        </w:rPr>
        <w:t>认定，每项加1分；</w:t>
      </w:r>
      <w:r>
        <w:rPr>
          <w:rFonts w:hint="eastAsia" w:ascii="宋体" w:hAnsi="宋体"/>
          <w:strike w:val="0"/>
          <w:dstrike w:val="0"/>
          <w:color w:val="auto"/>
          <w:sz w:val="28"/>
          <w:szCs w:val="28"/>
          <w:highlight w:val="none"/>
          <w:lang w:val="en-US" w:eastAsia="zh-CN"/>
        </w:rPr>
        <w:t>乙方</w:t>
      </w:r>
      <w:r>
        <w:rPr>
          <w:rFonts w:hint="eastAsia" w:ascii="宋体" w:hAnsi="宋体" w:eastAsia="宋体" w:cs="宋体"/>
          <w:color w:val="auto"/>
          <w:sz w:val="28"/>
          <w:szCs w:val="28"/>
          <w:highlight w:val="none"/>
          <w:lang w:val="en-US" w:eastAsia="zh-CN"/>
        </w:rPr>
        <w:t>组建宣传工作小组对热线平台、热线业务进行宣传推广经</w:t>
      </w:r>
      <w:r>
        <w:rPr>
          <w:rFonts w:hint="eastAsia" w:ascii="宋体" w:hAnsi="宋体"/>
          <w:strike w:val="0"/>
          <w:dstrike w:val="0"/>
          <w:color w:val="auto"/>
          <w:sz w:val="28"/>
          <w:szCs w:val="28"/>
          <w:highlight w:val="none"/>
          <w:lang w:val="en-US" w:eastAsia="zh-CN"/>
        </w:rPr>
        <w:t>甲方</w:t>
      </w:r>
      <w:r>
        <w:rPr>
          <w:rFonts w:hint="eastAsia" w:ascii="宋体" w:hAnsi="宋体" w:eastAsia="宋体" w:cs="宋体"/>
          <w:color w:val="auto"/>
          <w:sz w:val="28"/>
          <w:szCs w:val="28"/>
          <w:highlight w:val="none"/>
          <w:lang w:val="en-US" w:eastAsia="zh-CN"/>
        </w:rPr>
        <w:t>认定，每项加1分；</w:t>
      </w:r>
      <w:r>
        <w:rPr>
          <w:rFonts w:hint="eastAsia" w:ascii="宋体" w:hAnsi="宋体"/>
          <w:strike w:val="0"/>
          <w:dstrike w:val="0"/>
          <w:color w:val="auto"/>
          <w:sz w:val="28"/>
          <w:szCs w:val="28"/>
          <w:highlight w:val="none"/>
          <w:lang w:val="en-US" w:eastAsia="zh-CN"/>
        </w:rPr>
        <w:t>乙方</w:t>
      </w:r>
      <w:r>
        <w:rPr>
          <w:rFonts w:hint="eastAsia" w:ascii="宋体" w:hAnsi="宋体" w:eastAsia="宋体" w:cs="宋体"/>
          <w:color w:val="auto"/>
          <w:sz w:val="28"/>
          <w:szCs w:val="28"/>
          <w:highlight w:val="none"/>
          <w:lang w:val="en-US" w:eastAsia="zh-CN"/>
        </w:rPr>
        <w:t>保障数据报表队伍稳定，提供专业化数据分析报表报告等材料经</w:t>
      </w:r>
      <w:r>
        <w:rPr>
          <w:rFonts w:hint="eastAsia" w:ascii="宋体" w:hAnsi="宋体"/>
          <w:strike w:val="0"/>
          <w:dstrike w:val="0"/>
          <w:color w:val="auto"/>
          <w:sz w:val="28"/>
          <w:szCs w:val="28"/>
          <w:highlight w:val="none"/>
          <w:lang w:val="en-US" w:eastAsia="zh-CN"/>
        </w:rPr>
        <w:t>甲方</w:t>
      </w:r>
      <w:r>
        <w:rPr>
          <w:rFonts w:hint="eastAsia" w:ascii="宋体" w:hAnsi="宋体" w:eastAsia="宋体" w:cs="宋体"/>
          <w:color w:val="auto"/>
          <w:sz w:val="28"/>
          <w:szCs w:val="28"/>
          <w:highlight w:val="none"/>
          <w:lang w:val="en-US" w:eastAsia="zh-CN"/>
        </w:rPr>
        <w:t>认定，每项加1分，最高加5分。</w:t>
      </w:r>
    </w:p>
    <w:p w14:paraId="30A77E07">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②活动管理（2分）：热线员配合参加</w:t>
      </w:r>
      <w:r>
        <w:rPr>
          <w:rFonts w:hint="eastAsia" w:ascii="宋体" w:hAnsi="宋体" w:cs="宋体"/>
          <w:color w:val="auto"/>
          <w:sz w:val="28"/>
          <w:szCs w:val="28"/>
          <w:highlight w:val="none"/>
          <w:lang w:val="en-US" w:eastAsia="zh-CN"/>
        </w:rPr>
        <w:t>三亚市营商环境综合服务中心</w:t>
      </w:r>
      <w:r>
        <w:rPr>
          <w:rFonts w:hint="eastAsia" w:ascii="宋体" w:hAnsi="宋体" w:eastAsia="宋体" w:cs="宋体"/>
          <w:color w:val="auto"/>
          <w:sz w:val="28"/>
          <w:szCs w:val="28"/>
          <w:highlight w:val="none"/>
          <w:lang w:val="en-US" w:eastAsia="zh-CN"/>
        </w:rPr>
        <w:t>组织的各项活动，积极参与、组织得力，每次加0.2分；获得较好的团体荣誉、社会评价，每次加0.2分；最高加2分，无故不配合参加党务、工会、团支部、妇联、其他媒体宣传活动，每次扣0.2分，最高扣2分。</w:t>
      </w:r>
    </w:p>
    <w:p w14:paraId="0655C462">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③表扬管理（3分）</w:t>
      </w:r>
    </w:p>
    <w:p w14:paraId="7735F37B">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A.出现在各类媒体（含电视、广播、报刊、网络等）涉及12345热线员及平台的表扬，按照媒体所属范围来判断，国家级媒体加2分，省级媒体加1分，市级媒体加0.5分；领导对12345热线平台的批示表扬及机关颁发的各项荣誉，按照不同级别来判断，国家级加3分，省级加2分，市级加1分；第三方评估颁发的荣誉每次加1分；市民送锦旗每次加0.05分；市民来电表扬每次加0.05分。最高加3分。</w:t>
      </w:r>
    </w:p>
    <w:p w14:paraId="70C7D73B">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B.荣获年度奖项的，在年度考核总分的基础上按照不同级别来判断，国家级加0.4分，省级加0.2分，市级加0.1分。</w:t>
      </w:r>
    </w:p>
    <w:p w14:paraId="5733B8E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C.讲解管理（1分）：根据实际工作需要，及时安排接待讲解人员，接待讲解人员按照接待讲解工作流程和规范做好接待讲解工作，每次加0.2分。安排人员配合迎检，每次加0.2分，最高加1分。</w:t>
      </w:r>
    </w:p>
    <w:p w14:paraId="6C15B905">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cs="宋体"/>
          <w:b/>
          <w:bCs/>
          <w:color w:val="auto"/>
          <w:sz w:val="28"/>
          <w:szCs w:val="28"/>
          <w:highlight w:val="none"/>
          <w:lang w:val="en-US" w:eastAsia="zh-CN"/>
        </w:rPr>
        <w:t>二</w:t>
      </w:r>
      <w:r>
        <w:rPr>
          <w:rFonts w:hint="eastAsia" w:ascii="宋体" w:hAnsi="宋体" w:eastAsia="宋体" w:cs="宋体"/>
          <w:b/>
          <w:bCs/>
          <w:color w:val="auto"/>
          <w:sz w:val="28"/>
          <w:szCs w:val="28"/>
          <w:highlight w:val="none"/>
          <w:lang w:val="en-US" w:eastAsia="zh-CN"/>
        </w:rPr>
        <w:t>.考评标准</w:t>
      </w:r>
    </w:p>
    <w:p w14:paraId="7750E257">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按照合同约定，每年考核一次，依据考核标准得分分为优秀、良好、合格、不合格四个等次。</w:t>
      </w:r>
    </w:p>
    <w:p w14:paraId="773B66D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（1）依据考核标准，综合得分达到90分及以上为优秀；</w:t>
      </w:r>
    </w:p>
    <w:p w14:paraId="4D83F3A8">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（2）依据考核标准，综合得分达80—89分为良好；</w:t>
      </w:r>
    </w:p>
    <w:p w14:paraId="0C4DF2C9">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（3）依据考核标准，综合得分达60—79分为合格；</w:t>
      </w:r>
    </w:p>
    <w:p w14:paraId="11F9ACB2">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（4）依据考核标准，综合得分达到60分以下为不合格。</w:t>
      </w:r>
    </w:p>
    <w:p w14:paraId="2D6EB89E">
      <w:pPr>
        <w:pStyle w:val="11"/>
        <w:widowControl/>
        <w:spacing w:line="360" w:lineRule="auto"/>
        <w:ind w:firstLine="560"/>
        <w:jc w:val="left"/>
        <w:rPr>
          <w:rFonts w:hint="eastAsia" w:ascii="宋体" w:hAnsi="宋体" w:eastAsia="宋体" w:cs="宋体"/>
          <w:b/>
          <w:bCs/>
          <w:color w:val="auto"/>
          <w:sz w:val="28"/>
          <w:szCs w:val="28"/>
          <w:highlight w:val="none"/>
          <w:lang w:val="en-US" w:eastAsia="zh-CN"/>
        </w:rPr>
      </w:pPr>
      <w:r>
        <w:rPr>
          <w:rFonts w:hint="eastAsia" w:ascii="宋体" w:hAnsi="宋体" w:cs="宋体"/>
          <w:b/>
          <w:bCs/>
          <w:color w:val="auto"/>
          <w:sz w:val="28"/>
          <w:szCs w:val="28"/>
          <w:highlight w:val="none"/>
          <w:lang w:val="en-US" w:eastAsia="zh-CN"/>
        </w:rPr>
        <w:t>三</w:t>
      </w:r>
      <w:r>
        <w:rPr>
          <w:rFonts w:hint="eastAsia" w:ascii="宋体" w:hAnsi="宋体" w:eastAsia="宋体" w:cs="宋体"/>
          <w:b/>
          <w:bCs/>
          <w:color w:val="auto"/>
          <w:sz w:val="28"/>
          <w:szCs w:val="28"/>
          <w:highlight w:val="none"/>
          <w:lang w:val="en-US" w:eastAsia="zh-CN"/>
        </w:rPr>
        <w:t>.考核绩效标准</w:t>
      </w:r>
    </w:p>
    <w:p w14:paraId="68B09867">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为推进12345热线制度化、规范化、科学化建设，提高工作效率和服务质量，将三亚市12345政府服务热线服务外包中1</w:t>
      </w:r>
      <w:r>
        <w:rPr>
          <w:rFonts w:hint="eastAsia" w:ascii="宋体" w:hAnsi="宋体" w:cs="宋体"/>
          <w:color w:val="auto"/>
          <w:sz w:val="28"/>
          <w:szCs w:val="28"/>
          <w:highlight w:val="none"/>
          <w:lang w:val="en-US" w:eastAsia="zh-CN"/>
        </w:rPr>
        <w:t>2</w:t>
      </w:r>
      <w:r>
        <w:rPr>
          <w:rFonts w:hint="eastAsia" w:ascii="宋体" w:hAnsi="宋体" w:eastAsia="宋体" w:cs="宋体"/>
          <w:color w:val="auto"/>
          <w:sz w:val="28"/>
          <w:szCs w:val="28"/>
          <w:highlight w:val="none"/>
          <w:lang w:val="en-US" w:eastAsia="zh-CN"/>
        </w:rPr>
        <w:t>%费用作为考核绩效，扣除合同执行不当的金额后，根据任务的量化和指标评分，可划分为三个档次进行发放。</w:t>
      </w:r>
    </w:p>
    <w:p w14:paraId="4B771C01">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（1）根据考评标准，综合得分为良好以上，支付全部绩效奖金。</w:t>
      </w:r>
    </w:p>
    <w:p w14:paraId="3C05F244">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（2）根据考评标准，综合得分为合格，支付一半绩效奖金。</w:t>
      </w:r>
    </w:p>
    <w:p w14:paraId="47F4F71F">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（3）根据考评标准，综合得分为不合格，不支付绩效奖金。</w:t>
      </w:r>
    </w:p>
    <w:p w14:paraId="1F9FCB53">
      <w:pPr>
        <w:pStyle w:val="11"/>
        <w:widowControl/>
        <w:spacing w:line="360" w:lineRule="auto"/>
        <w:ind w:firstLine="560"/>
        <w:jc w:val="left"/>
        <w:rPr>
          <w:rFonts w:hint="eastAsia" w:ascii="宋体" w:hAnsi="宋体" w:eastAsia="宋体" w:cs="宋体"/>
          <w:color w:val="auto"/>
          <w:sz w:val="28"/>
          <w:szCs w:val="28"/>
          <w:highlight w:val="none"/>
          <w:lang w:val="en-US" w:eastAsia="zh-CN"/>
        </w:rPr>
      </w:pPr>
      <w:r>
        <w:rPr>
          <w:rFonts w:hint="eastAsia" w:ascii="宋体" w:hAnsi="宋体" w:eastAsia="宋体" w:cs="宋体"/>
          <w:color w:val="auto"/>
          <w:sz w:val="28"/>
          <w:szCs w:val="28"/>
          <w:highlight w:val="none"/>
          <w:lang w:val="en-US" w:eastAsia="zh-CN"/>
        </w:rPr>
        <w:t>呼叫中心</w:t>
      </w:r>
      <w:r>
        <w:rPr>
          <w:rFonts w:hint="eastAsia" w:ascii="宋体" w:hAnsi="宋体" w:cs="宋体"/>
          <w:color w:val="auto"/>
          <w:sz w:val="28"/>
          <w:szCs w:val="28"/>
          <w:highlight w:val="none"/>
          <w:lang w:val="en-US" w:eastAsia="zh-CN"/>
        </w:rPr>
        <w:t>对</w:t>
      </w:r>
      <w:r>
        <w:rPr>
          <w:rFonts w:hint="eastAsia" w:ascii="宋体" w:hAnsi="宋体" w:eastAsia="宋体" w:cs="宋体"/>
          <w:color w:val="auto"/>
          <w:sz w:val="28"/>
          <w:szCs w:val="28"/>
          <w:highlight w:val="none"/>
          <w:lang w:val="en-US" w:eastAsia="zh-CN"/>
        </w:rPr>
        <w:t>考核结果存在异议，可向热线管理部门申请复核，复核后仍有异议的，再逐级向热线管理部门领导申请复核。</w:t>
      </w:r>
    </w:p>
    <w:p w14:paraId="46BF2494">
      <w:pPr>
        <w:pStyle w:val="11"/>
        <w:keepNext w:val="0"/>
        <w:keepLines w:val="0"/>
        <w:pageBreakBefore w:val="0"/>
        <w:widowControl/>
        <w:kinsoku/>
        <w:wordWrap/>
        <w:overflowPunct/>
        <w:topLinePunct w:val="0"/>
        <w:autoSpaceDE/>
        <w:autoSpaceDN/>
        <w:bidi w:val="0"/>
        <w:adjustRightInd/>
        <w:snapToGrid/>
        <w:spacing w:line="360" w:lineRule="auto"/>
        <w:ind w:firstLine="560"/>
        <w:jc w:val="left"/>
        <w:textAlignment w:val="auto"/>
        <w:rPr>
          <w:rFonts w:hint="eastAsia" w:ascii="宋体" w:hAnsi="宋体" w:cs="宋体"/>
          <w:b/>
          <w:bCs/>
          <w:color w:val="auto"/>
          <w:sz w:val="28"/>
          <w:szCs w:val="28"/>
          <w:highlight w:val="none"/>
          <w:lang w:val="en-US" w:eastAsia="zh-CN"/>
        </w:rPr>
      </w:pPr>
      <w:r>
        <w:rPr>
          <w:rFonts w:hint="eastAsia" w:ascii="宋体" w:hAnsi="宋体" w:cs="宋体"/>
          <w:b/>
          <w:bCs/>
          <w:color w:val="auto"/>
          <w:sz w:val="28"/>
          <w:szCs w:val="28"/>
          <w:highlight w:val="none"/>
          <w:lang w:val="en-US" w:eastAsia="zh-CN"/>
        </w:rPr>
        <w:t>四.附则</w:t>
      </w:r>
    </w:p>
    <w:p w14:paraId="48D6278F">
      <w:pPr>
        <w:pStyle w:val="11"/>
        <w:keepNext w:val="0"/>
        <w:keepLines w:val="0"/>
        <w:pageBreakBefore w:val="0"/>
        <w:widowControl/>
        <w:kinsoku/>
        <w:wordWrap/>
        <w:overflowPunct/>
        <w:topLinePunct w:val="0"/>
        <w:autoSpaceDE/>
        <w:autoSpaceDN/>
        <w:bidi w:val="0"/>
        <w:adjustRightInd/>
        <w:snapToGrid/>
        <w:spacing w:line="360" w:lineRule="auto"/>
        <w:ind w:firstLine="560"/>
        <w:jc w:val="left"/>
        <w:textAlignment w:val="auto"/>
        <w:rPr>
          <w:rFonts w:hint="eastAsia" w:ascii="宋体" w:hAnsi="宋体" w:cs="宋体"/>
          <w:color w:val="auto"/>
          <w:sz w:val="28"/>
          <w:szCs w:val="28"/>
          <w:highlight w:val="none"/>
          <w:lang w:val="en-US" w:eastAsia="zh-CN"/>
        </w:rPr>
      </w:pPr>
      <w:r>
        <w:rPr>
          <w:rFonts w:hint="eastAsia" w:ascii="宋体" w:hAnsi="宋体" w:cs="宋体"/>
          <w:color w:val="auto"/>
          <w:sz w:val="28"/>
          <w:szCs w:val="28"/>
          <w:highlight w:val="none"/>
          <w:lang w:val="en-US" w:eastAsia="zh-CN"/>
        </w:rPr>
        <w:t>呼叫中心入队考核结果存在异议，可向三亚市营商环境综合服务中心申请复核，复核后仍有异议的，再逐级向三亚市营商环境综合服务中心领导申请复核。</w:t>
      </w:r>
    </w:p>
    <w:p w14:paraId="4B705318">
      <w:pPr>
        <w:rPr>
          <w:rFonts w:hint="eastAsia" w:ascii="宋体" w:hAnsi="宋体" w:cs="宋体"/>
          <w:color w:val="auto"/>
          <w:sz w:val="28"/>
          <w:szCs w:val="28"/>
          <w:highlight w:val="none"/>
          <w:lang w:val="en-US" w:eastAsia="zh-CN"/>
        </w:rPr>
      </w:pPr>
      <w:r>
        <w:rPr>
          <w:rFonts w:hint="eastAsia" w:ascii="宋体" w:hAnsi="宋体" w:cs="宋体"/>
          <w:color w:val="auto"/>
          <w:sz w:val="28"/>
          <w:szCs w:val="28"/>
          <w:highlight w:val="none"/>
          <w:lang w:val="en-US" w:eastAsia="zh-CN"/>
        </w:rPr>
        <w:br w:type="page"/>
      </w:r>
    </w:p>
    <w:p w14:paraId="0326F26C">
      <w:pPr>
        <w:pStyle w:val="7"/>
        <w:rPr>
          <w:color w:val="auto"/>
          <w:highlight w:val="none"/>
        </w:rPr>
      </w:pPr>
    </w:p>
    <w:p w14:paraId="0DE200BF">
      <w:pPr>
        <w:pStyle w:val="7"/>
        <w:rPr>
          <w:color w:val="auto"/>
          <w:highlight w:val="none"/>
        </w:rPr>
      </w:pPr>
    </w:p>
    <w:p w14:paraId="3B9AD848">
      <w:pPr>
        <w:pStyle w:val="7"/>
        <w:jc w:val="left"/>
        <w:rPr>
          <w:color w:val="auto"/>
          <w:sz w:val="32"/>
          <w:szCs w:val="32"/>
          <w:highlight w:val="none"/>
        </w:rPr>
      </w:pPr>
      <w:r>
        <w:rPr>
          <w:rFonts w:hint="eastAsia"/>
          <w:color w:val="auto"/>
          <w:sz w:val="32"/>
          <w:szCs w:val="32"/>
          <w:highlight w:val="none"/>
        </w:rPr>
        <w:t>附件</w:t>
      </w:r>
      <w:r>
        <w:rPr>
          <w:rFonts w:hint="eastAsia"/>
          <w:color w:val="auto"/>
          <w:sz w:val="32"/>
          <w:szCs w:val="32"/>
          <w:highlight w:val="none"/>
          <w:lang w:val="en-US" w:eastAsia="zh-CN"/>
        </w:rPr>
        <w:t>3</w:t>
      </w:r>
      <w:r>
        <w:rPr>
          <w:rFonts w:hint="eastAsia"/>
          <w:color w:val="auto"/>
          <w:sz w:val="32"/>
          <w:szCs w:val="32"/>
          <w:highlight w:val="none"/>
        </w:rPr>
        <w:t>：</w:t>
      </w:r>
    </w:p>
    <w:p w14:paraId="2719D6FB">
      <w:pPr>
        <w:pStyle w:val="7"/>
        <w:jc w:val="left"/>
        <w:rPr>
          <w:color w:val="auto"/>
          <w:sz w:val="32"/>
          <w:szCs w:val="32"/>
          <w:highlight w:val="none"/>
        </w:rPr>
      </w:pPr>
    </w:p>
    <w:p w14:paraId="02643F2D">
      <w:pPr>
        <w:pStyle w:val="7"/>
        <w:rPr>
          <w:rFonts w:hint="eastAsia" w:ascii="宋体" w:hAnsi="宋体" w:eastAsia="宋体" w:cs="宋体"/>
          <w:b/>
          <w:bCs/>
          <w:color w:val="auto"/>
          <w:sz w:val="32"/>
          <w:szCs w:val="32"/>
          <w:highlight w:val="none"/>
        </w:rPr>
      </w:pPr>
      <w:r>
        <w:rPr>
          <w:rFonts w:hint="eastAsia" w:ascii="宋体" w:hAnsi="宋体" w:eastAsia="宋体" w:cs="宋体"/>
          <w:b/>
          <w:bCs/>
          <w:color w:val="auto"/>
          <w:sz w:val="32"/>
          <w:szCs w:val="32"/>
          <w:highlight w:val="none"/>
        </w:rPr>
        <w:t>呼叫中心平台服务费和人员管理运营费</w:t>
      </w:r>
    </w:p>
    <w:tbl>
      <w:tblPr>
        <w:tblStyle w:val="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416"/>
        <w:gridCol w:w="4149"/>
        <w:gridCol w:w="2954"/>
      </w:tblGrid>
      <w:tr w14:paraId="7E8A3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60" w:hRule="atLeast"/>
        </w:trPr>
        <w:tc>
          <w:tcPr>
            <w:tcW w:w="831" w:type="pct"/>
            <w:shd w:val="clear" w:color="auto" w:fill="auto"/>
            <w:noWrap/>
            <w:vAlign w:val="center"/>
          </w:tcPr>
          <w:p w14:paraId="6544B336">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2434" w:type="pct"/>
            <w:shd w:val="clear" w:color="auto" w:fill="auto"/>
            <w:noWrap/>
            <w:vAlign w:val="center"/>
          </w:tcPr>
          <w:p w14:paraId="6E8BFC54">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费用名称</w:t>
            </w:r>
          </w:p>
        </w:tc>
        <w:tc>
          <w:tcPr>
            <w:tcW w:w="1733" w:type="pct"/>
            <w:shd w:val="clear" w:color="auto" w:fill="auto"/>
            <w:noWrap/>
            <w:vAlign w:val="center"/>
          </w:tcPr>
          <w:p w14:paraId="3237698B">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费用（元/年）</w:t>
            </w:r>
          </w:p>
        </w:tc>
      </w:tr>
      <w:tr w14:paraId="323D08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60" w:hRule="atLeast"/>
        </w:trPr>
        <w:tc>
          <w:tcPr>
            <w:tcW w:w="831" w:type="pct"/>
            <w:shd w:val="clear" w:color="auto" w:fill="auto"/>
            <w:noWrap/>
            <w:vAlign w:val="center"/>
          </w:tcPr>
          <w:p w14:paraId="5122F445">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2434" w:type="pct"/>
            <w:shd w:val="clear" w:color="auto" w:fill="auto"/>
            <w:noWrap/>
            <w:vAlign w:val="center"/>
          </w:tcPr>
          <w:p w14:paraId="74207D25">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cs="宋体"/>
                <w:i w:val="0"/>
                <w:iCs w:val="0"/>
                <w:color w:val="auto"/>
                <w:kern w:val="0"/>
                <w:sz w:val="20"/>
                <w:szCs w:val="20"/>
                <w:highlight w:val="none"/>
                <w:u w:val="none"/>
                <w:lang w:val="en-US" w:eastAsia="zh-CN" w:bidi="ar"/>
              </w:rPr>
              <w:t>软件服务费用</w:t>
            </w:r>
          </w:p>
        </w:tc>
        <w:tc>
          <w:tcPr>
            <w:tcW w:w="1733" w:type="pct"/>
            <w:shd w:val="clear" w:color="auto" w:fill="auto"/>
            <w:noWrap/>
            <w:vAlign w:val="center"/>
          </w:tcPr>
          <w:p w14:paraId="333269CC">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p>
        </w:tc>
      </w:tr>
      <w:tr w14:paraId="7A87F8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60" w:hRule="atLeast"/>
        </w:trPr>
        <w:tc>
          <w:tcPr>
            <w:tcW w:w="831" w:type="pct"/>
            <w:shd w:val="clear" w:color="auto" w:fill="auto"/>
            <w:noWrap/>
            <w:vAlign w:val="center"/>
          </w:tcPr>
          <w:p w14:paraId="3654794F">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w:t>
            </w:r>
          </w:p>
        </w:tc>
        <w:tc>
          <w:tcPr>
            <w:tcW w:w="2434" w:type="pct"/>
            <w:shd w:val="clear" w:color="auto" w:fill="auto"/>
            <w:noWrap/>
            <w:vAlign w:val="center"/>
          </w:tcPr>
          <w:p w14:paraId="1E0E4F1C">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cs="宋体"/>
                <w:i w:val="0"/>
                <w:iCs w:val="0"/>
                <w:color w:val="auto"/>
                <w:kern w:val="0"/>
                <w:sz w:val="20"/>
                <w:szCs w:val="20"/>
                <w:highlight w:val="none"/>
                <w:u w:val="none"/>
                <w:lang w:val="en-US" w:eastAsia="zh-CN" w:bidi="ar"/>
              </w:rPr>
              <w:t>硬件服务费用</w:t>
            </w:r>
          </w:p>
        </w:tc>
        <w:tc>
          <w:tcPr>
            <w:tcW w:w="1733" w:type="pct"/>
            <w:shd w:val="clear" w:color="auto" w:fill="auto"/>
            <w:noWrap/>
            <w:vAlign w:val="center"/>
          </w:tcPr>
          <w:p w14:paraId="55111157">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p>
        </w:tc>
      </w:tr>
      <w:tr w14:paraId="216E4B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60" w:hRule="atLeast"/>
        </w:trPr>
        <w:tc>
          <w:tcPr>
            <w:tcW w:w="831" w:type="pct"/>
            <w:shd w:val="clear" w:color="auto" w:fill="auto"/>
            <w:noWrap/>
            <w:vAlign w:val="center"/>
          </w:tcPr>
          <w:p w14:paraId="6D76BA67">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2434" w:type="pct"/>
            <w:shd w:val="clear" w:color="auto" w:fill="auto"/>
            <w:noWrap/>
            <w:vAlign w:val="center"/>
          </w:tcPr>
          <w:p w14:paraId="387E08EC">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网络租赁服务费用</w:t>
            </w:r>
          </w:p>
        </w:tc>
        <w:tc>
          <w:tcPr>
            <w:tcW w:w="1733" w:type="pct"/>
            <w:shd w:val="clear" w:color="auto" w:fill="auto"/>
            <w:noWrap/>
            <w:vAlign w:val="center"/>
          </w:tcPr>
          <w:p w14:paraId="17AD47D6">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p>
        </w:tc>
      </w:tr>
      <w:tr w14:paraId="21DA3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60" w:hRule="atLeast"/>
        </w:trPr>
        <w:tc>
          <w:tcPr>
            <w:tcW w:w="831" w:type="pct"/>
            <w:shd w:val="clear" w:color="auto" w:fill="auto"/>
            <w:noWrap/>
            <w:vAlign w:val="center"/>
          </w:tcPr>
          <w:p w14:paraId="7AEC8ACA">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2434" w:type="pct"/>
            <w:shd w:val="clear" w:color="auto" w:fill="auto"/>
            <w:noWrap/>
            <w:vAlign w:val="center"/>
          </w:tcPr>
          <w:p w14:paraId="5E8E09B5">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cs="宋体"/>
                <w:i w:val="0"/>
                <w:iCs w:val="0"/>
                <w:color w:val="auto"/>
                <w:kern w:val="0"/>
                <w:sz w:val="20"/>
                <w:szCs w:val="20"/>
                <w:highlight w:val="none"/>
                <w:u w:val="none"/>
                <w:lang w:val="en-US" w:eastAsia="zh-CN" w:bidi="ar"/>
              </w:rPr>
              <w:t>坐席热线运营费</w:t>
            </w:r>
          </w:p>
        </w:tc>
        <w:tc>
          <w:tcPr>
            <w:tcW w:w="1733" w:type="pct"/>
            <w:shd w:val="clear" w:color="auto" w:fill="auto"/>
            <w:noWrap/>
            <w:vAlign w:val="center"/>
          </w:tcPr>
          <w:p w14:paraId="138570A6">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p>
        </w:tc>
      </w:tr>
      <w:tr w14:paraId="78EF4C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60" w:hRule="atLeast"/>
        </w:trPr>
        <w:tc>
          <w:tcPr>
            <w:tcW w:w="831" w:type="pct"/>
            <w:shd w:val="clear" w:color="auto" w:fill="auto"/>
            <w:noWrap/>
            <w:vAlign w:val="center"/>
          </w:tcPr>
          <w:p w14:paraId="69CC4651">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c>
          <w:tcPr>
            <w:tcW w:w="2434" w:type="pct"/>
            <w:shd w:val="clear" w:color="auto" w:fill="auto"/>
            <w:noWrap/>
            <w:vAlign w:val="center"/>
          </w:tcPr>
          <w:p w14:paraId="04B1DC7C">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场地租赁及物业服务费</w:t>
            </w:r>
          </w:p>
        </w:tc>
        <w:tc>
          <w:tcPr>
            <w:tcW w:w="1733" w:type="pct"/>
            <w:shd w:val="clear" w:color="auto" w:fill="auto"/>
            <w:noWrap/>
            <w:vAlign w:val="center"/>
          </w:tcPr>
          <w:p w14:paraId="4C8009F1">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p>
        </w:tc>
      </w:tr>
      <w:tr w14:paraId="58387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60" w:hRule="atLeast"/>
        </w:trPr>
        <w:tc>
          <w:tcPr>
            <w:tcW w:w="831" w:type="pct"/>
            <w:shd w:val="clear" w:color="auto" w:fill="auto"/>
            <w:noWrap/>
            <w:vAlign w:val="center"/>
          </w:tcPr>
          <w:p w14:paraId="29B36760">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2434" w:type="pct"/>
            <w:shd w:val="clear" w:color="auto" w:fill="auto"/>
            <w:noWrap/>
            <w:vAlign w:val="center"/>
          </w:tcPr>
          <w:p w14:paraId="1F4FE67E">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固话语音服务</w:t>
            </w:r>
          </w:p>
        </w:tc>
        <w:tc>
          <w:tcPr>
            <w:tcW w:w="1733" w:type="pct"/>
            <w:shd w:val="clear" w:color="auto" w:fill="auto"/>
            <w:noWrap/>
            <w:vAlign w:val="center"/>
          </w:tcPr>
          <w:p w14:paraId="388715F4">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p>
        </w:tc>
      </w:tr>
      <w:tr w14:paraId="6454F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60" w:hRule="atLeast"/>
        </w:trPr>
        <w:tc>
          <w:tcPr>
            <w:tcW w:w="831" w:type="pct"/>
            <w:shd w:val="clear" w:color="auto" w:fill="auto"/>
            <w:noWrap/>
            <w:vAlign w:val="center"/>
          </w:tcPr>
          <w:p w14:paraId="028CEF20">
            <w:pPr>
              <w:jc w:val="center"/>
              <w:rPr>
                <w:rFonts w:hint="eastAsia" w:ascii="宋体" w:hAnsi="宋体" w:eastAsia="宋体" w:cs="宋体"/>
                <w:i w:val="0"/>
                <w:iCs w:val="0"/>
                <w:color w:val="auto"/>
                <w:sz w:val="20"/>
                <w:szCs w:val="20"/>
                <w:highlight w:val="none"/>
                <w:u w:val="none"/>
              </w:rPr>
            </w:pPr>
          </w:p>
        </w:tc>
        <w:tc>
          <w:tcPr>
            <w:tcW w:w="2434" w:type="pct"/>
            <w:shd w:val="clear" w:color="auto" w:fill="auto"/>
            <w:noWrap/>
            <w:vAlign w:val="center"/>
          </w:tcPr>
          <w:p w14:paraId="66FA6D99">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合计</w:t>
            </w:r>
          </w:p>
        </w:tc>
        <w:tc>
          <w:tcPr>
            <w:tcW w:w="1733" w:type="pct"/>
            <w:shd w:val="clear" w:color="auto" w:fill="auto"/>
            <w:noWrap/>
            <w:vAlign w:val="center"/>
          </w:tcPr>
          <w:p w14:paraId="21DFC34D">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p>
        </w:tc>
      </w:tr>
    </w:tbl>
    <w:p w14:paraId="3B6618DE">
      <w:pPr>
        <w:bidi w:val="0"/>
        <w:rPr>
          <w:rFonts w:hint="eastAsia"/>
          <w:color w:val="auto"/>
          <w:highlight w:val="none"/>
        </w:rPr>
      </w:pPr>
      <w:r>
        <w:rPr>
          <w:rFonts w:hint="eastAsia"/>
          <w:color w:val="auto"/>
          <w:highlight w:val="none"/>
        </w:rPr>
        <w:br w:type="page"/>
      </w:r>
    </w:p>
    <w:p w14:paraId="52DFE7F0">
      <w:pPr>
        <w:widowControl/>
        <w:spacing w:before="100" w:beforeAutospacing="1" w:after="100" w:afterAutospacing="1" w:line="560" w:lineRule="exact"/>
        <w:rPr>
          <w:rFonts w:ascii="仿宋_GB2312" w:hAnsi="仿宋_GB2312" w:eastAsia="仿宋_GB2312" w:cs="仿宋_GB2312"/>
          <w:bCs/>
          <w:color w:val="auto"/>
          <w:sz w:val="32"/>
          <w:szCs w:val="32"/>
          <w:highlight w:val="none"/>
        </w:rPr>
      </w:pPr>
      <w:r>
        <w:rPr>
          <w:rFonts w:hint="eastAsia" w:ascii="仿宋_GB2312" w:hAnsi="仿宋_GB2312" w:eastAsia="仿宋_GB2312" w:cs="仿宋_GB2312"/>
          <w:bCs/>
          <w:color w:val="auto"/>
          <w:sz w:val="32"/>
          <w:szCs w:val="32"/>
          <w:highlight w:val="none"/>
        </w:rPr>
        <w:t>附件</w:t>
      </w:r>
      <w:r>
        <w:rPr>
          <w:rFonts w:hint="eastAsia" w:ascii="仿宋_GB2312" w:hAnsi="仿宋_GB2312" w:eastAsia="仿宋_GB2312" w:cs="仿宋_GB2312"/>
          <w:bCs/>
          <w:color w:val="auto"/>
          <w:sz w:val="32"/>
          <w:szCs w:val="32"/>
          <w:highlight w:val="none"/>
          <w:lang w:val="en-US" w:eastAsia="zh-CN"/>
        </w:rPr>
        <w:t>4</w:t>
      </w:r>
      <w:r>
        <w:rPr>
          <w:rFonts w:hint="eastAsia" w:ascii="仿宋_GB2312" w:hAnsi="仿宋_GB2312" w:eastAsia="仿宋_GB2312" w:cs="仿宋_GB2312"/>
          <w:bCs/>
          <w:color w:val="auto"/>
          <w:sz w:val="32"/>
          <w:szCs w:val="32"/>
          <w:highlight w:val="none"/>
        </w:rPr>
        <w:t>：</w:t>
      </w:r>
    </w:p>
    <w:p w14:paraId="06C9D5B5">
      <w:pPr>
        <w:keepNext w:val="0"/>
        <w:keepLines w:val="0"/>
        <w:pageBreakBefore w:val="0"/>
        <w:kinsoku/>
        <w:wordWrap/>
        <w:overflowPunct/>
        <w:topLinePunct w:val="0"/>
        <w:autoSpaceDE/>
        <w:autoSpaceDN/>
        <w:bidi w:val="0"/>
        <w:adjustRightInd/>
        <w:snapToGrid/>
        <w:ind w:firstLine="0" w:firstLineChars="0"/>
        <w:jc w:val="center"/>
        <w:textAlignment w:val="auto"/>
        <w:rPr>
          <w:rFonts w:hint="eastAsia" w:ascii="仿宋" w:hAnsi="仿宋" w:eastAsia="仿宋" w:cs="仿宋"/>
          <w:b/>
          <w:bCs/>
          <w:color w:val="auto"/>
          <w:sz w:val="32"/>
          <w:szCs w:val="32"/>
          <w:highlight w:val="none"/>
          <w:lang w:val="en-US" w:eastAsia="zh-CN"/>
        </w:rPr>
      </w:pPr>
      <w:r>
        <w:rPr>
          <w:rFonts w:hint="eastAsia" w:ascii="仿宋" w:hAnsi="仿宋" w:eastAsia="仿宋" w:cs="仿宋"/>
          <w:b/>
          <w:bCs/>
          <w:color w:val="auto"/>
          <w:sz w:val="32"/>
          <w:szCs w:val="32"/>
          <w:highlight w:val="none"/>
          <w:lang w:val="en-US" w:eastAsia="zh-CN"/>
        </w:rPr>
        <w:t>2025-2026年三亚12345政府服务热线服务外包项目</w:t>
      </w:r>
    </w:p>
    <w:p w14:paraId="579EB41C">
      <w:pPr>
        <w:keepNext w:val="0"/>
        <w:keepLines w:val="0"/>
        <w:pageBreakBefore w:val="0"/>
        <w:kinsoku/>
        <w:wordWrap/>
        <w:overflowPunct/>
        <w:topLinePunct w:val="0"/>
        <w:autoSpaceDE/>
        <w:autoSpaceDN/>
        <w:bidi w:val="0"/>
        <w:adjustRightInd/>
        <w:snapToGrid/>
        <w:ind w:firstLine="0" w:firstLineChars="0"/>
        <w:jc w:val="center"/>
        <w:textAlignment w:val="auto"/>
        <w:rPr>
          <w:rFonts w:hint="eastAsia" w:ascii="仿宋" w:hAnsi="仿宋" w:eastAsia="仿宋" w:cs="仿宋"/>
          <w:b/>
          <w:bCs/>
          <w:color w:val="auto"/>
          <w:sz w:val="32"/>
          <w:szCs w:val="32"/>
          <w:highlight w:val="none"/>
          <w:lang w:val="en-US" w:eastAsia="zh-CN"/>
        </w:rPr>
      </w:pPr>
      <w:r>
        <w:rPr>
          <w:rFonts w:hint="eastAsia" w:ascii="仿宋" w:hAnsi="仿宋" w:eastAsia="仿宋" w:cs="仿宋"/>
          <w:b/>
          <w:bCs/>
          <w:color w:val="auto"/>
          <w:sz w:val="32"/>
          <w:szCs w:val="32"/>
          <w:highlight w:val="none"/>
        </w:rPr>
        <w:t>交接风险</w:t>
      </w:r>
      <w:r>
        <w:rPr>
          <w:rFonts w:hint="eastAsia" w:ascii="仿宋" w:hAnsi="仿宋" w:eastAsia="仿宋" w:cs="仿宋"/>
          <w:b/>
          <w:bCs/>
          <w:color w:val="auto"/>
          <w:sz w:val="32"/>
          <w:szCs w:val="32"/>
          <w:highlight w:val="none"/>
          <w:lang w:val="en-US" w:eastAsia="zh-CN"/>
        </w:rPr>
        <w:t>防控</w:t>
      </w:r>
      <w:r>
        <w:rPr>
          <w:rFonts w:hint="eastAsia" w:ascii="仿宋" w:hAnsi="仿宋" w:eastAsia="仿宋" w:cs="仿宋"/>
          <w:b/>
          <w:bCs/>
          <w:color w:val="auto"/>
          <w:sz w:val="32"/>
          <w:szCs w:val="32"/>
          <w:highlight w:val="none"/>
        </w:rPr>
        <w:t>方案</w:t>
      </w:r>
    </w:p>
    <w:p w14:paraId="266E36B5">
      <w:pPr>
        <w:keepNext w:val="0"/>
        <w:keepLines w:val="0"/>
        <w:pageBreakBefore w:val="0"/>
        <w:kinsoku/>
        <w:wordWrap/>
        <w:overflowPunct/>
        <w:topLinePunct w:val="0"/>
        <w:autoSpaceDE/>
        <w:autoSpaceDN/>
        <w:bidi w:val="0"/>
        <w:adjustRightInd/>
        <w:snapToGrid/>
        <w:ind w:firstLine="643" w:firstLineChars="200"/>
        <w:jc w:val="center"/>
        <w:textAlignment w:val="auto"/>
        <w:rPr>
          <w:rFonts w:hint="eastAsia" w:ascii="仿宋" w:hAnsi="仿宋" w:eastAsia="仿宋" w:cs="仿宋"/>
          <w:b/>
          <w:bCs/>
          <w:color w:val="auto"/>
          <w:sz w:val="32"/>
          <w:szCs w:val="32"/>
          <w:highlight w:val="none"/>
        </w:rPr>
      </w:pPr>
    </w:p>
    <w:p w14:paraId="40003ACC">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一、背景​</w:t>
      </w:r>
    </w:p>
    <w:p w14:paraId="0016D016">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鉴于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三亚市 12345 政府服务热线运营外包服务(2024 年-2025 年）</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服务期即将</w:t>
      </w:r>
      <w:r>
        <w:rPr>
          <w:rFonts w:hint="eastAsia" w:ascii="仿宋" w:hAnsi="仿宋" w:eastAsia="仿宋" w:cs="仿宋"/>
          <w:strike w:val="0"/>
          <w:dstrike w:val="0"/>
          <w:color w:val="auto"/>
          <w:sz w:val="28"/>
          <w:szCs w:val="28"/>
          <w:highlight w:val="none"/>
          <w:lang w:val="en-US" w:eastAsia="zh-CN"/>
        </w:rPr>
        <w:t>届满</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2025-2026年三亚12345政府服务热线服务外包项目</w:t>
      </w:r>
      <w:r>
        <w:rPr>
          <w:rFonts w:hint="eastAsia" w:ascii="仿宋" w:hAnsi="仿宋" w:eastAsia="仿宋" w:cs="仿宋"/>
          <w:color w:val="auto"/>
          <w:sz w:val="28"/>
          <w:szCs w:val="28"/>
          <w:highlight w:val="none"/>
          <w:lang w:val="en-US" w:eastAsia="zh-CN"/>
        </w:rPr>
        <w:t>”即将</w:t>
      </w:r>
      <w:r>
        <w:rPr>
          <w:rFonts w:hint="eastAsia" w:ascii="仿宋" w:hAnsi="仿宋" w:eastAsia="仿宋" w:cs="仿宋"/>
          <w:color w:val="auto"/>
          <w:sz w:val="28"/>
          <w:szCs w:val="28"/>
          <w:highlight w:val="none"/>
        </w:rPr>
        <w:t>公开招标</w:t>
      </w:r>
      <w:r>
        <w:rPr>
          <w:rFonts w:hint="eastAsia" w:ascii="仿宋" w:hAnsi="仿宋" w:eastAsia="仿宋" w:cs="仿宋"/>
          <w:color w:val="auto"/>
          <w:sz w:val="28"/>
          <w:szCs w:val="28"/>
          <w:highlight w:val="none"/>
          <w:lang w:val="en-US" w:eastAsia="zh-CN"/>
        </w:rPr>
        <w:t>遴选新服务单位</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为确保平台稳定运行，新原服务商顺利交接，防控项目交接期间可能风险，特制订本方案。</w:t>
      </w:r>
    </w:p>
    <w:p w14:paraId="023E7027">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交接</w:t>
      </w:r>
      <w:r>
        <w:rPr>
          <w:rFonts w:hint="eastAsia" w:ascii="仿宋" w:hAnsi="仿宋" w:eastAsia="仿宋" w:cs="仿宋"/>
          <w:color w:val="auto"/>
          <w:sz w:val="28"/>
          <w:szCs w:val="28"/>
          <w:highlight w:val="none"/>
        </w:rPr>
        <w:t>核心目标与期限​</w:t>
      </w:r>
    </w:p>
    <w:p w14:paraId="2B7C648F">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核心目标：自新服务提供商与甲方签订服务合同之日起 10 日内，原服务提供商</w:t>
      </w:r>
      <w:r>
        <w:rPr>
          <w:rFonts w:hint="eastAsia" w:ascii="仿宋" w:hAnsi="仿宋" w:eastAsia="仿宋" w:cs="仿宋"/>
          <w:color w:val="auto"/>
          <w:sz w:val="28"/>
          <w:szCs w:val="28"/>
          <w:highlight w:val="none"/>
          <w:lang w:val="en-US" w:eastAsia="zh-CN"/>
        </w:rPr>
        <w:t>必须</w:t>
      </w:r>
      <w:r>
        <w:rPr>
          <w:rFonts w:hint="eastAsia" w:ascii="仿宋" w:hAnsi="仿宋" w:eastAsia="仿宋" w:cs="仿宋"/>
          <w:color w:val="auto"/>
          <w:sz w:val="28"/>
          <w:szCs w:val="28"/>
          <w:highlight w:val="none"/>
        </w:rPr>
        <w:t>完成人员、</w:t>
      </w:r>
      <w:r>
        <w:rPr>
          <w:rFonts w:hint="eastAsia" w:ascii="仿宋" w:hAnsi="仿宋" w:eastAsia="仿宋" w:cs="仿宋"/>
          <w:color w:val="auto"/>
          <w:sz w:val="28"/>
          <w:szCs w:val="28"/>
          <w:highlight w:val="none"/>
          <w:lang w:val="en-US" w:eastAsia="zh-CN"/>
        </w:rPr>
        <w:t>相关资料</w:t>
      </w:r>
      <w:r>
        <w:rPr>
          <w:rFonts w:hint="eastAsia" w:ascii="仿宋" w:hAnsi="仿宋" w:eastAsia="仿宋" w:cs="仿宋"/>
          <w:color w:val="auto"/>
          <w:sz w:val="28"/>
          <w:szCs w:val="28"/>
          <w:highlight w:val="none"/>
        </w:rPr>
        <w:t>的全面交接，过渡期热线接通率、工单处理效率等核心指标不低于原服务标准</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与核心目标有关的都称之为核心工作。</w:t>
      </w:r>
    </w:p>
    <w:p w14:paraId="319BE6B2">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履行期限：原服务商交接义务自新一期项目中标结果确定之日起至</w:t>
      </w:r>
      <w:r>
        <w:rPr>
          <w:rFonts w:hint="eastAsia" w:ascii="仿宋" w:hAnsi="仿宋" w:eastAsia="仿宋" w:cs="仿宋"/>
          <w:color w:val="auto"/>
          <w:sz w:val="28"/>
          <w:szCs w:val="28"/>
          <w:highlight w:val="none"/>
          <w:lang w:val="en-US" w:eastAsia="zh-CN"/>
        </w:rPr>
        <w:t>双方签订书面的</w:t>
      </w:r>
      <w:r>
        <w:rPr>
          <w:rFonts w:hint="eastAsia" w:ascii="仿宋" w:hAnsi="仿宋" w:eastAsia="仿宋" w:cs="仿宋"/>
          <w:color w:val="auto"/>
          <w:sz w:val="28"/>
          <w:szCs w:val="28"/>
          <w:highlight w:val="none"/>
        </w:rPr>
        <w:t>《交接完成确认书》</w:t>
      </w:r>
      <w:r>
        <w:rPr>
          <w:rFonts w:hint="eastAsia" w:ascii="仿宋" w:hAnsi="仿宋" w:eastAsia="仿宋" w:cs="仿宋"/>
          <w:color w:val="auto"/>
          <w:sz w:val="28"/>
          <w:szCs w:val="28"/>
          <w:highlight w:val="none"/>
          <w:lang w:val="en-US" w:eastAsia="zh-CN"/>
        </w:rPr>
        <w:t>后结束，交接期不应超过</w:t>
      </w:r>
      <w:r>
        <w:rPr>
          <w:rFonts w:hint="eastAsia" w:ascii="仿宋" w:hAnsi="仿宋" w:eastAsia="仿宋" w:cs="仿宋"/>
          <w:color w:val="auto"/>
          <w:sz w:val="28"/>
          <w:szCs w:val="28"/>
          <w:highlight w:val="none"/>
        </w:rPr>
        <w:t>新服务提供商与甲方签订服务合同之日起</w:t>
      </w:r>
      <w:r>
        <w:rPr>
          <w:rFonts w:hint="eastAsia" w:ascii="仿宋" w:hAnsi="仿宋" w:eastAsia="仿宋" w:cs="仿宋"/>
          <w:color w:val="auto"/>
          <w:sz w:val="28"/>
          <w:szCs w:val="28"/>
          <w:highlight w:val="none"/>
          <w:lang w:val="en-US" w:eastAsia="zh-CN"/>
        </w:rPr>
        <w:t>算的第</w:t>
      </w:r>
      <w:r>
        <w:rPr>
          <w:rFonts w:hint="eastAsia" w:ascii="仿宋" w:hAnsi="仿宋" w:eastAsia="仿宋" w:cs="仿宋"/>
          <w:color w:val="auto"/>
          <w:sz w:val="28"/>
          <w:szCs w:val="28"/>
          <w:highlight w:val="none"/>
        </w:rPr>
        <w:t xml:space="preserve"> </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0 日止，其中</w:t>
      </w:r>
      <w:r>
        <w:rPr>
          <w:rFonts w:hint="eastAsia" w:ascii="仿宋" w:hAnsi="仿宋" w:eastAsia="仿宋" w:cs="仿宋"/>
          <w:color w:val="auto"/>
          <w:sz w:val="28"/>
          <w:szCs w:val="28"/>
          <w:highlight w:val="none"/>
          <w:lang w:val="en-US" w:eastAsia="zh-CN"/>
        </w:rPr>
        <w:t>核心</w:t>
      </w:r>
      <w:r>
        <w:rPr>
          <w:rFonts w:hint="eastAsia" w:ascii="仿宋" w:hAnsi="仿宋" w:eastAsia="仿宋" w:cs="仿宋"/>
          <w:color w:val="auto"/>
          <w:sz w:val="28"/>
          <w:szCs w:val="28"/>
          <w:highlight w:val="none"/>
        </w:rPr>
        <w:t>交接工作须在新服务提供商合同签订后 10 日内完成。</w:t>
      </w:r>
    </w:p>
    <w:p w14:paraId="6948EB76">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三</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交接风险识别和预防措施</w:t>
      </w:r>
      <w:r>
        <w:rPr>
          <w:rFonts w:hint="eastAsia" w:ascii="仿宋" w:hAnsi="仿宋" w:eastAsia="仿宋" w:cs="仿宋"/>
          <w:color w:val="auto"/>
          <w:sz w:val="28"/>
          <w:szCs w:val="28"/>
          <w:highlight w:val="none"/>
        </w:rPr>
        <w:t>​</w:t>
      </w:r>
    </w:p>
    <w:p w14:paraId="4E5A3EFE">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w:t>
      </w:r>
      <w:r>
        <w:rPr>
          <w:rFonts w:hint="eastAsia" w:ascii="仿宋" w:hAnsi="仿宋" w:eastAsia="仿宋" w:cs="仿宋"/>
          <w:color w:val="auto"/>
          <w:sz w:val="28"/>
          <w:szCs w:val="28"/>
          <w:highlight w:val="none"/>
          <w:lang w:val="en-US" w:eastAsia="zh-CN"/>
        </w:rPr>
        <w:t>交接机制错位风险和预防措施。</w:t>
      </w:r>
      <w:r>
        <w:rPr>
          <w:rFonts w:hint="eastAsia" w:ascii="仿宋" w:hAnsi="仿宋" w:eastAsia="仿宋" w:cs="仿宋"/>
          <w:color w:val="auto"/>
          <w:sz w:val="28"/>
          <w:szCs w:val="28"/>
          <w:highlight w:val="none"/>
        </w:rPr>
        <w:t>​</w:t>
      </w:r>
    </w:p>
    <w:p w14:paraId="042FBADA">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交接机制错位风险，主要指新原服务商对彼此应完成的交接工作认识不足和认知错位，或认知不能达成一致，影响交接工作，所导致的风险。</w:t>
      </w:r>
    </w:p>
    <w:p w14:paraId="795E707E">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原服务提供商须在新一期项目中标结果确定之日成立专项交接小组，成员包括但不限于项目负责人、技术骨干</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运营负责人</w:t>
      </w:r>
      <w:r>
        <w:rPr>
          <w:rFonts w:hint="eastAsia" w:ascii="仿宋" w:hAnsi="仿宋" w:eastAsia="仿宋" w:cs="仿宋"/>
          <w:color w:val="auto"/>
          <w:sz w:val="28"/>
          <w:szCs w:val="28"/>
          <w:highlight w:val="none"/>
          <w:lang w:val="en-US" w:eastAsia="zh-CN"/>
        </w:rPr>
        <w:t>等项目关键运营人员</w:t>
      </w:r>
      <w:r>
        <w:rPr>
          <w:rFonts w:hint="eastAsia" w:ascii="仿宋" w:hAnsi="仿宋" w:eastAsia="仿宋" w:cs="仿宋"/>
          <w:color w:val="auto"/>
          <w:sz w:val="28"/>
          <w:szCs w:val="28"/>
          <w:highlight w:val="none"/>
        </w:rPr>
        <w:t>，向甲</w:t>
      </w:r>
      <w:r>
        <w:rPr>
          <w:rFonts w:hint="eastAsia" w:ascii="仿宋" w:hAnsi="仿宋" w:eastAsia="仿宋" w:cs="仿宋"/>
          <w:color w:val="auto"/>
          <w:sz w:val="28"/>
          <w:szCs w:val="28"/>
          <w:highlight w:val="none"/>
          <w:lang w:val="en-US" w:eastAsia="zh-CN"/>
        </w:rPr>
        <w:t>方及新服务提供商</w:t>
      </w:r>
      <w:r>
        <w:rPr>
          <w:rFonts w:hint="eastAsia" w:ascii="仿宋" w:hAnsi="仿宋" w:eastAsia="仿宋" w:cs="仿宋"/>
          <w:color w:val="auto"/>
          <w:sz w:val="28"/>
          <w:szCs w:val="28"/>
          <w:highlight w:val="none"/>
        </w:rPr>
        <w:t>提交</w:t>
      </w:r>
      <w:r>
        <w:rPr>
          <w:rFonts w:hint="eastAsia" w:ascii="仿宋" w:hAnsi="仿宋" w:eastAsia="仿宋" w:cs="仿宋"/>
          <w:color w:val="auto"/>
          <w:sz w:val="28"/>
          <w:szCs w:val="28"/>
          <w:highlight w:val="none"/>
          <w:lang w:val="en-US" w:eastAsia="zh-CN"/>
        </w:rPr>
        <w:t>交接</w:t>
      </w:r>
      <w:r>
        <w:rPr>
          <w:rFonts w:hint="eastAsia" w:ascii="仿宋" w:hAnsi="仿宋" w:eastAsia="仿宋" w:cs="仿宋"/>
          <w:color w:val="auto"/>
          <w:sz w:val="28"/>
          <w:szCs w:val="28"/>
          <w:highlight w:val="none"/>
        </w:rPr>
        <w:t>小组名单及联系方式，确保对接期间人员稳定。原服务提供商交接小组须在新一期项目中标结果确定之日后 3 日内与新服务提供商对接小组召开首次协调会，共同制定《10 日交接倒计时计划表》，明确每日任务及验收标准。</w:t>
      </w:r>
    </w:p>
    <w:p w14:paraId="14BE8F48">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w:t>
      </w:r>
      <w:r>
        <w:rPr>
          <w:rFonts w:hint="eastAsia" w:ascii="仿宋" w:hAnsi="仿宋" w:eastAsia="仿宋" w:cs="仿宋"/>
          <w:color w:val="auto"/>
          <w:sz w:val="28"/>
          <w:szCs w:val="28"/>
          <w:highlight w:val="none"/>
          <w:lang w:val="en-US" w:eastAsia="zh-CN"/>
        </w:rPr>
        <w:t>资料交接错漏风险和预防措施</w:t>
      </w:r>
      <w:r>
        <w:rPr>
          <w:rFonts w:hint="eastAsia" w:ascii="仿宋" w:hAnsi="仿宋" w:eastAsia="仿宋" w:cs="仿宋"/>
          <w:color w:val="auto"/>
          <w:sz w:val="28"/>
          <w:szCs w:val="28"/>
          <w:highlight w:val="none"/>
        </w:rPr>
        <w:t>​</w:t>
      </w:r>
    </w:p>
    <w:p w14:paraId="752491A3">
      <w:pPr>
        <w:keepNext w:val="0"/>
        <w:keepLines w:val="0"/>
        <w:pageBreakBefore w:val="0"/>
        <w:kinsoku/>
        <w:wordWrap/>
        <w:overflowPunct/>
        <w:topLinePunct w:val="0"/>
        <w:autoSpaceDE/>
        <w:autoSpaceDN/>
        <w:bidi w:val="0"/>
        <w:adjustRightInd/>
        <w:snapToGrid/>
        <w:ind w:firstLine="560" w:firstLineChars="200"/>
        <w:textAlignment w:val="auto"/>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资料交接错漏风险主要指新原服务商交接过程中，因主观或客观的原因，原服务商已有的项目资料未能完全交接给新服务商，所导致的风险。</w:t>
      </w:r>
    </w:p>
    <w:p w14:paraId="0C157210">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资料清单提交与确认：原服务提供商应在新一期项目中标结果确定之日后 3 日内，向甲</w:t>
      </w:r>
      <w:r>
        <w:rPr>
          <w:rFonts w:hint="eastAsia" w:ascii="仿宋" w:hAnsi="仿宋" w:eastAsia="仿宋" w:cs="仿宋"/>
          <w:color w:val="auto"/>
          <w:sz w:val="28"/>
          <w:szCs w:val="28"/>
          <w:highlight w:val="none"/>
          <w:lang w:val="en-US" w:eastAsia="zh-CN"/>
        </w:rPr>
        <w:t>方及新服务提供商</w:t>
      </w:r>
      <w:r>
        <w:rPr>
          <w:rFonts w:hint="eastAsia" w:ascii="仿宋" w:hAnsi="仿宋" w:eastAsia="仿宋" w:cs="仿宋"/>
          <w:color w:val="auto"/>
          <w:sz w:val="28"/>
          <w:szCs w:val="28"/>
          <w:highlight w:val="none"/>
        </w:rPr>
        <w:t>提交《项目资料移交总清单》，涵盖以下类别并标注密级：​</w:t>
      </w:r>
    </w:p>
    <w:p w14:paraId="018A39DA">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法律文件类：包含但不限于原服务合同及补充协议等原件及电子版；</w:t>
      </w:r>
    </w:p>
    <w:p w14:paraId="4E7B4609">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运维管理类：包含但不限于日常巡检记录、历史故障分析报告；​服务标准类：包含但不限于原服务指标、质检标准、考核细则、应急演练记录。​</w:t>
      </w:r>
    </w:p>
    <w:p w14:paraId="78A82089">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资料移交与核验：新服务提供商对清单进行审核，提出补充意见的，原服务提供商须在 24 小时内响应调整。清单确认后 5 日内，原服务提供商完成全部资料移交：电子资料通过甲方指定的</w:t>
      </w:r>
      <w:r>
        <w:rPr>
          <w:rFonts w:hint="eastAsia" w:ascii="仿宋" w:hAnsi="仿宋" w:eastAsia="仿宋" w:cs="仿宋"/>
          <w:color w:val="auto"/>
          <w:sz w:val="28"/>
          <w:szCs w:val="28"/>
          <w:highlight w:val="none"/>
          <w:lang w:val="en-US" w:eastAsia="zh-CN"/>
        </w:rPr>
        <w:t>方式进行传输</w:t>
      </w:r>
      <w:r>
        <w:rPr>
          <w:rFonts w:hint="eastAsia" w:ascii="仿宋" w:hAnsi="仿宋" w:eastAsia="仿宋" w:cs="仿宋"/>
          <w:color w:val="auto"/>
          <w:sz w:val="28"/>
          <w:szCs w:val="28"/>
          <w:highlight w:val="none"/>
        </w:rPr>
        <w:t>，纸质资料装订成册并附逐页签注的交接单。新服务提供商接收后 3 日内完成核验，对缺失或不符的资料，原服务提供商须在 3 日内补正。​</w:t>
      </w:r>
    </w:p>
    <w:p w14:paraId="6FE6F57C">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w:t>
      </w:r>
      <w:r>
        <w:rPr>
          <w:rFonts w:hint="eastAsia" w:ascii="仿宋" w:hAnsi="仿宋" w:eastAsia="仿宋" w:cs="仿宋"/>
          <w:color w:val="auto"/>
          <w:sz w:val="28"/>
          <w:szCs w:val="28"/>
          <w:highlight w:val="none"/>
          <w:lang w:val="en-US" w:eastAsia="zh-CN"/>
        </w:rPr>
        <w:t>新老平台对接风险和预防措施</w:t>
      </w:r>
      <w:r>
        <w:rPr>
          <w:rFonts w:hint="eastAsia" w:ascii="仿宋" w:hAnsi="仿宋" w:eastAsia="仿宋" w:cs="仿宋"/>
          <w:color w:val="auto"/>
          <w:sz w:val="28"/>
          <w:szCs w:val="28"/>
          <w:highlight w:val="none"/>
        </w:rPr>
        <w:t>​</w:t>
      </w:r>
    </w:p>
    <w:p w14:paraId="62495504">
      <w:pPr>
        <w:keepNext w:val="0"/>
        <w:keepLines w:val="0"/>
        <w:pageBreakBefore w:val="0"/>
        <w:kinsoku/>
        <w:wordWrap/>
        <w:overflowPunct/>
        <w:topLinePunct w:val="0"/>
        <w:autoSpaceDE/>
        <w:autoSpaceDN/>
        <w:bidi w:val="0"/>
        <w:adjustRightInd/>
        <w:snapToGrid/>
        <w:ind w:firstLine="560" w:firstLineChars="200"/>
        <w:textAlignment w:val="auto"/>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新老平台对接风险，主要指原服务商在交接期未能充分配合，导致新服务商的软件平台无法适配工作，或适配工作过迟，所导致的风险。</w:t>
      </w:r>
    </w:p>
    <w:p w14:paraId="3CBEE33E">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架构讲解与培训：</w:t>
      </w:r>
      <w:r>
        <w:rPr>
          <w:rFonts w:hint="eastAsia" w:ascii="仿宋" w:hAnsi="仿宋" w:eastAsia="仿宋" w:cs="仿宋"/>
          <w:color w:val="auto"/>
          <w:sz w:val="28"/>
          <w:szCs w:val="28"/>
          <w:highlight w:val="none"/>
          <w:lang w:val="en-US" w:eastAsia="zh-CN"/>
        </w:rPr>
        <w:t>交接期</w:t>
      </w:r>
      <w:r>
        <w:rPr>
          <w:rFonts w:hint="eastAsia" w:ascii="仿宋" w:hAnsi="仿宋" w:eastAsia="仿宋" w:cs="仿宋"/>
          <w:color w:val="auto"/>
          <w:sz w:val="28"/>
          <w:szCs w:val="28"/>
          <w:highlight w:val="none"/>
        </w:rPr>
        <w:t>内，原服务提供商技术骨干须向新服务提供商团队开展不少于 8 小时的技术架构专项培训，重点讲解系统核心模块逻辑、接口适配要点、数据迁移注意事项及常见故障排查流程，培训后提供书面答疑记录。​</w:t>
      </w:r>
    </w:p>
    <w:p w14:paraId="74F282CB">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驻场技术支持：自新服务提供商进场当日起，原服务提供商须指派 2 名资深工程师（具备该平台 3 年以上运维经验）驻场提供 7×24 小时技术支持，持续至新服务提供商与甲方签订服务合同之日起</w:t>
      </w:r>
      <w:r>
        <w:rPr>
          <w:rFonts w:hint="eastAsia" w:ascii="仿宋" w:hAnsi="仿宋" w:eastAsia="仿宋" w:cs="仿宋"/>
          <w:color w:val="auto"/>
          <w:sz w:val="28"/>
          <w:szCs w:val="28"/>
          <w:highlight w:val="none"/>
          <w:lang w:val="en-US" w:eastAsia="zh-CN"/>
        </w:rPr>
        <w:t>第</w:t>
      </w:r>
      <w:r>
        <w:rPr>
          <w:rFonts w:hint="eastAsia" w:ascii="仿宋" w:hAnsi="仿宋" w:eastAsia="仿宋" w:cs="仿宋"/>
          <w:color w:val="auto"/>
          <w:sz w:val="28"/>
          <w:szCs w:val="28"/>
          <w:highlight w:val="none"/>
        </w:rPr>
        <w:t xml:space="preserve"> </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0 日止。驻场工程师须每日提交《技术支持日报》，记录问题处理情况。​</w:t>
      </w:r>
    </w:p>
    <w:p w14:paraId="52412174">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平台测试配合：原服务提供商须配合新服务提供商在 5 日内完成平台压力测试（模拟峰值话务量 120% 场景）及灾备切换演练，提供近 12 个月的话务量峰值数据作为测试基准，确保切换过程中热线接通率≥95%、数据零丢失。​</w:t>
      </w:r>
    </w:p>
    <w:p w14:paraId="5579534E">
      <w:pPr>
        <w:keepNext w:val="0"/>
        <w:keepLines w:val="0"/>
        <w:pageBreakBefore w:val="0"/>
        <w:numPr>
          <w:ilvl w:val="0"/>
          <w:numId w:val="5"/>
        </w:numPr>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工作</w:t>
      </w:r>
      <w:r>
        <w:rPr>
          <w:rFonts w:hint="eastAsia" w:ascii="仿宋" w:hAnsi="仿宋" w:eastAsia="仿宋" w:cs="仿宋"/>
          <w:color w:val="auto"/>
          <w:sz w:val="28"/>
          <w:szCs w:val="28"/>
          <w:highlight w:val="none"/>
        </w:rPr>
        <w:t>场地</w:t>
      </w:r>
      <w:r>
        <w:rPr>
          <w:rFonts w:hint="eastAsia" w:ascii="仿宋" w:hAnsi="仿宋" w:eastAsia="仿宋" w:cs="仿宋"/>
          <w:color w:val="auto"/>
          <w:sz w:val="28"/>
          <w:szCs w:val="28"/>
          <w:highlight w:val="none"/>
          <w:lang w:val="en-US" w:eastAsia="zh-CN"/>
        </w:rPr>
        <w:t>交接风险和预防措施</w:t>
      </w:r>
      <w:r>
        <w:rPr>
          <w:rFonts w:hint="eastAsia" w:ascii="仿宋" w:hAnsi="仿宋" w:eastAsia="仿宋" w:cs="仿宋"/>
          <w:color w:val="auto"/>
          <w:sz w:val="28"/>
          <w:szCs w:val="28"/>
          <w:highlight w:val="none"/>
        </w:rPr>
        <w:t>​</w:t>
      </w:r>
    </w:p>
    <w:p w14:paraId="7DD139D8">
      <w:pPr>
        <w:keepNext w:val="0"/>
        <w:keepLines w:val="0"/>
        <w:pageBreakBefore w:val="0"/>
        <w:numPr>
          <w:ilvl w:val="-1"/>
          <w:numId w:val="0"/>
        </w:numPr>
        <w:kinsoku/>
        <w:wordWrap/>
        <w:overflowPunct/>
        <w:topLinePunct w:val="0"/>
        <w:autoSpaceDE/>
        <w:autoSpaceDN/>
        <w:bidi w:val="0"/>
        <w:adjustRightInd/>
        <w:snapToGrid/>
        <w:ind w:firstLine="560" w:firstLineChars="200"/>
        <w:textAlignment w:val="auto"/>
        <w:rPr>
          <w:rFonts w:hint="default"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工作场地交接风险，主要指原服务商未能及时清退场地且给新设备入场提供条件，所导致的风险。</w:t>
      </w:r>
    </w:p>
    <w:p w14:paraId="640ED279">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场地与设备交接：原服务提供商须在新服务提供商进场前 2 日内完成场地清理，</w:t>
      </w:r>
      <w:r>
        <w:rPr>
          <w:rFonts w:hint="eastAsia" w:ascii="仿宋" w:hAnsi="仿宋" w:eastAsia="仿宋" w:cs="仿宋"/>
          <w:color w:val="auto"/>
          <w:sz w:val="28"/>
          <w:szCs w:val="28"/>
          <w:highlight w:val="none"/>
          <w:lang w:val="en-US" w:eastAsia="zh-CN"/>
        </w:rPr>
        <w:t>提供</w:t>
      </w:r>
      <w:r>
        <w:rPr>
          <w:rFonts w:hint="eastAsia" w:ascii="仿宋" w:hAnsi="仿宋" w:eastAsia="仿宋" w:cs="仿宋"/>
          <w:color w:val="auto"/>
          <w:sz w:val="28"/>
          <w:szCs w:val="28"/>
          <w:highlight w:val="none"/>
        </w:rPr>
        <w:t>设备机房出入权限、空调及安防系统操作密码。</w:t>
      </w:r>
    </w:p>
    <w:p w14:paraId="1D55C506">
      <w:pPr>
        <w:keepNext w:val="0"/>
        <w:keepLines w:val="0"/>
        <w:pageBreakBefore w:val="0"/>
        <w:numPr>
          <w:ilvl w:val="0"/>
          <w:numId w:val="6"/>
        </w:numPr>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人员流失风险和预防措施</w:t>
      </w:r>
    </w:p>
    <w:p w14:paraId="43FEEEFA">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人员流失风险，是</w:t>
      </w:r>
      <w:r>
        <w:rPr>
          <w:rFonts w:hint="eastAsia" w:ascii="仿宋" w:hAnsi="仿宋" w:eastAsia="仿宋" w:cs="仿宋"/>
          <w:color w:val="auto"/>
          <w:sz w:val="28"/>
          <w:szCs w:val="28"/>
          <w:highlight w:val="none"/>
        </w:rPr>
        <w:t>由于</w:t>
      </w:r>
      <w:r>
        <w:rPr>
          <w:rFonts w:hint="eastAsia" w:ascii="仿宋" w:hAnsi="仿宋" w:eastAsia="仿宋" w:cs="仿宋"/>
          <w:color w:val="auto"/>
          <w:sz w:val="28"/>
          <w:szCs w:val="28"/>
          <w:highlight w:val="none"/>
          <w:lang w:eastAsia="zh-CN"/>
        </w:rPr>
        <w:t>新旧服务商</w:t>
      </w:r>
      <w:r>
        <w:rPr>
          <w:rFonts w:hint="eastAsia" w:ascii="仿宋" w:hAnsi="仿宋" w:eastAsia="仿宋" w:cs="仿宋"/>
          <w:color w:val="auto"/>
          <w:sz w:val="28"/>
          <w:szCs w:val="28"/>
          <w:highlight w:val="none"/>
        </w:rPr>
        <w:t>交接安排不当、沟通不畅、员工对</w:t>
      </w:r>
      <w:r>
        <w:rPr>
          <w:rFonts w:hint="eastAsia" w:ascii="仿宋" w:hAnsi="仿宋" w:eastAsia="仿宋" w:cs="仿宋"/>
          <w:color w:val="auto"/>
          <w:sz w:val="28"/>
          <w:szCs w:val="28"/>
          <w:highlight w:val="none"/>
          <w:lang w:eastAsia="zh-CN"/>
        </w:rPr>
        <w:t>新服务商</w:t>
      </w:r>
      <w:r>
        <w:rPr>
          <w:rFonts w:hint="eastAsia" w:ascii="仿宋" w:hAnsi="仿宋" w:eastAsia="仿宋" w:cs="仿宋"/>
          <w:color w:val="auto"/>
          <w:sz w:val="28"/>
          <w:szCs w:val="28"/>
          <w:highlight w:val="none"/>
        </w:rPr>
        <w:t>信心不足或对新合同条款（如薪酬、福利、工作时间、地点、文化）不满意，导致大批量员工（尤其是经验丰富的坐席）选择离职或观望，</w:t>
      </w:r>
      <w:r>
        <w:rPr>
          <w:rFonts w:hint="eastAsia" w:ascii="仿宋" w:hAnsi="仿宋" w:eastAsia="仿宋" w:cs="仿宋"/>
          <w:color w:val="auto"/>
          <w:sz w:val="28"/>
          <w:szCs w:val="28"/>
          <w:highlight w:val="none"/>
          <w:lang w:eastAsia="zh-CN"/>
        </w:rPr>
        <w:t>新服务商</w:t>
      </w:r>
      <w:r>
        <w:rPr>
          <w:rFonts w:hint="eastAsia" w:ascii="仿宋" w:hAnsi="仿宋" w:eastAsia="仿宋" w:cs="仿宋"/>
          <w:color w:val="auto"/>
          <w:sz w:val="28"/>
          <w:szCs w:val="28"/>
          <w:highlight w:val="none"/>
        </w:rPr>
        <w:t>无法及时补充足够合格人员</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所导致的风险。</w:t>
      </w:r>
    </w:p>
    <w:p w14:paraId="5F537824">
      <w:pPr>
        <w:keepNext w:val="0"/>
        <w:keepLines w:val="0"/>
        <w:pageBreakBefore w:val="0"/>
        <w:numPr>
          <w:ilvl w:val="-1"/>
          <w:numId w:val="0"/>
        </w:numPr>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配合开展人员动员：原服务商需在新服务商进场前和进场后各召开一场动员会，对当前项目的现状和新的项目关于人员项目内容做出阐述，并动员已有人员继续留任，会议必须</w:t>
      </w:r>
      <w:r>
        <w:rPr>
          <w:rFonts w:hint="eastAsia" w:ascii="仿宋" w:hAnsi="仿宋" w:eastAsia="仿宋" w:cs="仿宋"/>
          <w:i w:val="0"/>
          <w:iCs w:val="0"/>
          <w:caps w:val="0"/>
          <w:color w:val="auto"/>
          <w:spacing w:val="0"/>
          <w:sz w:val="28"/>
          <w:szCs w:val="28"/>
          <w:highlight w:val="none"/>
          <w:shd w:val="clear"/>
        </w:rPr>
        <w:t>传达正面信息，解答疑问，稳定军心</w:t>
      </w:r>
      <w:r>
        <w:rPr>
          <w:rFonts w:hint="eastAsia" w:ascii="仿宋" w:hAnsi="仿宋" w:eastAsia="仿宋" w:cs="仿宋"/>
          <w:i w:val="0"/>
          <w:iCs w:val="0"/>
          <w:caps w:val="0"/>
          <w:color w:val="auto"/>
          <w:spacing w:val="0"/>
          <w:sz w:val="28"/>
          <w:szCs w:val="28"/>
          <w:highlight w:val="none"/>
          <w:shd w:val="clear"/>
          <w:lang w:eastAsia="zh-CN"/>
        </w:rPr>
        <w:t>，</w:t>
      </w:r>
      <w:r>
        <w:rPr>
          <w:rFonts w:hint="eastAsia" w:ascii="仿宋" w:hAnsi="仿宋" w:eastAsia="仿宋" w:cs="仿宋"/>
          <w:i w:val="0"/>
          <w:iCs w:val="0"/>
          <w:caps w:val="0"/>
          <w:color w:val="auto"/>
          <w:spacing w:val="0"/>
          <w:sz w:val="28"/>
          <w:szCs w:val="28"/>
          <w:highlight w:val="none"/>
          <w:shd w:val="clear"/>
          <w:lang w:val="en-US" w:eastAsia="zh-CN"/>
        </w:rPr>
        <w:t>甲方应旁听动员会</w:t>
      </w:r>
      <w:r>
        <w:rPr>
          <w:rFonts w:hint="eastAsia" w:ascii="仿宋" w:hAnsi="仿宋" w:eastAsia="仿宋" w:cs="仿宋"/>
          <w:i w:val="0"/>
          <w:iCs w:val="0"/>
          <w:caps w:val="0"/>
          <w:color w:val="auto"/>
          <w:spacing w:val="0"/>
          <w:sz w:val="28"/>
          <w:szCs w:val="28"/>
          <w:highlight w:val="none"/>
          <w:shd w:val="clear"/>
          <w:lang w:eastAsia="zh-CN"/>
        </w:rPr>
        <w:t>。</w:t>
      </w:r>
      <w:r>
        <w:rPr>
          <w:rFonts w:hint="eastAsia" w:ascii="仿宋" w:hAnsi="仿宋" w:eastAsia="仿宋" w:cs="仿宋"/>
          <w:color w:val="auto"/>
          <w:sz w:val="28"/>
          <w:szCs w:val="28"/>
          <w:highlight w:val="none"/>
          <w:lang w:val="en-US" w:eastAsia="zh-CN"/>
        </w:rPr>
        <w:t>动员会后要求全部人员填写《人员留任意向表》，并详细了解和书面记录没有意向留任人员的具体情况。</w:t>
      </w:r>
    </w:p>
    <w:p w14:paraId="7B7E1522">
      <w:pPr>
        <w:keepNext w:val="0"/>
        <w:keepLines w:val="0"/>
        <w:pageBreakBefore w:val="0"/>
        <w:numPr>
          <w:ilvl w:val="-1"/>
          <w:numId w:val="0"/>
        </w:numPr>
        <w:kinsoku/>
        <w:wordWrap/>
        <w:overflowPunct/>
        <w:topLinePunct w:val="0"/>
        <w:autoSpaceDE/>
        <w:autoSpaceDN/>
        <w:bidi w:val="0"/>
        <w:adjustRightInd/>
        <w:snapToGrid/>
        <w:ind w:firstLine="560" w:firstLineChars="200"/>
        <w:textAlignment w:val="auto"/>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配合进行核心冻结：原</w:t>
      </w:r>
      <w:r>
        <w:rPr>
          <w:rFonts w:hint="eastAsia" w:ascii="仿宋" w:hAnsi="仿宋" w:eastAsia="仿宋" w:cs="仿宋"/>
          <w:i w:val="0"/>
          <w:iCs w:val="0"/>
          <w:caps w:val="0"/>
          <w:color w:val="auto"/>
          <w:spacing w:val="0"/>
          <w:sz w:val="28"/>
          <w:szCs w:val="28"/>
          <w:highlight w:val="none"/>
          <w:shd w:val="clear"/>
        </w:rPr>
        <w:t>服务商</w:t>
      </w:r>
      <w:r>
        <w:rPr>
          <w:rFonts w:hint="eastAsia" w:ascii="仿宋" w:hAnsi="仿宋" w:eastAsia="仿宋" w:cs="仿宋"/>
          <w:i w:val="0"/>
          <w:iCs w:val="0"/>
          <w:caps w:val="0"/>
          <w:color w:val="auto"/>
          <w:spacing w:val="0"/>
          <w:sz w:val="28"/>
          <w:szCs w:val="28"/>
          <w:highlight w:val="none"/>
          <w:shd w:val="clear"/>
          <w:lang w:val="en-US" w:eastAsia="zh-CN"/>
        </w:rPr>
        <w:t>必须在2025年8月15日前出具《核心</w:t>
      </w:r>
      <w:r>
        <w:rPr>
          <w:rFonts w:hint="eastAsia" w:ascii="仿宋" w:hAnsi="仿宋" w:eastAsia="仿宋" w:cs="仿宋"/>
          <w:b w:val="0"/>
          <w:bCs w:val="0"/>
          <w:i w:val="0"/>
          <w:iCs w:val="0"/>
          <w:caps w:val="0"/>
          <w:color w:val="auto"/>
          <w:spacing w:val="0"/>
          <w:sz w:val="28"/>
          <w:szCs w:val="28"/>
          <w:highlight w:val="none"/>
          <w:shd w:val="clear"/>
        </w:rPr>
        <w:t>运营团队（尤其是关键岗位）</w:t>
      </w:r>
      <w:r>
        <w:rPr>
          <w:rFonts w:hint="eastAsia" w:ascii="仿宋" w:hAnsi="仿宋" w:eastAsia="仿宋" w:cs="仿宋"/>
          <w:b w:val="0"/>
          <w:bCs w:val="0"/>
          <w:i w:val="0"/>
          <w:iCs w:val="0"/>
          <w:caps w:val="0"/>
          <w:color w:val="auto"/>
          <w:spacing w:val="0"/>
          <w:sz w:val="28"/>
          <w:szCs w:val="28"/>
          <w:highlight w:val="none"/>
          <w:shd w:val="clear"/>
          <w:lang w:val="en-US" w:eastAsia="zh-CN"/>
        </w:rPr>
        <w:t>名单》，与甲方进行双方确认，名单内人员</w:t>
      </w:r>
      <w:r>
        <w:rPr>
          <w:rFonts w:hint="eastAsia" w:ascii="仿宋" w:hAnsi="仿宋" w:eastAsia="仿宋" w:cs="仿宋"/>
          <w:i w:val="0"/>
          <w:iCs w:val="0"/>
          <w:caps w:val="0"/>
          <w:color w:val="auto"/>
          <w:spacing w:val="0"/>
          <w:sz w:val="28"/>
          <w:szCs w:val="28"/>
          <w:highlight w:val="none"/>
          <w:shd w:val="clear"/>
        </w:rPr>
        <w:t>非因法定或严重违纪原因，不得主动辞退或变相驱离员工。</w:t>
      </w:r>
    </w:p>
    <w:p w14:paraId="3E0BC943">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配合开展</w:t>
      </w:r>
      <w:r>
        <w:rPr>
          <w:rFonts w:hint="eastAsia" w:ascii="仿宋" w:hAnsi="仿宋" w:eastAsia="仿宋" w:cs="仿宋"/>
          <w:color w:val="auto"/>
          <w:sz w:val="28"/>
          <w:szCs w:val="28"/>
          <w:highlight w:val="none"/>
        </w:rPr>
        <w:t>人员</w:t>
      </w:r>
      <w:r>
        <w:rPr>
          <w:rFonts w:hint="eastAsia" w:ascii="仿宋" w:hAnsi="仿宋" w:eastAsia="仿宋" w:cs="仿宋"/>
          <w:color w:val="auto"/>
          <w:sz w:val="28"/>
          <w:szCs w:val="28"/>
          <w:highlight w:val="none"/>
          <w:lang w:val="en-US" w:eastAsia="zh-CN"/>
        </w:rPr>
        <w:t>录用</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8月15日前，</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人员留任意向表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经甲方确认后，甲方</w:t>
      </w:r>
      <w:r>
        <w:rPr>
          <w:rFonts w:hint="eastAsia" w:ascii="仿宋" w:hAnsi="仿宋" w:eastAsia="仿宋" w:cs="仿宋"/>
          <w:color w:val="auto"/>
          <w:sz w:val="28"/>
          <w:szCs w:val="28"/>
          <w:highlight w:val="none"/>
        </w:rPr>
        <w:t>拟留用的</w:t>
      </w:r>
      <w:r>
        <w:rPr>
          <w:rFonts w:hint="eastAsia" w:ascii="仿宋" w:hAnsi="仿宋" w:eastAsia="仿宋" w:cs="仿宋"/>
          <w:color w:val="auto"/>
          <w:sz w:val="28"/>
          <w:szCs w:val="28"/>
          <w:highlight w:val="none"/>
          <w:lang w:val="en-US" w:eastAsia="zh-CN"/>
        </w:rPr>
        <w:t>员工，</w:t>
      </w:r>
      <w:r>
        <w:rPr>
          <w:rFonts w:hint="eastAsia" w:ascii="仿宋" w:hAnsi="仿宋" w:eastAsia="仿宋" w:cs="仿宋"/>
          <w:color w:val="auto"/>
          <w:sz w:val="28"/>
          <w:szCs w:val="28"/>
          <w:highlight w:val="none"/>
        </w:rPr>
        <w:t>原服务提供商须在</w:t>
      </w:r>
      <w:r>
        <w:rPr>
          <w:rFonts w:hint="eastAsia" w:ascii="仿宋" w:hAnsi="仿宋" w:eastAsia="仿宋" w:cs="仿宋"/>
          <w:color w:val="auto"/>
          <w:sz w:val="28"/>
          <w:szCs w:val="28"/>
          <w:highlight w:val="none"/>
          <w:lang w:val="en-US" w:eastAsia="zh-CN"/>
        </w:rPr>
        <w:t>新服务商开展交接工作后，</w:t>
      </w:r>
      <w:r>
        <w:rPr>
          <w:rFonts w:hint="eastAsia" w:ascii="仿宋" w:hAnsi="仿宋" w:eastAsia="仿宋" w:cs="仿宋"/>
          <w:color w:val="auto"/>
          <w:sz w:val="28"/>
          <w:szCs w:val="28"/>
          <w:highlight w:val="none"/>
        </w:rPr>
        <w:t xml:space="preserve"> 5 日内配合完成劳动合同解除及转移手续，新劳动合同签订</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不得设置障碍</w:t>
      </w:r>
      <w:r>
        <w:rPr>
          <w:rFonts w:hint="eastAsia" w:ascii="仿宋" w:hAnsi="仿宋" w:eastAsia="仿宋" w:cs="仿宋"/>
          <w:color w:val="auto"/>
          <w:sz w:val="28"/>
          <w:szCs w:val="28"/>
          <w:highlight w:val="none"/>
        </w:rPr>
        <w:t>。</w:t>
      </w:r>
    </w:p>
    <w:p w14:paraId="03B2050E">
      <w:pPr>
        <w:keepNext w:val="0"/>
        <w:keepLines w:val="0"/>
        <w:pageBreakBefore w:val="0"/>
        <w:numPr>
          <w:ilvl w:val="0"/>
          <w:numId w:val="6"/>
        </w:numPr>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预防知识经验流失风险</w:t>
      </w:r>
    </w:p>
    <w:p w14:paraId="71B2F2D1">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知识经验流失风险，主要指在交接期内，</w:t>
      </w:r>
      <w:r>
        <w:rPr>
          <w:rFonts w:hint="eastAsia" w:ascii="仿宋" w:hAnsi="仿宋" w:eastAsia="仿宋" w:cs="仿宋"/>
          <w:color w:val="auto"/>
          <w:sz w:val="28"/>
          <w:szCs w:val="28"/>
          <w:highlight w:val="none"/>
        </w:rPr>
        <w:t>流失的员工</w:t>
      </w:r>
      <w:r>
        <w:rPr>
          <w:rFonts w:hint="eastAsia" w:ascii="仿宋" w:hAnsi="仿宋" w:eastAsia="仿宋" w:cs="仿宋"/>
          <w:color w:val="auto"/>
          <w:sz w:val="28"/>
          <w:szCs w:val="28"/>
          <w:highlight w:val="none"/>
          <w:lang w:val="en-US" w:eastAsia="zh-CN"/>
        </w:rPr>
        <w:t>过多，或流失了核心员工，这些流失的人员</w:t>
      </w:r>
      <w:r>
        <w:rPr>
          <w:rFonts w:hint="eastAsia" w:ascii="仿宋" w:hAnsi="仿宋" w:eastAsia="仿宋" w:cs="仿宋"/>
          <w:color w:val="auto"/>
          <w:sz w:val="28"/>
          <w:szCs w:val="28"/>
          <w:highlight w:val="none"/>
        </w:rPr>
        <w:t>带走了宝贵的隐性知识（如处理复杂/敏感工单的技巧、本地化表达习惯、特定政策解读经验等）</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即使新员工到位，短期内也无法达到原有服务水平和效率，</w:t>
      </w:r>
      <w:r>
        <w:rPr>
          <w:rFonts w:hint="eastAsia" w:ascii="仿宋" w:hAnsi="仿宋" w:eastAsia="仿宋" w:cs="仿宋"/>
          <w:color w:val="auto"/>
          <w:sz w:val="28"/>
          <w:szCs w:val="28"/>
          <w:highlight w:val="none"/>
          <w:lang w:val="en-US" w:eastAsia="zh-CN"/>
        </w:rPr>
        <w:t>所导致的风险。</w:t>
      </w:r>
    </w:p>
    <w:p w14:paraId="2DEB2D5B">
      <w:pPr>
        <w:keepNext w:val="0"/>
        <w:keepLines w:val="0"/>
        <w:pageBreakBefore w:val="0"/>
        <w:kinsoku/>
        <w:wordWrap/>
        <w:overflowPunct/>
        <w:topLinePunct w:val="0"/>
        <w:autoSpaceDE/>
        <w:autoSpaceDN/>
        <w:bidi w:val="0"/>
        <w:adjustRightInd/>
        <w:snapToGrid/>
        <w:ind w:firstLine="560" w:firstLineChars="200"/>
        <w:textAlignment w:val="auto"/>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配合开展知识经验移交：原服务商应整理完整的知识资产包，</w:t>
      </w:r>
      <w:r>
        <w:rPr>
          <w:rFonts w:hint="eastAsia" w:ascii="仿宋" w:hAnsi="仿宋" w:eastAsia="仿宋" w:cs="仿宋"/>
          <w:i w:val="0"/>
          <w:iCs w:val="0"/>
          <w:caps w:val="0"/>
          <w:color w:val="auto"/>
          <w:spacing w:val="0"/>
          <w:sz w:val="28"/>
          <w:szCs w:val="28"/>
          <w:highlight w:val="none"/>
          <w:shd w:val="clear"/>
        </w:rPr>
        <w:t>包括但不限于：高频/疑难案例库及处理流程SOP、</w:t>
      </w:r>
      <w:r>
        <w:rPr>
          <w:rFonts w:hint="eastAsia" w:ascii="仿宋" w:hAnsi="仿宋" w:eastAsia="仿宋" w:cs="仿宋"/>
          <w:i w:val="0"/>
          <w:iCs w:val="0"/>
          <w:caps w:val="0"/>
          <w:color w:val="auto"/>
          <w:spacing w:val="0"/>
          <w:sz w:val="28"/>
          <w:szCs w:val="28"/>
          <w:highlight w:val="none"/>
          <w:shd w:val="clear"/>
          <w:lang w:val="en-US" w:eastAsia="zh-CN"/>
        </w:rPr>
        <w:t>标准</w:t>
      </w:r>
      <w:r>
        <w:rPr>
          <w:rFonts w:hint="eastAsia" w:ascii="仿宋" w:hAnsi="仿宋" w:eastAsia="仿宋" w:cs="仿宋"/>
          <w:i w:val="0"/>
          <w:iCs w:val="0"/>
          <w:caps w:val="0"/>
          <w:color w:val="auto"/>
          <w:spacing w:val="0"/>
          <w:sz w:val="28"/>
          <w:szCs w:val="28"/>
          <w:highlight w:val="none"/>
          <w:shd w:val="clear"/>
        </w:rPr>
        <w:t>话术集、质检标准、</w:t>
      </w:r>
      <w:r>
        <w:rPr>
          <w:rFonts w:hint="eastAsia" w:ascii="仿宋" w:hAnsi="仿宋" w:eastAsia="仿宋" w:cs="仿宋"/>
          <w:i w:val="0"/>
          <w:iCs w:val="0"/>
          <w:caps w:val="0"/>
          <w:color w:val="auto"/>
          <w:spacing w:val="0"/>
          <w:sz w:val="28"/>
          <w:szCs w:val="28"/>
          <w:highlight w:val="none"/>
          <w:shd w:val="clear"/>
          <w:lang w:val="en-US" w:eastAsia="zh-CN"/>
        </w:rPr>
        <w:t>历史</w:t>
      </w:r>
      <w:r>
        <w:rPr>
          <w:rFonts w:hint="eastAsia" w:ascii="仿宋" w:hAnsi="仿宋" w:eastAsia="仿宋" w:cs="仿宋"/>
          <w:i w:val="0"/>
          <w:iCs w:val="0"/>
          <w:caps w:val="0"/>
          <w:color w:val="auto"/>
          <w:spacing w:val="0"/>
          <w:sz w:val="28"/>
          <w:szCs w:val="28"/>
          <w:highlight w:val="none"/>
          <w:shd w:val="clear"/>
        </w:rPr>
        <w:t>培训材料、系统操作指南、历史数据分析报告等</w:t>
      </w:r>
      <w:r>
        <w:rPr>
          <w:rFonts w:hint="eastAsia" w:ascii="仿宋" w:hAnsi="仿宋" w:eastAsia="仿宋" w:cs="仿宋"/>
          <w:i w:val="0"/>
          <w:iCs w:val="0"/>
          <w:caps w:val="0"/>
          <w:color w:val="auto"/>
          <w:spacing w:val="0"/>
          <w:sz w:val="28"/>
          <w:szCs w:val="28"/>
          <w:highlight w:val="none"/>
          <w:shd w:val="clear"/>
          <w:lang w:eastAsia="zh-CN"/>
        </w:rPr>
        <w:t>，</w:t>
      </w:r>
      <w:r>
        <w:rPr>
          <w:rFonts w:hint="eastAsia" w:ascii="仿宋" w:hAnsi="仿宋" w:eastAsia="仿宋" w:cs="仿宋"/>
          <w:i w:val="0"/>
          <w:iCs w:val="0"/>
          <w:caps w:val="0"/>
          <w:color w:val="auto"/>
          <w:spacing w:val="0"/>
          <w:sz w:val="28"/>
          <w:szCs w:val="28"/>
          <w:highlight w:val="none"/>
          <w:shd w:val="clear"/>
          <w:lang w:val="en-US" w:eastAsia="zh-CN"/>
        </w:rPr>
        <w:t>并由</w:t>
      </w:r>
      <w:r>
        <w:rPr>
          <w:rFonts w:hint="eastAsia" w:ascii="仿宋" w:hAnsi="仿宋" w:eastAsia="仿宋" w:cs="仿宋"/>
          <w:color w:val="auto"/>
          <w:sz w:val="28"/>
          <w:szCs w:val="28"/>
          <w:highlight w:val="none"/>
        </w:rPr>
        <w:t>原服务提供商运营团队须在交接期内与新服务提供商团队开展 3 次以上专题交流会，</w:t>
      </w:r>
      <w:r>
        <w:rPr>
          <w:rFonts w:hint="eastAsia" w:ascii="仿宋" w:hAnsi="仿宋" w:eastAsia="仿宋" w:cs="仿宋"/>
          <w:i w:val="0"/>
          <w:iCs w:val="0"/>
          <w:caps w:val="0"/>
          <w:color w:val="auto"/>
          <w:spacing w:val="0"/>
          <w:sz w:val="28"/>
          <w:szCs w:val="28"/>
          <w:highlight w:val="none"/>
          <w:shd w:val="clear"/>
          <w:lang w:val="en-US" w:eastAsia="zh-CN"/>
        </w:rPr>
        <w:t>知识资产包经新服务商交接成功后，</w:t>
      </w:r>
      <w:r>
        <w:rPr>
          <w:rFonts w:hint="eastAsia" w:ascii="仿宋" w:hAnsi="仿宋" w:eastAsia="仿宋" w:cs="仿宋"/>
          <w:color w:val="auto"/>
          <w:sz w:val="28"/>
          <w:szCs w:val="28"/>
          <w:highlight w:val="none"/>
        </w:rPr>
        <w:t>形成《业务交接手册》并由双方签字确认。​</w:t>
      </w:r>
    </w:p>
    <w:p w14:paraId="6103E38C">
      <w:pPr>
        <w:keepNext w:val="0"/>
        <w:keepLines w:val="0"/>
        <w:pageBreakBefore w:val="0"/>
        <w:numPr>
          <w:ilvl w:val="0"/>
          <w:numId w:val="0"/>
        </w:numPr>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配合开展交接期带教：原服务商必须提供合格得骨干员工，与新服务商共同工作，进行现场实操带教，经验分享和答疑。原服务商需直派专人负责协调带教工作，并确保带教质量。交接期结束，新服务商和原服务商共同签署《新旧服务商培训满意度评价表》</w:t>
      </w:r>
    </w:p>
    <w:p w14:paraId="48AB5786">
      <w:pPr>
        <w:keepNext w:val="0"/>
        <w:keepLines w:val="0"/>
        <w:pageBreakBefore w:val="0"/>
        <w:numPr>
          <w:ilvl w:val="-1"/>
          <w:numId w:val="0"/>
        </w:numPr>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七</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服务</w:t>
      </w:r>
      <w:r>
        <w:rPr>
          <w:rFonts w:hint="eastAsia" w:ascii="仿宋" w:hAnsi="仿宋" w:eastAsia="仿宋" w:cs="仿宋"/>
          <w:color w:val="auto"/>
          <w:sz w:val="28"/>
          <w:szCs w:val="28"/>
          <w:highlight w:val="none"/>
        </w:rPr>
        <w:t>质量</w:t>
      </w:r>
      <w:r>
        <w:rPr>
          <w:rFonts w:hint="eastAsia" w:ascii="仿宋" w:hAnsi="仿宋" w:eastAsia="仿宋" w:cs="仿宋"/>
          <w:color w:val="auto"/>
          <w:sz w:val="28"/>
          <w:szCs w:val="28"/>
          <w:highlight w:val="none"/>
          <w:lang w:val="en-US" w:eastAsia="zh-CN"/>
        </w:rPr>
        <w:t>下滑风险和预防措施</w:t>
      </w:r>
      <w:r>
        <w:rPr>
          <w:rFonts w:hint="eastAsia" w:ascii="仿宋" w:hAnsi="仿宋" w:eastAsia="仿宋" w:cs="仿宋"/>
          <w:color w:val="auto"/>
          <w:sz w:val="28"/>
          <w:szCs w:val="28"/>
          <w:highlight w:val="none"/>
        </w:rPr>
        <w:t>​</w:t>
      </w:r>
    </w:p>
    <w:p w14:paraId="7437F9DB">
      <w:pPr>
        <w:keepNext w:val="0"/>
        <w:keepLines w:val="0"/>
        <w:pageBreakBefore w:val="0"/>
        <w:numPr>
          <w:ilvl w:val="-1"/>
          <w:numId w:val="0"/>
        </w:numPr>
        <w:kinsoku/>
        <w:wordWrap/>
        <w:overflowPunct/>
        <w:topLinePunct w:val="0"/>
        <w:autoSpaceDE/>
        <w:autoSpaceDN/>
        <w:bidi w:val="0"/>
        <w:adjustRightInd/>
        <w:snapToGrid/>
        <w:ind w:firstLine="560" w:firstLineChars="200"/>
        <w:textAlignment w:val="auto"/>
        <w:rPr>
          <w:rFonts w:hint="default"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服务质量下滑风险，主要指在交接期，新服务商因不熟悉工作规范和相关标准，出现暂时性的服务质量下滑，所导致的风险。</w:t>
      </w:r>
    </w:p>
    <w:p w14:paraId="4766A132">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在新服务提供商正式接管前，原服务提供商须严格执行原服务标准：日均热线接通率≥95%、工单首次响应时间≤15 分钟、办结率≥98%</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以上核心指标不得低于原服务商服务期间90%</w:t>
      </w:r>
      <w:r>
        <w:rPr>
          <w:rFonts w:hint="eastAsia" w:ascii="仿宋" w:hAnsi="仿宋" w:eastAsia="仿宋" w:cs="仿宋"/>
          <w:color w:val="auto"/>
          <w:sz w:val="28"/>
          <w:szCs w:val="28"/>
          <w:highlight w:val="none"/>
        </w:rPr>
        <w:t>。过渡期内发生的服务投诉，原服务提供商</w:t>
      </w:r>
      <w:r>
        <w:rPr>
          <w:rFonts w:hint="eastAsia" w:ascii="仿宋" w:hAnsi="仿宋" w:eastAsia="仿宋" w:cs="仿宋"/>
          <w:color w:val="auto"/>
          <w:sz w:val="28"/>
          <w:szCs w:val="28"/>
          <w:highlight w:val="none"/>
          <w:lang w:val="en-US" w:eastAsia="zh-CN"/>
        </w:rPr>
        <w:t>和新</w:t>
      </w:r>
      <w:r>
        <w:rPr>
          <w:rFonts w:hint="eastAsia" w:ascii="仿宋" w:hAnsi="仿宋" w:eastAsia="仿宋" w:cs="仿宋"/>
          <w:color w:val="auto"/>
          <w:sz w:val="28"/>
          <w:szCs w:val="28"/>
          <w:highlight w:val="none"/>
        </w:rPr>
        <w:t>服务提供商须在 1 小时内响应，与新服务提供商联合处理并向甲方提交《投诉协同处理报告》。未经甲方书面同意，原服务提供商</w:t>
      </w:r>
      <w:r>
        <w:rPr>
          <w:rFonts w:hint="eastAsia" w:ascii="仿宋" w:hAnsi="仿宋" w:eastAsia="仿宋" w:cs="仿宋"/>
          <w:color w:val="auto"/>
          <w:sz w:val="28"/>
          <w:szCs w:val="28"/>
          <w:highlight w:val="none"/>
          <w:lang w:val="en-US" w:eastAsia="zh-CN"/>
        </w:rPr>
        <w:t>和新</w:t>
      </w:r>
      <w:r>
        <w:rPr>
          <w:rFonts w:hint="eastAsia" w:ascii="仿宋" w:hAnsi="仿宋" w:eastAsia="仿宋" w:cs="仿宋"/>
          <w:color w:val="auto"/>
          <w:sz w:val="28"/>
          <w:szCs w:val="28"/>
          <w:highlight w:val="none"/>
        </w:rPr>
        <w:t>服务提供商不得擅自调整服务资源配置。​</w:t>
      </w:r>
    </w:p>
    <w:p w14:paraId="46F6CD59">
      <w:pPr>
        <w:keepNext w:val="0"/>
        <w:keepLines w:val="0"/>
        <w:pageBreakBefore w:val="0"/>
        <w:numPr>
          <w:ilvl w:val="0"/>
          <w:numId w:val="0"/>
        </w:numPr>
        <w:kinsoku/>
        <w:wordWrap/>
        <w:overflowPunct/>
        <w:topLinePunct w:val="0"/>
        <w:autoSpaceDE/>
        <w:autoSpaceDN/>
        <w:bidi w:val="0"/>
        <w:adjustRightInd/>
        <w:snapToGrid/>
        <w:ind w:firstLine="560" w:firstLineChars="200"/>
        <w:textAlignment w:val="auto"/>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（八）信息和沟通误差风险和预防措施</w:t>
      </w:r>
    </w:p>
    <w:p w14:paraId="5AA1C878">
      <w:pPr>
        <w:keepNext w:val="0"/>
        <w:keepLines w:val="0"/>
        <w:pageBreakBefore w:val="0"/>
        <w:numPr>
          <w:ilvl w:val="-1"/>
          <w:numId w:val="0"/>
        </w:numPr>
        <w:kinsoku/>
        <w:wordWrap/>
        <w:overflowPunct/>
        <w:topLinePunct w:val="0"/>
        <w:autoSpaceDE/>
        <w:autoSpaceDN/>
        <w:bidi w:val="0"/>
        <w:adjustRightInd/>
        <w:snapToGrid/>
        <w:ind w:firstLine="560" w:firstLineChars="200"/>
        <w:textAlignment w:val="auto"/>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信息和沟通误差风险，是交接期内，新服务商在与原服务商信息发布未能一致，渠道未能一致，所导致的风险。</w:t>
      </w:r>
    </w:p>
    <w:p w14:paraId="3C3E9C4B">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i w:val="0"/>
          <w:iCs w:val="0"/>
          <w:caps w:val="0"/>
          <w:color w:val="auto"/>
          <w:spacing w:val="0"/>
          <w:sz w:val="28"/>
          <w:szCs w:val="28"/>
          <w:highlight w:val="none"/>
          <w:shd w:val="clear"/>
        </w:rPr>
      </w:pPr>
      <w:r>
        <w:rPr>
          <w:rFonts w:hint="eastAsia" w:ascii="仿宋" w:hAnsi="仿宋" w:eastAsia="仿宋" w:cs="仿宋"/>
          <w:i w:val="0"/>
          <w:iCs w:val="0"/>
          <w:caps w:val="0"/>
          <w:color w:val="auto"/>
          <w:spacing w:val="0"/>
          <w:sz w:val="28"/>
          <w:szCs w:val="28"/>
          <w:highlight w:val="none"/>
          <w:shd w:val="clear"/>
          <w:lang w:val="en-US" w:eastAsia="zh-CN"/>
        </w:rPr>
        <w:t>控制信息发布：合同延续期和项目交接期时，</w:t>
      </w:r>
      <w:r>
        <w:rPr>
          <w:rFonts w:hint="eastAsia" w:ascii="仿宋" w:hAnsi="仿宋" w:eastAsia="仿宋" w:cs="仿宋"/>
          <w:i w:val="0"/>
          <w:iCs w:val="0"/>
          <w:caps w:val="0"/>
          <w:color w:val="auto"/>
          <w:spacing w:val="0"/>
          <w:sz w:val="28"/>
          <w:szCs w:val="28"/>
          <w:highlight w:val="none"/>
          <w:shd w:val="clear"/>
        </w:rPr>
        <w:t>所有关于交接安排、员工转移政策、新</w:t>
      </w:r>
      <w:r>
        <w:rPr>
          <w:rFonts w:hint="eastAsia" w:ascii="仿宋" w:hAnsi="仿宋" w:eastAsia="仿宋" w:cs="仿宋"/>
          <w:i w:val="0"/>
          <w:iCs w:val="0"/>
          <w:caps w:val="0"/>
          <w:color w:val="auto"/>
          <w:spacing w:val="0"/>
          <w:sz w:val="28"/>
          <w:szCs w:val="28"/>
          <w:highlight w:val="none"/>
          <w:shd w:val="clear"/>
          <w:lang w:val="en-US" w:eastAsia="zh-CN"/>
        </w:rPr>
        <w:t>服务商</w:t>
      </w:r>
      <w:r>
        <w:rPr>
          <w:rFonts w:hint="eastAsia" w:ascii="仿宋" w:hAnsi="仿宋" w:eastAsia="仿宋" w:cs="仿宋"/>
          <w:i w:val="0"/>
          <w:iCs w:val="0"/>
          <w:caps w:val="0"/>
          <w:color w:val="auto"/>
          <w:spacing w:val="0"/>
          <w:sz w:val="28"/>
          <w:szCs w:val="28"/>
          <w:highlight w:val="none"/>
          <w:shd w:val="clear"/>
        </w:rPr>
        <w:t>情况的信息发布，</w:t>
      </w:r>
      <w:r>
        <w:rPr>
          <w:rFonts w:hint="eastAsia" w:ascii="仿宋" w:hAnsi="仿宋" w:eastAsia="仿宋" w:cs="仿宋"/>
          <w:b w:val="0"/>
          <w:bCs w:val="0"/>
          <w:i w:val="0"/>
          <w:iCs w:val="0"/>
          <w:caps w:val="0"/>
          <w:color w:val="auto"/>
          <w:spacing w:val="0"/>
          <w:sz w:val="28"/>
          <w:szCs w:val="28"/>
          <w:highlight w:val="none"/>
          <w:shd w:val="clear"/>
        </w:rPr>
        <w:t>必须由</w:t>
      </w:r>
      <w:r>
        <w:rPr>
          <w:rFonts w:hint="eastAsia" w:ascii="仿宋" w:hAnsi="仿宋" w:eastAsia="仿宋" w:cs="仿宋"/>
          <w:b w:val="0"/>
          <w:bCs w:val="0"/>
          <w:i w:val="0"/>
          <w:iCs w:val="0"/>
          <w:caps w:val="0"/>
          <w:color w:val="auto"/>
          <w:spacing w:val="0"/>
          <w:sz w:val="28"/>
          <w:szCs w:val="28"/>
          <w:highlight w:val="none"/>
          <w:shd w:val="clear"/>
          <w:lang w:val="en-US" w:eastAsia="zh-CN"/>
        </w:rPr>
        <w:t>甲方</w:t>
      </w:r>
      <w:r>
        <w:rPr>
          <w:rFonts w:hint="eastAsia" w:ascii="仿宋" w:hAnsi="仿宋" w:eastAsia="仿宋" w:cs="仿宋"/>
          <w:b w:val="0"/>
          <w:bCs w:val="0"/>
          <w:i w:val="0"/>
          <w:iCs w:val="0"/>
          <w:caps w:val="0"/>
          <w:color w:val="auto"/>
          <w:spacing w:val="0"/>
          <w:sz w:val="28"/>
          <w:szCs w:val="28"/>
          <w:highlight w:val="none"/>
          <w:shd w:val="clear"/>
        </w:rPr>
        <w:t>主导或审核</w:t>
      </w:r>
      <w:r>
        <w:rPr>
          <w:rFonts w:hint="eastAsia" w:ascii="仿宋" w:hAnsi="仿宋" w:eastAsia="仿宋" w:cs="仿宋"/>
          <w:i w:val="0"/>
          <w:iCs w:val="0"/>
          <w:caps w:val="0"/>
          <w:color w:val="auto"/>
          <w:spacing w:val="0"/>
          <w:sz w:val="28"/>
          <w:szCs w:val="28"/>
          <w:highlight w:val="none"/>
          <w:shd w:val="clear"/>
        </w:rPr>
        <w:t>，</w:t>
      </w:r>
      <w:r>
        <w:rPr>
          <w:rFonts w:hint="eastAsia" w:ascii="仿宋" w:hAnsi="仿宋" w:eastAsia="仿宋" w:cs="仿宋"/>
          <w:i w:val="0"/>
          <w:iCs w:val="0"/>
          <w:caps w:val="0"/>
          <w:color w:val="auto"/>
          <w:spacing w:val="0"/>
          <w:sz w:val="28"/>
          <w:szCs w:val="28"/>
          <w:highlight w:val="none"/>
          <w:shd w:val="clear"/>
          <w:lang w:val="en-US" w:eastAsia="zh-CN"/>
        </w:rPr>
        <w:t>双方共同发布，</w:t>
      </w:r>
      <w:r>
        <w:rPr>
          <w:rFonts w:hint="eastAsia" w:ascii="仿宋" w:hAnsi="仿宋" w:eastAsia="仿宋" w:cs="仿宋"/>
          <w:i w:val="0"/>
          <w:iCs w:val="0"/>
          <w:caps w:val="0"/>
          <w:color w:val="auto"/>
          <w:spacing w:val="0"/>
          <w:sz w:val="28"/>
          <w:szCs w:val="28"/>
          <w:highlight w:val="none"/>
          <w:shd w:val="clear"/>
        </w:rPr>
        <w:t>确保口径一致、准确、积极。禁止旧服务商单方面向员工发布未经确认的、可能引起恐慌的信息。</w:t>
      </w:r>
    </w:p>
    <w:p w14:paraId="74CDB82C">
      <w:pPr>
        <w:keepNext w:val="0"/>
        <w:keepLines w:val="0"/>
        <w:pageBreakBefore w:val="0"/>
        <w:kinsoku/>
        <w:wordWrap/>
        <w:overflowPunct/>
        <w:topLinePunct w:val="0"/>
        <w:autoSpaceDE/>
        <w:autoSpaceDN/>
        <w:bidi w:val="0"/>
        <w:adjustRightInd/>
        <w:snapToGrid/>
        <w:ind w:firstLine="560" w:firstLineChars="200"/>
        <w:textAlignment w:val="auto"/>
        <w:rPr>
          <w:rFonts w:hint="default" w:ascii="仿宋" w:hAnsi="仿宋" w:eastAsia="仿宋" w:cs="仿宋"/>
          <w:i w:val="0"/>
          <w:iCs w:val="0"/>
          <w:caps w:val="0"/>
          <w:color w:val="auto"/>
          <w:spacing w:val="0"/>
          <w:sz w:val="28"/>
          <w:szCs w:val="28"/>
          <w:highlight w:val="none"/>
          <w:shd w:val="clear"/>
          <w:lang w:val="en-US" w:eastAsia="zh-CN"/>
        </w:rPr>
      </w:pPr>
      <w:r>
        <w:rPr>
          <w:rFonts w:hint="eastAsia" w:ascii="仿宋" w:hAnsi="仿宋" w:eastAsia="仿宋" w:cs="仿宋"/>
          <w:i w:val="0"/>
          <w:iCs w:val="0"/>
          <w:caps w:val="0"/>
          <w:color w:val="auto"/>
          <w:spacing w:val="0"/>
          <w:sz w:val="28"/>
          <w:szCs w:val="28"/>
          <w:highlight w:val="none"/>
          <w:shd w:val="clear"/>
          <w:lang w:val="en-US" w:eastAsia="zh-CN"/>
        </w:rPr>
        <w:t>建立沟通机制：在公开场所发布甲方负责人的联系方式，允许原服务商员工投诉，未经甲方许可，合同延续期和交接期内，原服务商不得辞退、惩罚或驱离投诉员工。</w:t>
      </w:r>
    </w:p>
    <w:p w14:paraId="168D8F25">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四</w:t>
      </w:r>
      <w:r>
        <w:rPr>
          <w:rFonts w:hint="eastAsia" w:ascii="仿宋" w:hAnsi="仿宋" w:eastAsia="仿宋" w:cs="仿宋"/>
          <w:color w:val="auto"/>
          <w:sz w:val="28"/>
          <w:szCs w:val="28"/>
          <w:highlight w:val="none"/>
        </w:rPr>
        <w:t>、保密与数据安全责任​</w:t>
      </w:r>
    </w:p>
    <w:p w14:paraId="7A1A26AB">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原服务提供商</w:t>
      </w:r>
      <w:r>
        <w:rPr>
          <w:rFonts w:hint="eastAsia" w:ascii="仿宋" w:hAnsi="仿宋" w:eastAsia="仿宋" w:cs="仿宋"/>
          <w:color w:val="auto"/>
          <w:sz w:val="28"/>
          <w:szCs w:val="28"/>
          <w:highlight w:val="none"/>
          <w:lang w:val="en-US" w:eastAsia="zh-CN"/>
        </w:rPr>
        <w:t>和新</w:t>
      </w:r>
      <w:r>
        <w:rPr>
          <w:rFonts w:hint="eastAsia" w:ascii="仿宋" w:hAnsi="仿宋" w:eastAsia="仿宋" w:cs="仿宋"/>
          <w:color w:val="auto"/>
          <w:sz w:val="28"/>
          <w:szCs w:val="28"/>
          <w:highlight w:val="none"/>
        </w:rPr>
        <w:t>服务提供商须对移交过程中的所有数据信息严格保密，建立数据交接台账，记录经手人及流转轨迹。交接完成后 7 日内，原服务提供商向甲丙双方提交《数据清除确认报告》，证明已删除系统及存储介质中的业务数据（经甲方同意留存的归档资料除外）。若</w:t>
      </w:r>
      <w:r>
        <w:rPr>
          <w:rFonts w:hint="eastAsia" w:ascii="仿宋" w:hAnsi="仿宋" w:eastAsia="仿宋" w:cs="仿宋"/>
          <w:color w:val="auto"/>
          <w:sz w:val="28"/>
          <w:szCs w:val="28"/>
          <w:highlight w:val="none"/>
          <w:lang w:val="en-US" w:eastAsia="zh-CN"/>
        </w:rPr>
        <w:t>因</w:t>
      </w:r>
      <w:r>
        <w:rPr>
          <w:rFonts w:hint="eastAsia" w:ascii="仿宋" w:hAnsi="仿宋" w:eastAsia="仿宋" w:cs="仿宋"/>
          <w:color w:val="auto"/>
          <w:sz w:val="28"/>
          <w:szCs w:val="28"/>
          <w:highlight w:val="none"/>
        </w:rPr>
        <w:t>原服务提供商</w:t>
      </w:r>
      <w:r>
        <w:rPr>
          <w:rFonts w:hint="eastAsia" w:ascii="仿宋" w:hAnsi="仿宋" w:eastAsia="仿宋" w:cs="仿宋"/>
          <w:color w:val="auto"/>
          <w:sz w:val="28"/>
          <w:szCs w:val="28"/>
          <w:highlight w:val="none"/>
          <w:lang w:val="en-US" w:eastAsia="zh-CN"/>
        </w:rPr>
        <w:t>的原因</w:t>
      </w:r>
      <w:r>
        <w:rPr>
          <w:rFonts w:hint="eastAsia" w:ascii="仿宋" w:hAnsi="仿宋" w:eastAsia="仿宋" w:cs="仿宋"/>
          <w:color w:val="auto"/>
          <w:sz w:val="28"/>
          <w:szCs w:val="28"/>
          <w:highlight w:val="none"/>
        </w:rPr>
        <w:t>发生数据泄露，原服务提供商须承担由此造成的全部损失，包括但不限于行政处罚、用户赔偿及商誉损失。</w:t>
      </w:r>
    </w:p>
    <w:p w14:paraId="40780508">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五、违约责任条款​</w:t>
      </w:r>
    </w:p>
    <w:p w14:paraId="11984D01">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资料移交违约：原服务提供商逾期提交资料清单的，按原合同服务总费用的 </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 xml:space="preserve">% 支付违约金；资料缺失或错误导致新服务提供商交接延误的，每影响 1 日额外支付 </w:t>
      </w:r>
      <w:r>
        <w:rPr>
          <w:rFonts w:hint="eastAsia" w:ascii="仿宋" w:hAnsi="仿宋" w:eastAsia="仿宋" w:cs="仿宋"/>
          <w:color w:val="auto"/>
          <w:sz w:val="28"/>
          <w:szCs w:val="28"/>
          <w:highlight w:val="none"/>
          <w:lang w:val="en-US" w:eastAsia="zh-CN"/>
        </w:rPr>
        <w:t>1000</w:t>
      </w:r>
      <w:r>
        <w:rPr>
          <w:rFonts w:hint="eastAsia" w:ascii="仿宋" w:hAnsi="仿宋" w:eastAsia="仿宋" w:cs="仿宋"/>
          <w:color w:val="auto"/>
          <w:sz w:val="28"/>
          <w:szCs w:val="28"/>
          <w:highlight w:val="none"/>
        </w:rPr>
        <w:t>元</w:t>
      </w:r>
      <w:r>
        <w:rPr>
          <w:rFonts w:hint="eastAsia" w:ascii="仿宋" w:hAnsi="仿宋" w:eastAsia="仿宋" w:cs="仿宋"/>
          <w:color w:val="auto"/>
          <w:sz w:val="28"/>
          <w:szCs w:val="28"/>
          <w:highlight w:val="none"/>
          <w:lang w:val="en-US" w:eastAsia="zh-CN"/>
        </w:rPr>
        <w:t>绩效金</w:t>
      </w:r>
      <w:r>
        <w:rPr>
          <w:rFonts w:hint="eastAsia" w:ascii="仿宋" w:hAnsi="仿宋" w:eastAsia="仿宋" w:cs="仿宋"/>
          <w:color w:val="auto"/>
          <w:sz w:val="28"/>
          <w:szCs w:val="28"/>
          <w:highlight w:val="none"/>
        </w:rPr>
        <w:t>，同时须在 24 小时内补正，逾期未补正的甲方有权扣减相应服务款项。​</w:t>
      </w:r>
    </w:p>
    <w:p w14:paraId="5D157538">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技术支持违约：原服务提供商未按约定派驻合格技术人员的，每日支付 </w:t>
      </w:r>
      <w:r>
        <w:rPr>
          <w:rFonts w:hint="eastAsia" w:ascii="仿宋" w:hAnsi="仿宋" w:eastAsia="仿宋" w:cs="仿宋"/>
          <w:color w:val="auto"/>
          <w:sz w:val="28"/>
          <w:szCs w:val="28"/>
          <w:highlight w:val="none"/>
          <w:lang w:val="en-US" w:eastAsia="zh-CN"/>
        </w:rPr>
        <w:t>1000</w:t>
      </w:r>
      <w:r>
        <w:rPr>
          <w:rFonts w:hint="eastAsia" w:ascii="仿宋" w:hAnsi="仿宋" w:eastAsia="仿宋" w:cs="仿宋"/>
          <w:color w:val="auto"/>
          <w:sz w:val="28"/>
          <w:szCs w:val="28"/>
          <w:highlight w:val="none"/>
        </w:rPr>
        <w:t>元</w:t>
      </w:r>
      <w:r>
        <w:rPr>
          <w:rFonts w:hint="eastAsia" w:ascii="仿宋" w:hAnsi="仿宋" w:eastAsia="仿宋" w:cs="仿宋"/>
          <w:color w:val="auto"/>
          <w:sz w:val="28"/>
          <w:szCs w:val="28"/>
          <w:highlight w:val="none"/>
          <w:lang w:val="en-US" w:eastAsia="zh-CN"/>
        </w:rPr>
        <w:t>绩效金</w:t>
      </w:r>
      <w:r>
        <w:rPr>
          <w:rFonts w:hint="eastAsia" w:ascii="仿宋" w:hAnsi="仿宋" w:eastAsia="仿宋" w:cs="仿宋"/>
          <w:color w:val="auto"/>
          <w:sz w:val="28"/>
          <w:szCs w:val="28"/>
          <w:highlight w:val="none"/>
        </w:rPr>
        <w:t xml:space="preserve">；技术支持响应超时（超过 2 小时未响应）的，每次支付 </w:t>
      </w:r>
      <w:r>
        <w:rPr>
          <w:rFonts w:hint="eastAsia" w:ascii="仿宋" w:hAnsi="仿宋" w:eastAsia="仿宋" w:cs="仿宋"/>
          <w:color w:val="auto"/>
          <w:sz w:val="28"/>
          <w:szCs w:val="28"/>
          <w:highlight w:val="none"/>
          <w:lang w:val="en-US" w:eastAsia="zh-CN"/>
        </w:rPr>
        <w:t>1000</w:t>
      </w:r>
      <w:r>
        <w:rPr>
          <w:rFonts w:hint="eastAsia" w:ascii="仿宋" w:hAnsi="仿宋" w:eastAsia="仿宋" w:cs="仿宋"/>
          <w:color w:val="auto"/>
          <w:sz w:val="28"/>
          <w:szCs w:val="28"/>
          <w:highlight w:val="none"/>
        </w:rPr>
        <w:t>元</w:t>
      </w:r>
      <w:r>
        <w:rPr>
          <w:rFonts w:hint="eastAsia" w:ascii="仿宋" w:hAnsi="仿宋" w:eastAsia="仿宋" w:cs="仿宋"/>
          <w:color w:val="auto"/>
          <w:sz w:val="28"/>
          <w:szCs w:val="28"/>
          <w:highlight w:val="none"/>
          <w:lang w:val="en-US" w:eastAsia="zh-CN"/>
        </w:rPr>
        <w:t>绩效金</w:t>
      </w:r>
      <w:r>
        <w:rPr>
          <w:rFonts w:hint="eastAsia" w:ascii="仿宋" w:hAnsi="仿宋" w:eastAsia="仿宋" w:cs="仿宋"/>
          <w:color w:val="auto"/>
          <w:sz w:val="28"/>
          <w:szCs w:val="28"/>
          <w:highlight w:val="none"/>
        </w:rPr>
        <w:t>；因技术支持不到位导致平台切换失败的，原服务提供商须承担新服务提供商紧急采购替代服务的费用。​</w:t>
      </w:r>
    </w:p>
    <w:p w14:paraId="0A007951">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服务质量违约：过渡期内日热线接通率低于 95% 的，原服务提供商</w:t>
      </w:r>
      <w:r>
        <w:rPr>
          <w:rFonts w:hint="eastAsia" w:ascii="仿宋" w:hAnsi="仿宋" w:eastAsia="仿宋" w:cs="仿宋"/>
          <w:color w:val="auto"/>
          <w:sz w:val="28"/>
          <w:szCs w:val="28"/>
          <w:highlight w:val="none"/>
          <w:lang w:val="en-US" w:eastAsia="zh-CN"/>
        </w:rPr>
        <w:t>和新</w:t>
      </w:r>
      <w:r>
        <w:rPr>
          <w:rFonts w:hint="eastAsia" w:ascii="仿宋" w:hAnsi="仿宋" w:eastAsia="仿宋" w:cs="仿宋"/>
          <w:color w:val="auto"/>
          <w:sz w:val="28"/>
          <w:szCs w:val="28"/>
          <w:highlight w:val="none"/>
        </w:rPr>
        <w:t xml:space="preserve">服务提供商每次支付 </w:t>
      </w:r>
      <w:r>
        <w:rPr>
          <w:rFonts w:hint="eastAsia" w:ascii="仿宋" w:hAnsi="仿宋" w:eastAsia="仿宋" w:cs="仿宋"/>
          <w:color w:val="auto"/>
          <w:sz w:val="28"/>
          <w:szCs w:val="28"/>
          <w:highlight w:val="none"/>
          <w:lang w:val="en-US" w:eastAsia="zh-CN"/>
        </w:rPr>
        <w:t>1000</w:t>
      </w:r>
      <w:r>
        <w:rPr>
          <w:rFonts w:hint="eastAsia" w:ascii="仿宋" w:hAnsi="仿宋" w:eastAsia="仿宋" w:cs="仿宋"/>
          <w:color w:val="auto"/>
          <w:sz w:val="28"/>
          <w:szCs w:val="28"/>
          <w:highlight w:val="none"/>
        </w:rPr>
        <w:t>元</w:t>
      </w:r>
      <w:r>
        <w:rPr>
          <w:rFonts w:hint="eastAsia" w:ascii="仿宋" w:hAnsi="仿宋" w:eastAsia="仿宋" w:cs="仿宋"/>
          <w:color w:val="auto"/>
          <w:sz w:val="28"/>
          <w:szCs w:val="28"/>
          <w:highlight w:val="none"/>
          <w:lang w:val="en-US" w:eastAsia="zh-CN"/>
        </w:rPr>
        <w:t>绩效金</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项目负责人须向甲方提交书面致歉说明。​</w:t>
      </w:r>
    </w:p>
    <w:p w14:paraId="08CE1205">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数据安全违约：发生数据泄露事件的，</w:t>
      </w:r>
      <w:r>
        <w:rPr>
          <w:rFonts w:hint="eastAsia" w:ascii="仿宋" w:hAnsi="仿宋" w:eastAsia="仿宋" w:cs="仿宋"/>
          <w:color w:val="auto"/>
          <w:sz w:val="28"/>
          <w:szCs w:val="28"/>
          <w:highlight w:val="none"/>
          <w:lang w:val="en-US" w:eastAsia="zh-CN"/>
        </w:rPr>
        <w:t>对应的</w:t>
      </w:r>
      <w:r>
        <w:rPr>
          <w:rFonts w:hint="eastAsia" w:ascii="仿宋" w:hAnsi="仿宋" w:eastAsia="仿宋" w:cs="仿宋"/>
          <w:color w:val="auto"/>
          <w:sz w:val="28"/>
          <w:szCs w:val="28"/>
          <w:highlight w:val="none"/>
        </w:rPr>
        <w:t>服务提供商须按每人次敏感信息泄露 500 元标准赔偿，并承担由此引发的法律责任，甲方有权终止</w:t>
      </w:r>
      <w:r>
        <w:rPr>
          <w:rFonts w:hint="eastAsia" w:ascii="仿宋" w:hAnsi="仿宋" w:eastAsia="仿宋" w:cs="仿宋"/>
          <w:color w:val="auto"/>
          <w:sz w:val="28"/>
          <w:szCs w:val="28"/>
          <w:highlight w:val="none"/>
          <w:lang w:val="en-US" w:eastAsia="zh-CN"/>
        </w:rPr>
        <w:t>对应的</w:t>
      </w:r>
      <w:r>
        <w:rPr>
          <w:rFonts w:hint="eastAsia" w:ascii="仿宋" w:hAnsi="仿宋" w:eastAsia="仿宋" w:cs="仿宋"/>
          <w:color w:val="auto"/>
          <w:sz w:val="28"/>
          <w:szCs w:val="28"/>
          <w:highlight w:val="none"/>
        </w:rPr>
        <w:t>服务提供商合同未结款项支付。</w:t>
      </w:r>
    </w:p>
    <w:p w14:paraId="41CD26F5">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以上违约金从原合同绩效金中扣除。</w:t>
      </w:r>
      <w:r>
        <w:rPr>
          <w:rFonts w:hint="eastAsia" w:ascii="仿宋" w:hAnsi="仿宋" w:eastAsia="仿宋" w:cs="仿宋"/>
          <w:color w:val="auto"/>
          <w:sz w:val="28"/>
          <w:szCs w:val="28"/>
          <w:highlight w:val="none"/>
        </w:rPr>
        <w:t>​</w:t>
      </w:r>
    </w:p>
    <w:p w14:paraId="05E06BAC">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六、验收​</w:t>
      </w:r>
    </w:p>
    <w:p w14:paraId="74478416">
      <w:pPr>
        <w:keepNext w:val="0"/>
        <w:keepLines w:val="0"/>
        <w:pageBreakBefore w:val="0"/>
        <w:kinsoku/>
        <w:wordWrap/>
        <w:overflowPunct/>
        <w:topLinePunct w:val="0"/>
        <w:autoSpaceDE/>
        <w:autoSpaceDN/>
        <w:bidi w:val="0"/>
        <w:adjustRightInd/>
        <w:snapToGrid/>
        <w:ind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核心工作</w:t>
      </w:r>
      <w:r>
        <w:rPr>
          <w:rFonts w:hint="eastAsia" w:ascii="仿宋" w:hAnsi="仿宋" w:eastAsia="仿宋" w:cs="仿宋"/>
          <w:color w:val="auto"/>
          <w:sz w:val="28"/>
          <w:szCs w:val="28"/>
          <w:highlight w:val="none"/>
        </w:rPr>
        <w:t>交接验收：新服务提供商在 10 日交接期满后 3 日内组织验收，邀请甲方参与，验收通过的共同签署《</w:t>
      </w:r>
      <w:r>
        <w:rPr>
          <w:rFonts w:hint="eastAsia" w:ascii="仿宋" w:hAnsi="仿宋" w:eastAsia="仿宋" w:cs="仿宋"/>
          <w:color w:val="auto"/>
          <w:sz w:val="28"/>
          <w:szCs w:val="28"/>
          <w:highlight w:val="none"/>
          <w:lang w:val="en-US" w:eastAsia="zh-CN"/>
        </w:rPr>
        <w:t>核心工作</w:t>
      </w:r>
      <w:r>
        <w:rPr>
          <w:rFonts w:hint="eastAsia" w:ascii="仿宋" w:hAnsi="仿宋" w:eastAsia="仿宋" w:cs="仿宋"/>
          <w:color w:val="auto"/>
          <w:sz w:val="28"/>
          <w:szCs w:val="28"/>
          <w:highlight w:val="none"/>
        </w:rPr>
        <w:t>交接完成确认书》；未通过的，原服务提供商须在甲方限定时间内整改，整改期间按日</w:t>
      </w:r>
      <w:r>
        <w:rPr>
          <w:rFonts w:hint="eastAsia" w:ascii="仿宋" w:hAnsi="仿宋" w:eastAsia="仿宋" w:cs="仿宋"/>
          <w:color w:val="auto"/>
          <w:sz w:val="28"/>
          <w:szCs w:val="28"/>
          <w:highlight w:val="none"/>
          <w:lang w:val="en-US" w:eastAsia="zh-CN"/>
        </w:rPr>
        <w:t>扣除绩效金额5%。</w:t>
      </w:r>
    </w:p>
    <w:p w14:paraId="6BB63C8F">
      <w:pPr>
        <w:keepNext w:val="0"/>
        <w:keepLines w:val="0"/>
        <w:pageBreakBefore w:val="0"/>
        <w:kinsoku/>
        <w:wordWrap/>
        <w:overflowPunct/>
        <w:topLinePunct w:val="0"/>
        <w:autoSpaceDE/>
        <w:autoSpaceDN/>
        <w:bidi w:val="0"/>
        <w:adjustRightInd/>
        <w:snapToGrid/>
        <w:ind w:firstLine="560" w:firstLineChars="200"/>
        <w:textAlignment w:val="auto"/>
        <w:rPr>
          <w:color w:val="auto"/>
          <w:highlight w:val="none"/>
        </w:rPr>
      </w:pPr>
      <w:r>
        <w:rPr>
          <w:rFonts w:hint="eastAsia" w:ascii="仿宋" w:hAnsi="仿宋" w:eastAsia="仿宋" w:cs="仿宋"/>
          <w:color w:val="auto"/>
          <w:sz w:val="28"/>
          <w:szCs w:val="28"/>
          <w:highlight w:val="none"/>
          <w:lang w:val="en-US" w:eastAsia="zh-CN"/>
        </w:rPr>
        <w:t>全部工作交接验收：</w:t>
      </w:r>
      <w:r>
        <w:rPr>
          <w:rFonts w:hint="eastAsia" w:ascii="仿宋" w:hAnsi="仿宋" w:eastAsia="仿宋" w:cs="仿宋"/>
          <w:color w:val="auto"/>
          <w:sz w:val="28"/>
          <w:szCs w:val="28"/>
          <w:highlight w:val="none"/>
        </w:rPr>
        <w:t>新服务提供商在 10 日交接期满后 3 日内组织验收，邀请甲方参与，验收通过的共同签署《</w:t>
      </w:r>
      <w:r>
        <w:rPr>
          <w:rFonts w:hint="eastAsia" w:ascii="仿宋" w:hAnsi="仿宋" w:eastAsia="仿宋" w:cs="仿宋"/>
          <w:color w:val="auto"/>
          <w:sz w:val="28"/>
          <w:szCs w:val="28"/>
          <w:highlight w:val="none"/>
          <w:lang w:val="en-US" w:eastAsia="zh-CN"/>
        </w:rPr>
        <w:t>工作</w:t>
      </w:r>
      <w:r>
        <w:rPr>
          <w:rFonts w:hint="eastAsia" w:ascii="仿宋" w:hAnsi="仿宋" w:eastAsia="仿宋" w:cs="仿宋"/>
          <w:color w:val="auto"/>
          <w:sz w:val="28"/>
          <w:szCs w:val="28"/>
          <w:highlight w:val="none"/>
        </w:rPr>
        <w:t>交接完成确认书》</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未通过的，按日扣除绩效金额5%。</w:t>
      </w:r>
    </w:p>
    <w:p w14:paraId="44DA518C"/>
    <w:sectPr>
      <w:footerReference r:id="rId3"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9F9E39">
    <w:pPr>
      <w:pStyle w:val="6"/>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EA67E6B">
                          <w:pPr>
                            <w:pStyle w:val="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14:paraId="1EA67E6B">
                    <w:pPr>
                      <w:pStyle w:val="6"/>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C7FFE2"/>
    <w:multiLevelType w:val="singleLevel"/>
    <w:tmpl w:val="81C7FFE2"/>
    <w:lvl w:ilvl="0" w:tentative="0">
      <w:start w:val="2"/>
      <w:numFmt w:val="decimal"/>
      <w:suff w:val="nothing"/>
      <w:lvlText w:val="（%1）"/>
      <w:lvlJc w:val="left"/>
    </w:lvl>
  </w:abstractNum>
  <w:abstractNum w:abstractNumId="1">
    <w:nsid w:val="83D5A181"/>
    <w:multiLevelType w:val="multilevel"/>
    <w:tmpl w:val="83D5A181"/>
    <w:lvl w:ilvl="0" w:tentative="0">
      <w:start w:val="1"/>
      <w:numFmt w:val="decimal"/>
      <w:isLgl/>
      <w:lvlText w:val="第%1章"/>
      <w:lvlJc w:val="left"/>
      <w:pPr>
        <w:tabs>
          <w:tab w:val="left" w:pos="425"/>
        </w:tabs>
        <w:ind w:left="0" w:firstLine="0"/>
      </w:pPr>
      <w:rPr>
        <w:rFonts w:hint="default" w:ascii="宋体" w:hAnsi="宋体" w:eastAsia="黑体" w:cs="宋体"/>
        <w:b w:val="0"/>
        <w:i w:val="0"/>
        <w:caps w:val="0"/>
        <w:smallCaps w:val="0"/>
        <w:strike w:val="0"/>
        <w:dstrike w:val="0"/>
        <w:vanish w:val="0"/>
        <w:spacing w:val="0"/>
        <w:position w:val="0"/>
        <w:sz w:val="44"/>
        <w:u w:val="none"/>
        <w:vertAlign w:val="baseline"/>
      </w:rPr>
    </w:lvl>
    <w:lvl w:ilvl="1" w:tentative="0">
      <w:start w:val="1"/>
      <w:numFmt w:val="decimal"/>
      <w:isLgl/>
      <w:lvlText w:val="%1.%2"/>
      <w:lvlJc w:val="left"/>
      <w:pPr>
        <w:tabs>
          <w:tab w:val="left" w:pos="425"/>
        </w:tabs>
        <w:ind w:left="0" w:firstLine="0"/>
      </w:pPr>
      <w:rPr>
        <w:rFonts w:hint="default" w:ascii="宋体" w:hAnsi="宋体" w:eastAsia="宋体" w:cs="宋体"/>
        <w:b w:val="0"/>
        <w:i w:val="0"/>
        <w:color w:val="000000"/>
      </w:rPr>
    </w:lvl>
    <w:lvl w:ilvl="2" w:tentative="0">
      <w:start w:val="1"/>
      <w:numFmt w:val="decimal"/>
      <w:isLgl/>
      <w:lvlText w:val="%1.%2.%3"/>
      <w:lvlJc w:val="left"/>
      <w:pPr>
        <w:tabs>
          <w:tab w:val="left" w:pos="425"/>
        </w:tabs>
        <w:ind w:left="0" w:firstLine="0"/>
      </w:pPr>
      <w:rPr>
        <w:rFonts w:hint="default" w:ascii="宋体" w:hAnsi="宋体" w:eastAsia="宋体" w:cs="宋体"/>
      </w:rPr>
    </w:lvl>
    <w:lvl w:ilvl="3" w:tentative="0">
      <w:start w:val="1"/>
      <w:numFmt w:val="decimal"/>
      <w:isLgl/>
      <w:lvlText w:val="%1.%2.%3.%4"/>
      <w:lvlJc w:val="left"/>
      <w:pPr>
        <w:tabs>
          <w:tab w:val="left" w:pos="425"/>
        </w:tabs>
        <w:ind w:left="0" w:firstLine="0"/>
      </w:pPr>
      <w:rPr>
        <w:rFonts w:hint="default" w:ascii="宋体" w:hAnsi="宋体" w:eastAsia="宋体" w:cs="宋体"/>
        <w:lang w:val="en-US"/>
      </w:rPr>
    </w:lvl>
    <w:lvl w:ilvl="4" w:tentative="0">
      <w:start w:val="1"/>
      <w:numFmt w:val="decimal"/>
      <w:isLgl/>
      <w:lvlText w:val="%1.%2.%3.%4.%5"/>
      <w:lvlJc w:val="left"/>
      <w:pPr>
        <w:tabs>
          <w:tab w:val="left" w:pos="425"/>
        </w:tabs>
        <w:ind w:left="210" w:firstLine="0"/>
      </w:pPr>
    </w:lvl>
    <w:lvl w:ilvl="5" w:tentative="0">
      <w:start w:val="1"/>
      <w:numFmt w:val="decimal"/>
      <w:isLgl/>
      <w:lvlText w:val="%1.%2.%3.%4.%5.%6"/>
      <w:lvlJc w:val="left"/>
      <w:pPr>
        <w:tabs>
          <w:tab w:val="left" w:pos="425"/>
        </w:tabs>
        <w:ind w:left="0" w:firstLine="0"/>
      </w:pPr>
      <w:rPr>
        <w:rFonts w:hint="eastAsia" w:cs="Times New Roman"/>
        <w:b w:val="0"/>
        <w:bCs w:val="0"/>
        <w:i w:val="0"/>
        <w:iCs w:val="0"/>
        <w:caps w:val="0"/>
        <w:smallCaps w:val="0"/>
        <w:strike w:val="0"/>
        <w:dstrike w:val="0"/>
        <w:vanish w:val="0"/>
        <w:spacing w:val="0"/>
        <w:kern w:val="0"/>
        <w:position w:val="0"/>
        <w:u w:val="none"/>
        <w:vertAlign w:val="baseline"/>
      </w:rPr>
    </w:lvl>
    <w:lvl w:ilvl="6" w:tentative="0">
      <w:start w:val="1"/>
      <w:numFmt w:val="decimal"/>
      <w:isLgl/>
      <w:lvlText w:val="%1.%2.%3.%4.%5.%6.%7"/>
      <w:lvlJc w:val="left"/>
      <w:pPr>
        <w:tabs>
          <w:tab w:val="left" w:pos="425"/>
        </w:tabs>
        <w:ind w:left="0" w:firstLine="0"/>
      </w:pPr>
      <w:rPr>
        <w:rFonts w:hint="default" w:ascii="宋体" w:hAnsi="宋体" w:eastAsia="宋体" w:cs="宋体"/>
      </w:rPr>
    </w:lvl>
    <w:lvl w:ilvl="7" w:tentative="0">
      <w:start w:val="1"/>
      <w:numFmt w:val="decimal"/>
      <w:lvlRestart w:val="1"/>
      <w:isLgl/>
      <w:lvlText w:val="表%1-%8"/>
      <w:lvlJc w:val="center"/>
      <w:pPr>
        <w:tabs>
          <w:tab w:val="left" w:pos="425"/>
        </w:tabs>
        <w:ind w:left="0" w:firstLine="0"/>
      </w:pPr>
      <w:rPr>
        <w:rFonts w:hint="default" w:ascii="宋体" w:hAnsi="宋体" w:eastAsia="宋体" w:cs="宋体"/>
      </w:rPr>
    </w:lvl>
    <w:lvl w:ilvl="8" w:tentative="0">
      <w:start w:val="1"/>
      <w:numFmt w:val="decimal"/>
      <w:lvlRestart w:val="1"/>
      <w:pStyle w:val="2"/>
      <w:isLgl/>
      <w:lvlText w:val="图%1-%9"/>
      <w:lvlJc w:val="center"/>
      <w:pPr>
        <w:tabs>
          <w:tab w:val="left" w:pos="425"/>
        </w:tabs>
        <w:ind w:left="0" w:firstLine="0"/>
      </w:pPr>
      <w:rPr>
        <w:rFonts w:hint="default" w:ascii="宋体" w:hAnsi="宋体" w:eastAsia="宋体" w:cs="宋体"/>
      </w:rPr>
    </w:lvl>
  </w:abstractNum>
  <w:abstractNum w:abstractNumId="2">
    <w:nsid w:val="A04481A6"/>
    <w:multiLevelType w:val="singleLevel"/>
    <w:tmpl w:val="A04481A6"/>
    <w:lvl w:ilvl="0" w:tentative="0">
      <w:start w:val="5"/>
      <w:numFmt w:val="chineseCounting"/>
      <w:suff w:val="nothing"/>
      <w:lvlText w:val="（%1）"/>
      <w:lvlJc w:val="left"/>
      <w:rPr>
        <w:rFonts w:hint="eastAsia"/>
      </w:rPr>
    </w:lvl>
  </w:abstractNum>
  <w:abstractNum w:abstractNumId="3">
    <w:nsid w:val="2BBEC8EB"/>
    <w:multiLevelType w:val="singleLevel"/>
    <w:tmpl w:val="2BBEC8EB"/>
    <w:lvl w:ilvl="0" w:tentative="0">
      <w:start w:val="4"/>
      <w:numFmt w:val="chineseCounting"/>
      <w:suff w:val="nothing"/>
      <w:lvlText w:val="（%1）"/>
      <w:lvlJc w:val="left"/>
      <w:rPr>
        <w:rFonts w:hint="eastAsia"/>
      </w:rPr>
    </w:lvl>
  </w:abstractNum>
  <w:abstractNum w:abstractNumId="4">
    <w:nsid w:val="367C7D25"/>
    <w:multiLevelType w:val="multilevel"/>
    <w:tmpl w:val="367C7D25"/>
    <w:lvl w:ilvl="0" w:tentative="0">
      <w:start w:val="2"/>
      <w:numFmt w:val="japaneseCounting"/>
      <w:lvlText w:val="（%1）"/>
      <w:lvlJc w:val="left"/>
      <w:pPr>
        <w:ind w:left="885" w:hanging="885"/>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610CA95E"/>
    <w:multiLevelType w:val="singleLevel"/>
    <w:tmpl w:val="610CA95E"/>
    <w:lvl w:ilvl="0" w:tentative="0">
      <w:start w:val="1"/>
      <w:numFmt w:val="decimal"/>
      <w:suff w:val="nothing"/>
      <w:lvlText w:val="（%1）"/>
      <w:lvlJc w:val="left"/>
    </w:lvl>
  </w:abstractNum>
  <w:num w:numId="1">
    <w:abstractNumId w:val="1"/>
  </w:num>
  <w:num w:numId="2">
    <w:abstractNumId w:val="4"/>
  </w:num>
  <w:num w:numId="3">
    <w:abstractNumId w:val="5"/>
  </w:num>
  <w:num w:numId="4">
    <w:abstractNumId w:val="0"/>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F864FF4"/>
    <w:rsid w:val="0BD66B53"/>
    <w:rsid w:val="59595277"/>
    <w:rsid w:val="6F864FF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9"/>
    <w:basedOn w:val="1"/>
    <w:next w:val="1"/>
    <w:qFormat/>
    <w:uiPriority w:val="0"/>
    <w:pPr>
      <w:keepNext/>
      <w:keepLines/>
      <w:numPr>
        <w:ilvl w:val="8"/>
        <w:numId w:val="1"/>
      </w:numPr>
      <w:spacing w:before="240" w:beforeLines="0" w:beforeAutospacing="0" w:after="64" w:afterLines="0" w:afterAutospacing="0" w:line="360" w:lineRule="auto"/>
      <w:jc w:val="center"/>
      <w:outlineLvl w:val="8"/>
    </w:pPr>
    <w:rPr>
      <w:rFonts w:ascii="Cambria" w:hAnsi="Cambria" w:eastAsia="宋体"/>
      <w:kern w:val="0"/>
      <w:szCs w:val="24"/>
    </w:rPr>
  </w:style>
  <w:style w:type="character" w:default="1" w:styleId="9">
    <w:name w:val="Default Paragraph Font"/>
    <w:semiHidden/>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3">
    <w:name w:val="Normal Indent"/>
    <w:basedOn w:val="1"/>
    <w:next w:val="4"/>
    <w:qFormat/>
    <w:uiPriority w:val="0"/>
    <w:pPr>
      <w:ind w:firstLine="420"/>
    </w:pPr>
  </w:style>
  <w:style w:type="paragraph" w:styleId="4">
    <w:name w:val="caption"/>
    <w:basedOn w:val="1"/>
    <w:next w:val="1"/>
    <w:qFormat/>
    <w:uiPriority w:val="0"/>
    <w:rPr>
      <w:rFonts w:ascii="Arial" w:hAnsi="Arial" w:eastAsia="黑体"/>
      <w:sz w:val="20"/>
    </w:rPr>
  </w:style>
  <w:style w:type="paragraph" w:styleId="5">
    <w:name w:val="Date"/>
    <w:basedOn w:val="1"/>
    <w:next w:val="1"/>
    <w:qFormat/>
    <w:uiPriority w:val="0"/>
    <w:rPr>
      <w:rFonts w:ascii="宋体" w:hAnsi="Courier New"/>
      <w:sz w:val="28"/>
    </w:rPr>
  </w:style>
  <w:style w:type="paragraph" w:styleId="6">
    <w:name w:val="footer"/>
    <w:basedOn w:val="1"/>
    <w:uiPriority w:val="0"/>
    <w:pPr>
      <w:tabs>
        <w:tab w:val="center" w:pos="4153"/>
        <w:tab w:val="right" w:pos="8306"/>
      </w:tabs>
      <w:snapToGrid w:val="0"/>
      <w:jc w:val="left"/>
    </w:pPr>
    <w:rPr>
      <w:sz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customStyle="1" w:styleId="10">
    <w:name w:val="列出段落1"/>
    <w:basedOn w:val="1"/>
    <w:qFormat/>
    <w:uiPriority w:val="34"/>
    <w:pPr>
      <w:ind w:firstLine="420" w:firstLineChars="200"/>
    </w:pPr>
  </w:style>
  <w:style w:type="paragraph" w:customStyle="1" w:styleId="11">
    <w:name w:val="my正文"/>
    <w:basedOn w:val="3"/>
    <w:qFormat/>
    <w:uiPriority w:val="0"/>
    <w:pPr>
      <w:ind w:firstLine="480" w:firstLineChars="200"/>
    </w:pPr>
    <w:rPr>
      <w:kern w:val="0"/>
      <w:sz w:val="24"/>
      <w:szCs w:val="24"/>
    </w:rPr>
  </w:style>
  <w:style w:type="paragraph" w:customStyle="1" w:styleId="12">
    <w:name w:val="表格文字"/>
    <w:basedOn w:val="1"/>
    <w:qFormat/>
    <w:uiPriority w:val="0"/>
    <w:pPr>
      <w:jc w:val="left"/>
    </w:pPr>
    <w:rPr>
      <w:rFonts w:ascii="Times New Roman" w:hAnsi="Times New Roman" w:eastAsia="宋体"/>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74</Pages>
  <Words>5146</Words>
  <Characters>5637</Characters>
  <Lines>0</Lines>
  <Paragraphs>0</Paragraphs>
  <TotalTime>0</TotalTime>
  <ScaleCrop>false</ScaleCrop>
  <LinksUpToDate>false</LinksUpToDate>
  <CharactersWithSpaces>5675</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2025-08-11T02:11:00Z</dcterms:created>
  <dc:creator>yxmm</dc:creator>
  <cp:lastModifiedBy>yxmm</cp:lastModifiedBy>
  <dcterms:modified xsi:type="dcterms:W3CDTF">2025-08-15T03:36:31Z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C86152F7BCDD4193A4DDD7032625725F_11</vt:lpwstr>
  </property>
  <property fmtid="{D5CDD505-2E9C-101B-9397-08002B2CF9AE}" pid="4" name="KSOTemplateDocerSaveRecord">
    <vt:lpwstr>eyJoZGlkIjoiYjgyZmRiNWNhZTg3OWFjNDY1MDMzMmMwZDg3ODZhZDkiLCJ1c2VySWQiOiIyMzc2Mjg4NTAifQ==</vt:lpwstr>
  </property>
</Properties>
</file>