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育才生态区立才社区连队主干道路路灯亮化工程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HNZXD2025048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三亚市育才生态区市政管理服务中心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海南致信达项目管理有限公司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三亚市育才生态区市政管理服务中心</w:t>
      </w:r>
      <w:r>
        <w:rPr>
          <w:rFonts w:ascii="仿宋_GB2312" w:hAnsi="仿宋_GB2312" w:cs="仿宋_GB2312" w:eastAsia="仿宋_GB2312"/>
        </w:rPr>
        <w:t xml:space="preserve"> 的委托， </w:t>
      </w:r>
      <w:r>
        <w:rPr>
          <w:rFonts w:ascii="仿宋_GB2312" w:hAnsi="仿宋_GB2312" w:cs="仿宋_GB2312" w:eastAsia="仿宋_GB2312"/>
        </w:rPr>
        <w:t>海南致信达项目管理有限公司</w:t>
      </w:r>
      <w:r>
        <w:rPr>
          <w:rFonts w:ascii="仿宋_GB2312" w:hAnsi="仿宋_GB2312" w:cs="仿宋_GB2312" w:eastAsia="仿宋_GB2312"/>
        </w:rPr>
        <w:t xml:space="preserve"> 对 </w:t>
      </w:r>
      <w:r>
        <w:rPr>
          <w:rFonts w:ascii="仿宋_GB2312" w:hAnsi="仿宋_GB2312" w:cs="仿宋_GB2312" w:eastAsia="仿宋_GB2312"/>
        </w:rPr>
        <w:t>育才生态区立才社区连队主干道路路灯亮化工程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HNZXD2025048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育才生态区立才社区连队主干道路路灯亮化工程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3,279,890.16元</w:t>
      </w:r>
      <w:r>
        <w:rPr>
          <w:rFonts w:ascii="仿宋_GB2312" w:hAnsi="仿宋_GB2312" w:cs="仿宋_GB2312" w:eastAsia="仿宋_GB2312"/>
        </w:rPr>
        <w:t>叁佰贰拾柒万玖仟捌佰玖拾元零壹角陆分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p>
      <w:pPr>
        <w:pStyle w:val="null3"/>
        <w:jc w:val="left"/>
      </w:pPr>
      <w:r>
        <w:rPr>
          <w:rFonts w:ascii="仿宋_GB2312" w:hAnsi="仿宋_GB2312" w:cs="仿宋_GB2312" w:eastAsia="仿宋_GB2312"/>
        </w:rPr>
        <w:t>2、安全生产许可证：供应商须具备住房和城乡建设厅颁发有效的《安全生产许可证》（提供安全生产许可证复印件加盖公章）</w:t>
      </w:r>
    </w:p>
    <w:p>
      <w:pPr>
        <w:pStyle w:val="null3"/>
        <w:jc w:val="left"/>
      </w:pPr>
      <w:r>
        <w:rPr>
          <w:rFonts w:ascii="仿宋_GB2312" w:hAnsi="仿宋_GB2312" w:cs="仿宋_GB2312" w:eastAsia="仿宋_GB2312"/>
        </w:rPr>
        <w:t>3、项目经理：拟派项目经理须具备市政公用工程专业二级（含以上级）注册建造师执业资格，且未担任其他在施建设工程项目的项目经理（提供建造师注册证书、2024年10月至今任意一个月社保证明和项目经理无在建项目声明函）</w:t>
      </w:r>
    </w:p>
    <w:p>
      <w:pPr>
        <w:pStyle w:val="null3"/>
        <w:jc w:val="left"/>
      </w:pPr>
      <w:r>
        <w:rPr>
          <w:rFonts w:ascii="仿宋_GB2312" w:hAnsi="仿宋_GB2312" w:cs="仿宋_GB2312" w:eastAsia="仿宋_GB2312"/>
        </w:rPr>
        <w:t>4、诚信档案手册：供应商须在海南省住房和城乡建设厅网站登录海南省房屋建筑工程全过程监管信息平台完成《海南省建筑企业诚信档案手册》登记，并打印生成诚信档案手册（提供诚信档案手册复印件加盖公章）；</w:t>
      </w:r>
    </w:p>
    <w:p>
      <w:pPr>
        <w:pStyle w:val="null3"/>
        <w:jc w:val="left"/>
      </w:pPr>
      <w:r>
        <w:rPr>
          <w:rFonts w:ascii="仿宋_GB2312" w:hAnsi="仿宋_GB2312" w:cs="仿宋_GB2312" w:eastAsia="仿宋_GB2312"/>
        </w:rPr>
        <w:t>5、政府采购供应商信用承诺书：提供“政府采购供应商信用承诺书”，详见政“政府采购供应商信用承诺书”格式</w:t>
      </w:r>
    </w:p>
    <w:p>
      <w:pPr>
        <w:pStyle w:val="null3"/>
        <w:jc w:val="left"/>
      </w:pPr>
      <w:r>
        <w:rPr>
          <w:rFonts w:ascii="仿宋_GB2312" w:hAnsi="仿宋_GB2312" w:cs="仿宋_GB2312" w:eastAsia="仿宋_GB2312"/>
        </w:rPr>
        <w:t>6、无环保类行政处罚记录声明函：提供无环保类行政处罚记录声明函：详见磋商文件格式</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三亚市育才生态区市政管理服务中心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三亚市育才生态区管理委员会办公室二楼210室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0898-88953118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海南致信达项目管理有限公司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海南省三亚市吉阳区月川中路月川南区安置房2栋22楼2204房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18876689310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采购包1：3,279,890.16元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代理服务费收费标准：根据《海南省物价局关于降低部分招标代理服务收费标准的通知》(琼价费管[20111225号)收费，以12348.00元收取本项目的招标代理服务费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1、参照《政府采购促进中小企业发展管理办法》（财库〔2020〕46号）相关规定，发挥政府采购的政策功能，促进中小企业健康发展。本项目为专门面向中小企业采 购 的采购项目，供应商应为中小微企业、监狱企业、残疾人福利性单位。不再执行价 格 评审优惠的扶持政策。 2、根据国家统计局关于印发《统计上大中小微型企业划分办法（2017）》的通知，本项目所属行业：建筑业。3、各投标供应商的相关证 明材料必须在响应文件内提供加盖公章扫描件； 4、响应文件中所附的有关证明、证书、证件等材料均为真实有效的，采购人在开标结束后有权对投标提交的证明、证书、证 件等原件材料进行核实。经核实若虚假材料的，若为成交供应商的还将取消其成交资格，若已签订合同则取消合同并同时上报主管部门进行处罚。5、本项目采用远程不见面方式（供应商无需到现场）。供应商使用“投标客户端”编制、签章、生成加密响应文件，同时生成（同一版的备用响应文件），供应商自行留存，涉及“加盖公章”的内容应使用单位电子公章完成。开启时，供应商应当使用数字证书在解密时 限内完成全部已响应采购包的响应文件在线解密，若出现系统异常情况，工作人员可适当延长解密时长。 6、不接受供应商的备用标书上传。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联系电话：18876689310</w:t>
      </w:r>
    </w:p>
    <w:p>
      <w:pPr>
        <w:pStyle w:val="null3"/>
        <w:jc w:val="left"/>
      </w:pPr>
      <w:r>
        <w:rPr>
          <w:rFonts w:ascii="仿宋_GB2312" w:hAnsi="仿宋_GB2312" w:cs="仿宋_GB2312" w:eastAsia="仿宋_GB2312"/>
        </w:rPr>
        <w:t>地址：海南省三亚市吉阳区月川中路月川南区安置房2栋22楼2204房</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新建电路灯</w:t>
      </w:r>
      <w:r>
        <w:rPr>
          <w:rFonts w:ascii="仿宋_GB2312" w:hAnsi="仿宋_GB2312" w:cs="仿宋_GB2312" w:eastAsia="仿宋_GB2312"/>
          <w:sz w:val="24"/>
          <w:color w:val="000000"/>
        </w:rPr>
        <w:t>300盏，新建照明配电箱11个，敷设电缆11627米等。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3,279,890.16</w:t>
      </w:r>
    </w:p>
    <w:p>
      <w:pPr>
        <w:pStyle w:val="null3"/>
        <w:jc w:val="left"/>
      </w:pPr>
      <w:r>
        <w:rPr>
          <w:rFonts w:ascii="仿宋_GB2312" w:hAnsi="仿宋_GB2312" w:cs="仿宋_GB2312" w:eastAsia="仿宋_GB2312"/>
        </w:rPr>
        <w:t>采购包最高限价（元）: 3,279,890.16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3,279,890.16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3,279,890.16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育才生态区立才社区连队主干道路灯亮化工程</w:t>
            </w:r>
          </w:p>
          <w:p>
            <w:pPr>
              <w:pStyle w:val="null3"/>
              <w:ind w:firstLine="480"/>
              <w:jc w:val="both"/>
            </w:pPr>
            <w:r>
              <w:rPr>
                <w:rFonts w:ascii="仿宋_GB2312" w:hAnsi="仿宋_GB2312" w:cs="仿宋_GB2312" w:eastAsia="仿宋_GB2312"/>
                <w:sz w:val="24"/>
                <w:color w:val="000000"/>
              </w:rPr>
              <w:t>2、项目预算：本项目预算金额为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元，超出采购预算金额的投标，按无效投标处理。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、资金来源：政府资金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建设规模及内容：新建电路灯</w:t>
            </w:r>
            <w:r>
              <w:rPr>
                <w:rFonts w:ascii="仿宋_GB2312" w:hAnsi="仿宋_GB2312" w:cs="仿宋_GB2312" w:eastAsia="仿宋_GB2312"/>
                <w:sz w:val="24"/>
                <w:color w:val="000000"/>
              </w:rPr>
              <w:t>300盏，新建照明配电箱11个，敷设电缆11627米等。</w:t>
            </w:r>
          </w:p>
          <w:p>
            <w:pPr>
              <w:pStyle w:val="null3"/>
              <w:ind w:firstLine="480"/>
              <w:jc w:val="both"/>
            </w:pPr>
            <w:r>
              <w:rPr>
                <w:rFonts w:ascii="仿宋_GB2312" w:hAnsi="仿宋_GB2312" w:cs="仿宋_GB2312" w:eastAsia="仿宋_GB2312"/>
                <w:sz w:val="24"/>
                <w:color w:val="000000"/>
              </w:rPr>
              <w:t>5、招标范围：按采购人提供的工程量清单及施工图所包含的全部工作内容进行施工（详见工程量清单和施工设计图）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项目地</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三亚市育才区</w:t>
            </w: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 xml:space="preserve">20日历天  </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、技术要求：以《图纸》为准。</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、质量要求：合格</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、验收标准：按采购人提供的工程量清单及施工图所包含的全部工作内容进行施工（详见工程量清单和施工设计图）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竞争性磋商文件及</w:t>
            </w:r>
            <w:r>
              <w:rPr>
                <w:rFonts w:ascii="仿宋_GB2312" w:hAnsi="仿宋_GB2312" w:cs="仿宋_GB2312" w:eastAsia="仿宋_GB2312"/>
                <w:sz w:val="24"/>
                <w:color w:val="000000"/>
              </w:rPr>
              <w:t>相关法律法规要求与合同约定相关条款进行验收。</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合同签订后甲方向乙方支付</w:t>
            </w:r>
            <w:r>
              <w:rPr>
                <w:rFonts w:ascii="仿宋_GB2312" w:hAnsi="仿宋_GB2312" w:cs="仿宋_GB2312" w:eastAsia="仿宋_GB2312"/>
                <w:sz w:val="24"/>
                <w:b/>
                <w:color w:val="000000"/>
              </w:rPr>
              <w:t>预付款</w:t>
            </w:r>
            <w:r>
              <w:rPr>
                <w:rFonts w:ascii="仿宋_GB2312" w:hAnsi="仿宋_GB2312" w:cs="仿宋_GB2312" w:eastAsia="仿宋_GB2312"/>
                <w:sz w:val="24"/>
                <w:b/>
                <w:color w:val="000000"/>
              </w:rPr>
              <w:t>30%，竣工</w:t>
            </w:r>
            <w:r>
              <w:rPr>
                <w:rFonts w:ascii="仿宋_GB2312" w:hAnsi="仿宋_GB2312" w:cs="仿宋_GB2312" w:eastAsia="仿宋_GB2312"/>
                <w:sz w:val="24"/>
                <w:b/>
                <w:color w:val="000000"/>
              </w:rPr>
              <w:t>后</w:t>
            </w:r>
            <w:r>
              <w:rPr>
                <w:rFonts w:ascii="仿宋_GB2312" w:hAnsi="仿宋_GB2312" w:cs="仿宋_GB2312" w:eastAsia="仿宋_GB2312"/>
                <w:sz w:val="24"/>
                <w:b/>
                <w:color w:val="000000"/>
              </w:rPr>
              <w:t>支付</w:t>
            </w:r>
            <w:r>
              <w:rPr>
                <w:rFonts w:ascii="仿宋_GB2312" w:hAnsi="仿宋_GB2312" w:cs="仿宋_GB2312" w:eastAsia="仿宋_GB2312"/>
                <w:sz w:val="24"/>
                <w:b/>
                <w:color w:val="000000"/>
              </w:rPr>
              <w:t>50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剩余</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尾款</w:t>
            </w:r>
            <w:r>
              <w:rPr>
                <w:rFonts w:ascii="仿宋_GB2312" w:hAnsi="仿宋_GB2312" w:cs="仿宋_GB2312" w:eastAsia="仿宋_GB2312"/>
                <w:sz w:val="24"/>
                <w:b/>
                <w:color w:val="000000"/>
              </w:rPr>
              <w:t>待</w:t>
            </w:r>
            <w:r>
              <w:rPr>
                <w:rFonts w:ascii="仿宋_GB2312" w:hAnsi="仿宋_GB2312" w:cs="仿宋_GB2312" w:eastAsia="仿宋_GB2312"/>
                <w:sz w:val="24"/>
                <w:b/>
                <w:color w:val="000000"/>
              </w:rPr>
              <w:t>审计结算后付清。</w:t>
            </w:r>
          </w:p>
          <w:p>
            <w:pPr>
              <w:pStyle w:val="null3"/>
              <w:jc w:val="both"/>
            </w:pPr>
            <w:r>
              <w:rPr>
                <w:rFonts w:ascii="仿宋_GB2312" w:hAnsi="仿宋_GB2312" w:cs="仿宋_GB2312" w:eastAsia="仿宋_GB2312"/>
                <w:sz w:val="24"/>
                <w:b/>
                <w:color w:val="000000"/>
              </w:rPr>
              <w:t>三、其他</w:t>
            </w:r>
          </w:p>
          <w:p>
            <w:pPr>
              <w:pStyle w:val="null3"/>
              <w:jc w:val="both"/>
            </w:pPr>
            <w:r>
              <w:rPr>
                <w:rFonts w:ascii="仿宋_GB2312" w:hAnsi="仿宋_GB2312" w:cs="仿宋_GB2312" w:eastAsia="仿宋_GB2312"/>
                <w:sz w:val="24"/>
                <w:color w:val="000000"/>
              </w:rPr>
              <w:t>凡涉及磋商文件的</w:t>
            </w:r>
            <w:r>
              <w:rPr>
                <w:rFonts w:ascii="仿宋_GB2312" w:hAnsi="仿宋_GB2312" w:cs="仿宋_GB2312" w:eastAsia="仿宋_GB2312"/>
                <w:sz w:val="24"/>
                <w:color w:val="000000"/>
              </w:rPr>
              <w:t>补充说明和修改，均以采购代理机构在中国政府采购网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www.ccgp.gov.cn</w:t>
            </w:r>
            <w:r>
              <w:rPr>
                <w:rFonts w:ascii="仿宋_GB2312" w:hAnsi="仿宋_GB2312" w:cs="仿宋_GB2312" w:eastAsia="仿宋_GB2312"/>
                <w:sz w:val="24"/>
                <w:color w:val="000000"/>
              </w:rPr>
              <w:t>）、中国政府采购网海南分网</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海南省政府采购智慧云平台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https://ccgp-hainan.gov.cn/）</w:t>
            </w:r>
            <w:r>
              <w:rPr>
                <w:rFonts w:ascii="仿宋_GB2312" w:hAnsi="仿宋_GB2312" w:cs="仿宋_GB2312" w:eastAsia="仿宋_GB2312"/>
                <w:sz w:val="24"/>
                <w:color w:val="000000"/>
              </w:rPr>
              <w:t>发布的公告为准。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rPr>
        <w:t>育才生态区立才社区连队主干道路灯亮化工程</w:t>
      </w:r>
    </w:p>
    <w:p>
      <w:pPr>
        <w:pStyle w:val="null3"/>
        <w:ind w:firstLine="480"/>
        <w:jc w:val="both"/>
      </w:pPr>
      <w:r>
        <w:rPr>
          <w:rFonts w:ascii="仿宋_GB2312" w:hAnsi="仿宋_GB2312" w:cs="仿宋_GB2312" w:eastAsia="仿宋_GB2312"/>
          <w:sz w:val="24"/>
          <w:color w:val="000000"/>
        </w:rPr>
        <w:t>2、项目预算：本项目预算金额为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元，最高限价为</w:t>
      </w:r>
      <w:r>
        <w:rPr>
          <w:rFonts w:ascii="仿宋_GB2312" w:hAnsi="仿宋_GB2312" w:cs="仿宋_GB2312" w:eastAsia="仿宋_GB2312"/>
          <w:sz w:val="24"/>
          <w:color w:val="000000"/>
        </w:rPr>
        <w:t>3279890.16</w:t>
      </w:r>
      <w:r>
        <w:rPr>
          <w:rFonts w:ascii="仿宋_GB2312" w:hAnsi="仿宋_GB2312" w:cs="仿宋_GB2312" w:eastAsia="仿宋_GB2312"/>
          <w:sz w:val="24"/>
          <w:color w:val="000000"/>
        </w:rPr>
        <w:t>元，超出采购预算金额的投标，按无效投标处理。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、资金来源：政府资金</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建设规模及内容：新建电路灯</w:t>
      </w:r>
      <w:r>
        <w:rPr>
          <w:rFonts w:ascii="仿宋_GB2312" w:hAnsi="仿宋_GB2312" w:cs="仿宋_GB2312" w:eastAsia="仿宋_GB2312"/>
          <w:sz w:val="24"/>
          <w:color w:val="000000"/>
        </w:rPr>
        <w:t>300盏，新建照明配电箱11个，敷设电缆11627米等。</w:t>
      </w:r>
    </w:p>
    <w:p>
      <w:pPr>
        <w:pStyle w:val="null3"/>
        <w:ind w:firstLine="480"/>
        <w:jc w:val="both"/>
      </w:pPr>
      <w:r>
        <w:rPr>
          <w:rFonts w:ascii="仿宋_GB2312" w:hAnsi="仿宋_GB2312" w:cs="仿宋_GB2312" w:eastAsia="仿宋_GB2312"/>
          <w:sz w:val="24"/>
          <w:color w:val="000000"/>
        </w:rPr>
        <w:t>5、招标范围：按采购人提供的工程量清单及施工图所包含的全部工作内容进行施工（详见工程量清单和施工设计图）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项目地</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三亚市育才区</w:t>
      </w:r>
      <w:r>
        <w:rPr>
          <w:rFonts w:ascii="仿宋_GB2312" w:hAnsi="仿宋_GB2312" w:cs="仿宋_GB2312" w:eastAsia="仿宋_GB2312"/>
          <w:sz w:val="32"/>
        </w:rPr>
        <w:t xml:space="preserve"> </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、工期：</w:t>
      </w:r>
      <w:r>
        <w:rPr>
          <w:rFonts w:ascii="仿宋_GB2312" w:hAnsi="仿宋_GB2312" w:cs="仿宋_GB2312" w:eastAsia="仿宋_GB2312"/>
          <w:sz w:val="24"/>
          <w:color w:val="000000"/>
        </w:rPr>
        <w:t xml:space="preserve">20日历天  </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、技术要求：以《图纸》为准。</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、质量要求：合格</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、验收标准：按采购人提供的工程量清单及施工图所包含的全部工作内容进行施工（详见工程量清单和施工设计图）</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供应商与采购人应严格按照《财政部关于进一步加强政府采购需求和履约验收管理的指导意见》（财库〔</w:t>
      </w:r>
      <w:r>
        <w:rPr>
          <w:rFonts w:ascii="仿宋_GB2312" w:hAnsi="仿宋_GB2312" w:cs="仿宋_GB2312" w:eastAsia="仿宋_GB2312"/>
          <w:sz w:val="24"/>
          <w:color w:val="000000"/>
        </w:rPr>
        <w:t>2016〕205 号）文件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竞争性磋商文件及</w:t>
      </w:r>
      <w:r>
        <w:rPr>
          <w:rFonts w:ascii="仿宋_GB2312" w:hAnsi="仿宋_GB2312" w:cs="仿宋_GB2312" w:eastAsia="仿宋_GB2312"/>
          <w:sz w:val="24"/>
          <w:color w:val="000000"/>
        </w:rPr>
        <w:t>相关法律法规要求与合同约定相关条款进行验收。</w:t>
      </w:r>
    </w:p>
    <w:p>
      <w:pPr>
        <w:pStyle w:val="null3"/>
        <w:jc w:val="both"/>
      </w:pPr>
      <w:r>
        <w:rPr>
          <w:rFonts w:ascii="仿宋_GB2312" w:hAnsi="仿宋_GB2312" w:cs="仿宋_GB2312" w:eastAsia="仿宋_GB2312"/>
          <w:sz w:val="24"/>
          <w:b/>
          <w:color w:val="000000"/>
        </w:rPr>
        <w:t>二、付款方式</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合同签订后甲方向乙方支付</w:t>
      </w:r>
      <w:r>
        <w:rPr>
          <w:rFonts w:ascii="仿宋_GB2312" w:hAnsi="仿宋_GB2312" w:cs="仿宋_GB2312" w:eastAsia="仿宋_GB2312"/>
          <w:sz w:val="24"/>
          <w:b/>
          <w:color w:val="000000"/>
        </w:rPr>
        <w:t>预付款</w:t>
      </w:r>
      <w:r>
        <w:rPr>
          <w:rFonts w:ascii="仿宋_GB2312" w:hAnsi="仿宋_GB2312" w:cs="仿宋_GB2312" w:eastAsia="仿宋_GB2312"/>
          <w:sz w:val="24"/>
          <w:b/>
          <w:color w:val="000000"/>
        </w:rPr>
        <w:t>30%，竣工</w:t>
      </w:r>
      <w:r>
        <w:rPr>
          <w:rFonts w:ascii="仿宋_GB2312" w:hAnsi="仿宋_GB2312" w:cs="仿宋_GB2312" w:eastAsia="仿宋_GB2312"/>
          <w:sz w:val="24"/>
          <w:b/>
          <w:color w:val="000000"/>
        </w:rPr>
        <w:t>后</w:t>
      </w:r>
      <w:r>
        <w:rPr>
          <w:rFonts w:ascii="仿宋_GB2312" w:hAnsi="仿宋_GB2312" w:cs="仿宋_GB2312" w:eastAsia="仿宋_GB2312"/>
          <w:sz w:val="24"/>
          <w:b/>
          <w:color w:val="000000"/>
        </w:rPr>
        <w:t>支付</w:t>
      </w:r>
      <w:r>
        <w:rPr>
          <w:rFonts w:ascii="仿宋_GB2312" w:hAnsi="仿宋_GB2312" w:cs="仿宋_GB2312" w:eastAsia="仿宋_GB2312"/>
          <w:sz w:val="24"/>
          <w:b/>
          <w:color w:val="000000"/>
        </w:rPr>
        <w:t>50</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剩余</w:t>
      </w:r>
      <w:r>
        <w:rPr>
          <w:rFonts w:ascii="仿宋_GB2312" w:hAnsi="仿宋_GB2312" w:cs="仿宋_GB2312" w:eastAsia="仿宋_GB2312"/>
          <w:sz w:val="24"/>
          <w:b/>
          <w:color w:val="000000"/>
        </w:rPr>
        <w:t>20%</w:t>
      </w:r>
      <w:r>
        <w:rPr>
          <w:rFonts w:ascii="仿宋_GB2312" w:hAnsi="仿宋_GB2312" w:cs="仿宋_GB2312" w:eastAsia="仿宋_GB2312"/>
          <w:sz w:val="24"/>
          <w:b/>
          <w:color w:val="000000"/>
        </w:rPr>
        <w:t>尾款</w:t>
      </w:r>
      <w:r>
        <w:rPr>
          <w:rFonts w:ascii="仿宋_GB2312" w:hAnsi="仿宋_GB2312" w:cs="仿宋_GB2312" w:eastAsia="仿宋_GB2312"/>
          <w:sz w:val="24"/>
          <w:b/>
          <w:color w:val="000000"/>
        </w:rPr>
        <w:t>待</w:t>
      </w:r>
      <w:r>
        <w:rPr>
          <w:rFonts w:ascii="仿宋_GB2312" w:hAnsi="仿宋_GB2312" w:cs="仿宋_GB2312" w:eastAsia="仿宋_GB2312"/>
          <w:sz w:val="24"/>
          <w:b/>
          <w:color w:val="000000"/>
        </w:rPr>
        <w:t>审计结算后付清。</w:t>
      </w:r>
    </w:p>
    <w:p>
      <w:pPr>
        <w:pStyle w:val="null3"/>
        <w:jc w:val="both"/>
      </w:pPr>
      <w:r>
        <w:rPr>
          <w:rFonts w:ascii="仿宋_GB2312" w:hAnsi="仿宋_GB2312" w:cs="仿宋_GB2312" w:eastAsia="仿宋_GB2312"/>
          <w:sz w:val="24"/>
          <w:b/>
          <w:color w:val="000000"/>
        </w:rPr>
        <w:t>三、其他</w:t>
      </w:r>
    </w:p>
    <w:p>
      <w:pPr>
        <w:pStyle w:val="null3"/>
        <w:jc w:val="both"/>
      </w:pPr>
      <w:r>
        <w:rPr>
          <w:rFonts w:ascii="仿宋_GB2312" w:hAnsi="仿宋_GB2312" w:cs="仿宋_GB2312" w:eastAsia="仿宋_GB2312"/>
          <w:sz w:val="24"/>
          <w:color w:val="000000"/>
        </w:rPr>
        <w:t>凡涉及磋商文件的</w:t>
      </w:r>
      <w:r>
        <w:rPr>
          <w:rFonts w:ascii="仿宋_GB2312" w:hAnsi="仿宋_GB2312" w:cs="仿宋_GB2312" w:eastAsia="仿宋_GB2312"/>
          <w:sz w:val="24"/>
          <w:color w:val="000000"/>
        </w:rPr>
        <w:t>补充说明和修改，均以采购代理机构在中国政府采购网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www.ccgp.gov.cn</w:t>
      </w:r>
      <w:r>
        <w:rPr>
          <w:rFonts w:ascii="仿宋_GB2312" w:hAnsi="仿宋_GB2312" w:cs="仿宋_GB2312" w:eastAsia="仿宋_GB2312"/>
          <w:sz w:val="24"/>
          <w:color w:val="000000"/>
        </w:rPr>
        <w:t>）、中国政府采购网海南分网</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海南省政府采购智慧云平台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https://ccgp-hainan.gov.cn/）</w:t>
      </w:r>
      <w:r>
        <w:rPr>
          <w:rFonts w:ascii="仿宋_GB2312" w:hAnsi="仿宋_GB2312" w:cs="仿宋_GB2312" w:eastAsia="仿宋_GB2312"/>
          <w:sz w:val="24"/>
          <w:color w:val="000000"/>
        </w:rPr>
        <w:t>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w:t>
            </w:r>
          </w:p>
        </w:tc>
        <w:tc>
          <w:tcPr>
            <w:tcW w:type="dxa" w:w="3322"/>
          </w:tcPr>
          <w:p>
            <w:pPr>
              <w:pStyle w:val="null3"/>
              <w:jc w:val="left"/>
            </w:pPr>
            <w:r>
              <w:rPr>
                <w:rFonts w:ascii="仿宋_GB2312" w:hAnsi="仿宋_GB2312" w:cs="仿宋_GB2312" w:eastAsia="仿宋_GB2312"/>
              </w:rPr>
              <w:t>供应商须具备建设行政主管部门颁发有效的市政公用工程施工总承包叁级（含）以上资质或根据《住房和城乡建设部关于印发建设工程企业资质管理制度改革方案的通知（【建市〔2020〕94 号】）的规定已换发新证取得相应资质。（提供资质证书复印件加盖公章）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安全生产许可证</w:t>
            </w:r>
          </w:p>
        </w:tc>
        <w:tc>
          <w:tcPr>
            <w:tcW w:type="dxa" w:w="3322"/>
          </w:tcPr>
          <w:p>
            <w:pPr>
              <w:pStyle w:val="null3"/>
              <w:jc w:val="left"/>
            </w:pPr>
            <w:r>
              <w:rPr>
                <w:rFonts w:ascii="仿宋_GB2312" w:hAnsi="仿宋_GB2312" w:cs="仿宋_GB2312" w:eastAsia="仿宋_GB2312"/>
              </w:rPr>
              <w:t>供应商须具备住房和城乡建设厅颁发有效的《安全生产许可证》（提供安全生产许可证复印件加盖公章）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项目经理须具备市政公用工程专业二级（含以上级）注册建造师执业资格，且未担任其他在施建设工程项目的项目经理（提供建造师注册证书、2024年10月至今任意一个月社保证明和项目经理无在建项目声明函）</w:t>
            </w:r>
          </w:p>
        </w:tc>
        <w:tc>
          <w:tcPr>
            <w:tcW w:type="dxa" w:w="1661"/>
          </w:tcPr>
          <w:p>
            <w:pPr>
              <w:pStyle w:val="null3"/>
              <w:jc w:val="left"/>
            </w:pPr>
            <w:r>
              <w:rPr>
                <w:rFonts w:ascii="仿宋_GB2312" w:hAnsi="仿宋_GB2312" w:cs="仿宋_GB2312" w:eastAsia="仿宋_GB2312"/>
              </w:rPr>
              <w:t>项目管理人员情况表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供应商须在海南省住房和城乡建设厅网站登录海南省房屋建筑工程全过程监管信息平台完成《海南省建筑企业诚信档案手册》登记，并打印生成诚信档案手册（提供诚信档案手册复印件加盖公章）；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提供“政府采购供应商信用承诺书”，详见政“政府采购供应商信用承诺书”格式</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提供无环保类行政处罚记录声明函：详见磋商文件格式</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具备履行合同所必需设备和专业技术能力声明函 项目管理人员情况表 开标（报价）一览表 中小企业声明函 商务应答表 政府采购供应商信用承诺书 自觉抵制政府采购领域商业贿赂行为承诺书 封面 商业信誉、财务会计制度、缴纳税收和社保的承诺函 具有独立承担民事责任的能力证明文件 供应商承诺函 无不良信用记录承诺书 磋商保证金缴纳证明材料 其他材料 投标（响应）报价明细表 残疾人福利性单位声明函 供应商应提交的相关证明材料 无重大违法记录声明函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包括但不限于：（1）施工进度、（2）施工方法、（3）人员安排、（4）质量保证措施等内容，提供上述每项内容得1分，满分4分，未提供不得分，在满足上述每项内容得分基础上，评标委员会根据提供的方案内容进行综合评审： A.施工方案与技术措施科学合理，适用性强，思路清晰，内容全面，能够根据实际情况制订，满足采购人的需要，考虑问题周全，实施过程务实，各项指标均能完成的，得4.1-6.0分； B.施工方案与技术措施基本能够满足采购需要，操作性不强的，得2.1-4.0分； C.施工方案与技术措施不合理的，得0.1-2.0分 ；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包括但不限于：（1）质量保证体系、（2）质量管理制度、（3）质量保证措施等，提供上述每项内容得1分，满分3分，未提供不得分，在满足上述每项内容得分基础上，评标委员会在根据上述提供的内容进行综合评审： A.质量管理体系与措施科学合理，适用性强，思路清晰，内容全面，能够根据实际情况制订，满足采购人的需要，考虑问题周全，实施过程务实，各项指标均能完成的，得5.1-7.0分； B.质量管理体系与措施基本能够满足采购需要，操作性不强的，得3.1-5.0分； C.质量管理体系与措施不合理的，得0.1-3.0分；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包括但不限于：（1）安全管理制度、（2）安全保证措施、（3）安全文明施工措施等，提供上述每项内容得1分，满分3分，在满足上述每项内容得分基础上，评标委员会在根据上述提供的内容进行综合评审： A.安全管理体系与措施科学合理，适用性强，思路清晰，内容全面，能够根据实际情况制订，满足采购人的需要，考虑问题周全，实施过程务实，各项指标均能完成的，得5.1-7.0分； B.安全管理体系与措施基本能够满足采购需要，操作性不强的，得3.1-5.0分； C.安全管理体系与措施不合理的，得0.1-3.0分；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包括但不限于：（1）施工进度计划、（2）施工进度保证措施，提供上述每项内容得1.5分，满分3分，在满足上述每项内容得分基础上，评标委员会在根据上述提供的内容进行综合评审： A.工程进度计划与措施科学合理，适用性强，思路清晰，内容全面，能够根据实际情况制订，满足采购人的需要，考虑问题周全，实施过程务实，各项指标均能完成的，得5.1-7.0分； B.工程进度计划与措施基本能够满足采购需要，操作性不强的，得3.1-5.0分； C.工程进度计划与措施不合理的，得0.1-3.0分；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包括但不限于：（1）环保管理体系、（2）施工过程环保措施、（3）环保监督与改进措施，提供上述每项内容得1分，满分3分，在满足上述每项内容得分基础上，评标委员会在根据上述提供的内容进行综合评审： A.环保管理体系与措施科学合理，适用性强，思路清晰，内容全面，能够根据实际情况制订，满足采购人的需要，考虑问题周全，实施过程务实，各项指标均能完成的，得5.1-7.0分 B.环保管理体系与措施基本能够满足采购需要，操作性不强的，得3.1-5.0分 C.环保管理体系与措施不合理的，得0.1-3.0分； D.不提供的，得0分。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2022年1月1日至今，供应商承接的类似项目业绩，每提供一个得5分，最高得10分。 证明材料：提供业绩合同复印件加盖公章（以合同签订时间为准），同一合同不重复计分。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1.技术负责人具有市政公用工程相关专业中级或以上职称得5分。 注：响应文件中须提供有效的职称证书及相关人员2024年10月至今任意一个月在本单位缴纳的社保凭证材料加盖单位公章，提供不齐不得分。 2.除项目经理和技术负责人外要求配备人员：施工员1名、安全员1名、质量员1名、资料员1名（可兼任）、劳资专管员1名，配备齐全得5分，每少一人扣1分，扣完为止，满分 5 分。 证明材料：劳资专管员提供投标单位自行出具的岗位任命书；其他人员提供对应岗位证书或电子培训合格证（安全员还可选择提供安全生产考核合格证（C 证）及上述人员2024年10月至今任意一个月在本单位缴纳的社保证明材料加盖公章。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详见附件：建设工程施工合同（参考模版）.docx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HNZXD2025048</w:t>
      </w:r>
    </w:p>
    <w:p>
      <w:pPr>
        <w:pStyle w:val="null3"/>
        <w:jc w:val="left"/>
      </w:pPr>
      <w:r>
        <w:rPr>
          <w:rFonts w:ascii="仿宋_GB2312" w:hAnsi="仿宋_GB2312" w:cs="仿宋_GB2312" w:eastAsia="仿宋_GB2312"/>
        </w:rPr>
        <w:t>项目名称：</w:t>
      </w:r>
      <w:r>
        <w:rPr>
          <w:rFonts w:ascii="仿宋_GB2312" w:hAnsi="仿宋_GB2312" w:cs="仿宋_GB2312" w:eastAsia="仿宋_GB2312"/>
        </w:rPr>
        <w:t>育才生态区立才社区连队主干道路路灯亮化工程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育才生态区立才社区连队主干道路灯亮化工程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3279890.16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详见附件：具备履行合同所必需设备和专业技术能力声明函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