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067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val="0"/>
          <w:bCs/>
          <w:sz w:val="48"/>
          <w:szCs w:val="48"/>
        </w:rPr>
      </w:pPr>
      <w:bookmarkStart w:id="1" w:name="_GoBack"/>
      <w:bookmarkEnd w:id="1"/>
    </w:p>
    <w:p w14:paraId="26C53269">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楷体_GB2312" w:hAnsi="宋体" w:eastAsia="楷体_GB2312"/>
          <w:b/>
          <w:bCs w:val="0"/>
          <w:color w:val="auto"/>
          <w:sz w:val="28"/>
          <w:szCs w:val="28"/>
        </w:rPr>
      </w:pPr>
      <w:r>
        <w:rPr>
          <w:rFonts w:hint="eastAsia" w:ascii="楷体" w:hAnsi="楷体" w:eastAsia="楷体" w:cs="楷体"/>
          <w:b/>
          <w:bCs w:val="0"/>
          <w:color w:val="auto"/>
          <w:sz w:val="48"/>
          <w:szCs w:val="48"/>
          <w:lang w:eastAsia="zh-CN"/>
        </w:rPr>
        <w:t>购买人民调解服务项目</w:t>
      </w:r>
      <w:r>
        <w:rPr>
          <w:rFonts w:hint="eastAsia" w:ascii="楷体" w:hAnsi="楷体" w:eastAsia="楷体" w:cs="楷体"/>
          <w:b/>
          <w:bCs w:val="0"/>
          <w:color w:val="auto"/>
          <w:sz w:val="48"/>
          <w:szCs w:val="48"/>
        </w:rPr>
        <w:t>服务协议</w:t>
      </w:r>
    </w:p>
    <w:p w14:paraId="68388E59">
      <w:pPr>
        <w:keepNext w:val="0"/>
        <w:keepLines w:val="0"/>
        <w:pageBreakBefore w:val="0"/>
        <w:widowControl w:val="0"/>
        <w:kinsoku/>
        <w:wordWrap/>
        <w:overflowPunct/>
        <w:topLinePunct w:val="0"/>
        <w:autoSpaceDE/>
        <w:autoSpaceDN/>
        <w:bidi w:val="0"/>
        <w:adjustRightInd/>
        <w:snapToGrid/>
        <w:spacing w:line="240" w:lineRule="auto"/>
        <w:textAlignment w:val="auto"/>
        <w:rPr>
          <w:rFonts w:ascii="楷体" w:hAnsi="楷体" w:eastAsia="楷体"/>
          <w:b w:val="0"/>
          <w:bCs/>
          <w:color w:val="auto"/>
          <w:sz w:val="28"/>
          <w:szCs w:val="28"/>
        </w:rPr>
      </w:pPr>
    </w:p>
    <w:p w14:paraId="13B73437">
      <w:pPr>
        <w:keepNext w:val="0"/>
        <w:keepLines w:val="0"/>
        <w:pageBreakBefore w:val="0"/>
        <w:widowControl w:val="0"/>
        <w:kinsoku/>
        <w:wordWrap/>
        <w:overflowPunct/>
        <w:topLinePunct w:val="0"/>
        <w:autoSpaceDE/>
        <w:autoSpaceDN/>
        <w:bidi w:val="0"/>
        <w:adjustRightInd/>
        <w:snapToGrid/>
        <w:spacing w:line="240" w:lineRule="auto"/>
        <w:ind w:firstLine="280" w:firstLineChars="100"/>
        <w:textAlignment w:val="auto"/>
        <w:rPr>
          <w:rFonts w:ascii="楷体" w:hAnsi="楷体" w:eastAsia="楷体"/>
          <w:b w:val="0"/>
          <w:bCs/>
          <w:color w:val="auto"/>
          <w:sz w:val="28"/>
          <w:szCs w:val="28"/>
        </w:rPr>
      </w:pPr>
      <w:r>
        <w:rPr>
          <w:rFonts w:ascii="楷体" w:hAnsi="楷体" w:eastAsia="楷体"/>
          <w:b w:val="0"/>
          <w:bCs/>
          <w:color w:val="auto"/>
          <w:sz w:val="28"/>
          <w:szCs w:val="28"/>
        </w:rPr>
        <w:t>甲方：</w:t>
      </w:r>
      <w:r>
        <w:rPr>
          <w:rFonts w:hint="eastAsia" w:ascii="楷体" w:hAnsi="楷体" w:eastAsia="楷体"/>
          <w:b w:val="0"/>
          <w:bCs/>
          <w:color w:val="auto"/>
          <w:sz w:val="28"/>
          <w:szCs w:val="28"/>
          <w:lang w:eastAsia="zh-CN"/>
        </w:rPr>
        <w:t>三亚市司法局</w:t>
      </w:r>
      <w:r>
        <w:rPr>
          <w:rFonts w:ascii="楷体" w:hAnsi="楷体" w:eastAsia="楷体"/>
          <w:b w:val="0"/>
          <w:bCs/>
          <w:color w:val="auto"/>
          <w:sz w:val="28"/>
          <w:szCs w:val="28"/>
        </w:rPr>
        <w:t xml:space="preserve">   </w:t>
      </w:r>
      <w:r>
        <w:rPr>
          <w:rFonts w:hint="eastAsia" w:ascii="楷体" w:hAnsi="楷体" w:eastAsia="楷体"/>
          <w:b w:val="0"/>
          <w:bCs/>
          <w:color w:val="auto"/>
          <w:sz w:val="28"/>
          <w:szCs w:val="28"/>
        </w:rPr>
        <w:t xml:space="preserve">         </w:t>
      </w:r>
      <w:r>
        <w:rPr>
          <w:rFonts w:hint="eastAsia" w:ascii="楷体" w:hAnsi="楷体" w:eastAsia="楷体"/>
          <w:b w:val="0"/>
          <w:bCs/>
          <w:color w:val="auto"/>
          <w:sz w:val="28"/>
          <w:szCs w:val="28"/>
          <w:lang w:val="en-US" w:eastAsia="zh-CN"/>
        </w:rPr>
        <w:t xml:space="preserve">         </w:t>
      </w:r>
      <w:r>
        <w:rPr>
          <w:rFonts w:hint="eastAsia" w:ascii="楷体" w:hAnsi="楷体" w:eastAsia="楷体"/>
          <w:b w:val="0"/>
          <w:bCs/>
          <w:color w:val="auto"/>
          <w:sz w:val="28"/>
          <w:szCs w:val="28"/>
        </w:rPr>
        <w:t xml:space="preserve"> </w:t>
      </w:r>
      <w:r>
        <w:rPr>
          <w:rFonts w:ascii="楷体" w:hAnsi="楷体" w:eastAsia="楷体"/>
          <w:b w:val="0"/>
          <w:bCs/>
          <w:color w:val="auto"/>
          <w:sz w:val="28"/>
          <w:szCs w:val="28"/>
        </w:rPr>
        <w:t xml:space="preserve"> 乙方：</w:t>
      </w:r>
      <w:r>
        <w:rPr>
          <w:rFonts w:hint="eastAsia" w:ascii="楷体" w:hAnsi="楷体" w:eastAsia="楷体"/>
          <w:b w:val="0"/>
          <w:bCs/>
          <w:color w:val="auto"/>
          <w:sz w:val="28"/>
          <w:szCs w:val="28"/>
          <w:highlight w:val="none"/>
          <w:lang w:val="en-US" w:eastAsia="zh-CN"/>
        </w:rPr>
        <w:t xml:space="preserve"> </w:t>
      </w:r>
      <w:r>
        <w:rPr>
          <w:rFonts w:ascii="楷体" w:hAnsi="楷体" w:eastAsia="楷体"/>
          <w:b w:val="0"/>
          <w:bCs/>
          <w:color w:val="auto"/>
          <w:sz w:val="28"/>
          <w:szCs w:val="28"/>
          <w:highlight w:val="none"/>
        </w:rPr>
        <w:t xml:space="preserve">  </w:t>
      </w:r>
      <w:r>
        <w:rPr>
          <w:rFonts w:hint="eastAsia" w:ascii="楷体" w:hAnsi="楷体" w:eastAsia="楷体"/>
          <w:b w:val="0"/>
          <w:bCs/>
          <w:color w:val="auto"/>
          <w:sz w:val="28"/>
          <w:szCs w:val="28"/>
          <w:lang w:val="en-US" w:eastAsia="zh-CN"/>
        </w:rPr>
        <w:t xml:space="preserve">   </w:t>
      </w:r>
      <w:r>
        <w:rPr>
          <w:rFonts w:ascii="楷体" w:hAnsi="楷体" w:eastAsia="楷体"/>
          <w:b w:val="0"/>
          <w:bCs/>
          <w:color w:val="auto"/>
          <w:sz w:val="28"/>
          <w:szCs w:val="28"/>
        </w:rPr>
        <w:t xml:space="preserve">  </w:t>
      </w:r>
    </w:p>
    <w:p w14:paraId="7F55E80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b w:val="0"/>
          <w:bCs/>
          <w:color w:val="auto"/>
          <w:sz w:val="28"/>
          <w:szCs w:val="28"/>
        </w:rPr>
      </w:pPr>
    </w:p>
    <w:p w14:paraId="3CDEA5C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b w:val="0"/>
          <w:bCs/>
          <w:color w:val="auto"/>
          <w:sz w:val="28"/>
          <w:szCs w:val="28"/>
        </w:rPr>
      </w:pPr>
      <w:r>
        <w:rPr>
          <w:rFonts w:hint="eastAsia" w:ascii="楷体" w:hAnsi="楷体" w:eastAsia="楷体"/>
          <w:b w:val="0"/>
          <w:bCs/>
          <w:color w:val="auto"/>
          <w:sz w:val="28"/>
          <w:szCs w:val="28"/>
        </w:rPr>
        <w:t xml:space="preserve">     项目编号为</w:t>
      </w:r>
      <w:r>
        <w:rPr>
          <w:rFonts w:hint="eastAsia" w:ascii="楷体" w:hAnsi="楷体" w:eastAsia="楷体"/>
          <w:b w:val="0"/>
          <w:bCs/>
          <w:color w:val="auto"/>
          <w:sz w:val="28"/>
          <w:szCs w:val="28"/>
          <w:highlight w:val="none"/>
          <w:u w:val="none"/>
          <w:lang w:val="en-US" w:eastAsia="zh-CN"/>
        </w:rPr>
        <w:t>HNZC2025-008</w:t>
      </w:r>
      <w:r>
        <w:rPr>
          <w:rFonts w:hint="eastAsia" w:ascii="楷体" w:hAnsi="楷体" w:eastAsia="楷体"/>
          <w:b w:val="0"/>
          <w:bCs/>
          <w:color w:val="auto"/>
          <w:sz w:val="28"/>
          <w:szCs w:val="28"/>
        </w:rPr>
        <w:t>的</w:t>
      </w:r>
      <w:r>
        <w:rPr>
          <w:rFonts w:hint="eastAsia" w:ascii="楷体" w:hAnsi="楷体" w:eastAsia="楷体"/>
          <w:b w:val="0"/>
          <w:bCs/>
          <w:color w:val="auto"/>
          <w:sz w:val="28"/>
          <w:szCs w:val="28"/>
          <w:lang w:eastAsia="zh-CN"/>
        </w:rPr>
        <w:t>购买人民调解服务项目</w:t>
      </w:r>
      <w:r>
        <w:rPr>
          <w:rFonts w:hint="eastAsia" w:ascii="楷体" w:hAnsi="楷体" w:eastAsia="楷体"/>
          <w:b w:val="0"/>
          <w:bCs/>
          <w:color w:val="auto"/>
          <w:sz w:val="28"/>
          <w:szCs w:val="28"/>
        </w:rPr>
        <w:t>于</w:t>
      </w:r>
      <w:r>
        <w:rPr>
          <w:rFonts w:hint="eastAsia" w:ascii="楷体" w:hAnsi="楷体" w:eastAsia="楷体"/>
          <w:b w:val="0"/>
          <w:bCs/>
          <w:color w:val="auto"/>
          <w:sz w:val="28"/>
          <w:szCs w:val="28"/>
          <w:u w:val="single"/>
          <w:lang w:val="en-US" w:eastAsia="zh-CN"/>
        </w:rPr>
        <w:t xml:space="preserve">     </w:t>
      </w:r>
      <w:r>
        <w:rPr>
          <w:rFonts w:hint="eastAsia" w:ascii="楷体" w:hAnsi="楷体" w:eastAsia="楷体"/>
          <w:b w:val="0"/>
          <w:bCs/>
          <w:color w:val="auto"/>
          <w:sz w:val="28"/>
          <w:szCs w:val="28"/>
          <w:u w:val="none"/>
        </w:rPr>
        <w:t>年</w:t>
      </w:r>
      <w:r>
        <w:rPr>
          <w:rFonts w:hint="eastAsia" w:ascii="楷体" w:hAnsi="楷体" w:eastAsia="楷体"/>
          <w:b w:val="0"/>
          <w:bCs/>
          <w:color w:val="auto"/>
          <w:sz w:val="28"/>
          <w:szCs w:val="28"/>
          <w:highlight w:val="none"/>
          <w:u w:val="single"/>
          <w:lang w:val="en-US" w:eastAsia="zh-CN"/>
        </w:rPr>
        <w:t xml:space="preserve">   </w:t>
      </w:r>
      <w:r>
        <w:rPr>
          <w:rFonts w:hint="eastAsia" w:ascii="楷体" w:hAnsi="楷体" w:eastAsia="楷体"/>
          <w:b w:val="0"/>
          <w:bCs/>
          <w:color w:val="auto"/>
          <w:sz w:val="28"/>
          <w:szCs w:val="28"/>
          <w:u w:val="none"/>
        </w:rPr>
        <w:t>月</w:t>
      </w:r>
      <w:r>
        <w:rPr>
          <w:rFonts w:hint="eastAsia" w:ascii="楷体" w:hAnsi="楷体" w:eastAsia="楷体"/>
          <w:b w:val="0"/>
          <w:bCs/>
          <w:color w:val="auto"/>
          <w:sz w:val="28"/>
          <w:szCs w:val="28"/>
          <w:highlight w:val="none"/>
          <w:u w:val="single"/>
          <w:lang w:val="en-US" w:eastAsia="zh-CN"/>
        </w:rPr>
        <w:t xml:space="preserve">   </w:t>
      </w:r>
      <w:r>
        <w:rPr>
          <w:rFonts w:hint="eastAsia" w:ascii="楷体" w:hAnsi="楷体" w:eastAsia="楷体"/>
          <w:b w:val="0"/>
          <w:bCs/>
          <w:color w:val="auto"/>
          <w:sz w:val="28"/>
          <w:szCs w:val="28"/>
          <w:u w:val="none"/>
        </w:rPr>
        <w:t>日进行开标，中标单位为</w:t>
      </w:r>
      <w:r>
        <w:rPr>
          <w:rFonts w:hint="eastAsia" w:ascii="楷体" w:hAnsi="楷体" w:eastAsia="楷体"/>
          <w:b w:val="0"/>
          <w:bCs/>
          <w:color w:val="auto"/>
          <w:sz w:val="28"/>
          <w:szCs w:val="28"/>
          <w:highlight w:val="none"/>
          <w:u w:val="single"/>
          <w:lang w:val="en-US" w:eastAsia="zh-CN"/>
        </w:rPr>
        <w:t xml:space="preserve">               </w:t>
      </w:r>
      <w:r>
        <w:rPr>
          <w:rFonts w:hint="eastAsia" w:ascii="楷体" w:hAnsi="楷体" w:eastAsia="楷体"/>
          <w:b w:val="0"/>
          <w:bCs/>
          <w:color w:val="auto"/>
          <w:sz w:val="28"/>
          <w:szCs w:val="28"/>
          <w:u w:val="none"/>
        </w:rPr>
        <w:t>。为了完成本项</w:t>
      </w:r>
      <w:r>
        <w:rPr>
          <w:rFonts w:hint="eastAsia" w:ascii="楷体" w:hAnsi="楷体" w:eastAsia="楷体"/>
          <w:b w:val="0"/>
          <w:bCs/>
          <w:color w:val="auto"/>
          <w:sz w:val="28"/>
          <w:szCs w:val="28"/>
        </w:rPr>
        <w:t>目，甲、乙双方根据</w:t>
      </w:r>
      <w:r>
        <w:rPr>
          <w:rFonts w:hint="eastAsia" w:ascii="楷体" w:hAnsi="楷体" w:eastAsia="楷体"/>
          <w:b w:val="0"/>
          <w:bCs/>
          <w:color w:val="auto"/>
          <w:sz w:val="28"/>
          <w:szCs w:val="28"/>
          <w:lang w:eastAsia="zh-CN"/>
        </w:rPr>
        <w:t>《海南省司法厅政府购买服务指导性目录》</w:t>
      </w:r>
      <w:r>
        <w:rPr>
          <w:rFonts w:hint="eastAsia" w:ascii="楷体" w:hAnsi="楷体" w:eastAsia="楷体"/>
          <w:b w:val="0"/>
          <w:bCs/>
          <w:color w:val="auto"/>
          <w:sz w:val="28"/>
          <w:szCs w:val="28"/>
          <w:lang w:val="en-US" w:eastAsia="zh-CN"/>
        </w:rPr>
        <w:t>、</w:t>
      </w:r>
      <w:r>
        <w:rPr>
          <w:rFonts w:hint="eastAsia" w:ascii="楷体" w:hAnsi="楷体" w:eastAsia="楷体"/>
          <w:b w:val="0"/>
          <w:bCs/>
          <w:color w:val="auto"/>
          <w:sz w:val="28"/>
          <w:szCs w:val="28"/>
        </w:rPr>
        <w:t>《中华人民共和国民法典》及相关法律、法规、规范性文件，为保证政府购买服务质量，明确双方的权利义务，经甲乙双方协商，本着平等互利和诚实信用的原则，双方一致同意，签订本合同。</w:t>
      </w:r>
    </w:p>
    <w:p w14:paraId="7850933A">
      <w:pPr>
        <w:keepNext w:val="0"/>
        <w:keepLines w:val="0"/>
        <w:pageBreakBefore w:val="0"/>
        <w:widowControl w:val="0"/>
        <w:kinsoku/>
        <w:wordWrap/>
        <w:overflowPunct/>
        <w:topLinePunct w:val="0"/>
        <w:autoSpaceDE/>
        <w:autoSpaceDN/>
        <w:bidi w:val="0"/>
        <w:adjustRightInd/>
        <w:snapToGrid/>
        <w:spacing w:before="157" w:beforeLines="50" w:line="840" w:lineRule="auto"/>
        <w:ind w:right="0"/>
        <w:jc w:val="center"/>
        <w:textAlignment w:val="auto"/>
        <w:rPr>
          <w:rFonts w:hint="eastAsia" w:ascii="楷体" w:hAnsi="楷体" w:eastAsia="楷体" w:cs="Times New Roman"/>
          <w:b/>
          <w:bCs w:val="0"/>
          <w:color w:val="auto"/>
          <w:sz w:val="32"/>
          <w:szCs w:val="32"/>
          <w:lang w:val="en-US" w:eastAsia="zh-CN"/>
        </w:rPr>
      </w:pPr>
      <w:r>
        <w:rPr>
          <w:rFonts w:hint="eastAsia" w:ascii="楷体" w:hAnsi="楷体" w:eastAsia="楷体" w:cs="Times New Roman"/>
          <w:b/>
          <w:bCs w:val="0"/>
          <w:color w:val="auto"/>
          <w:sz w:val="32"/>
          <w:szCs w:val="32"/>
          <w:lang w:val="en-US" w:eastAsia="zh-CN"/>
        </w:rPr>
        <w:t>第一章  购买服务内容及服务时间</w:t>
      </w:r>
    </w:p>
    <w:p w14:paraId="778BF4F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楷体" w:hAnsi="楷体" w:eastAsia="楷体"/>
          <w:b w:val="0"/>
          <w:bCs/>
          <w:color w:val="auto"/>
          <w:sz w:val="28"/>
          <w:szCs w:val="28"/>
          <w:highlight w:val="yellow"/>
          <w:lang w:val="en-US" w:eastAsia="zh-CN"/>
        </w:rPr>
      </w:pPr>
      <w:r>
        <w:rPr>
          <w:rFonts w:hint="eastAsia" w:ascii="楷体" w:hAnsi="楷体" w:eastAsia="楷体"/>
          <w:b w:val="0"/>
          <w:bCs/>
          <w:color w:val="auto"/>
          <w:sz w:val="28"/>
          <w:szCs w:val="28"/>
        </w:rPr>
        <w:t>项目编号：</w:t>
      </w:r>
      <w:r>
        <w:rPr>
          <w:rFonts w:hint="eastAsia" w:ascii="楷体" w:hAnsi="楷体" w:eastAsia="楷体"/>
          <w:b w:val="0"/>
          <w:bCs/>
          <w:color w:val="auto"/>
          <w:sz w:val="28"/>
          <w:szCs w:val="28"/>
          <w:highlight w:val="none"/>
          <w:u w:val="none"/>
          <w:lang w:val="en-US" w:eastAsia="zh-CN"/>
        </w:rPr>
        <w:t>HNZC2025-008</w:t>
      </w:r>
    </w:p>
    <w:p w14:paraId="00A4E74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b w:val="0"/>
          <w:bCs/>
          <w:color w:val="auto"/>
          <w:sz w:val="28"/>
          <w:szCs w:val="28"/>
          <w:lang w:eastAsia="zh-CN"/>
        </w:rPr>
      </w:pPr>
      <w:r>
        <w:rPr>
          <w:rFonts w:ascii="楷体" w:hAnsi="楷体" w:eastAsia="楷体"/>
          <w:b w:val="0"/>
          <w:bCs/>
          <w:color w:val="auto"/>
          <w:sz w:val="28"/>
          <w:szCs w:val="28"/>
        </w:rPr>
        <w:t>项目名称</w:t>
      </w:r>
      <w:r>
        <w:rPr>
          <w:rFonts w:hint="eastAsia" w:ascii="楷体" w:hAnsi="楷体" w:eastAsia="楷体"/>
          <w:b w:val="0"/>
          <w:bCs/>
          <w:color w:val="auto"/>
          <w:sz w:val="28"/>
          <w:szCs w:val="28"/>
          <w:lang w:eastAsia="zh-CN"/>
        </w:rPr>
        <w:t>：购买人民调解服务项目</w:t>
      </w:r>
    </w:p>
    <w:p w14:paraId="6A0B89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楷体" w:hAnsi="楷体" w:eastAsia="楷体"/>
          <w:b w:val="0"/>
          <w:bCs/>
          <w:color w:val="auto"/>
          <w:sz w:val="28"/>
          <w:szCs w:val="28"/>
        </w:rPr>
      </w:pPr>
      <w:r>
        <w:rPr>
          <w:rFonts w:ascii="楷体" w:hAnsi="楷体" w:eastAsia="楷体"/>
          <w:b w:val="0"/>
          <w:bCs/>
          <w:color w:val="auto"/>
          <w:sz w:val="28"/>
          <w:szCs w:val="28"/>
        </w:rPr>
        <w:t>服务时间：</w:t>
      </w:r>
      <w:r>
        <w:rPr>
          <w:rFonts w:hint="eastAsia" w:ascii="楷体" w:hAnsi="楷体" w:eastAsia="楷体"/>
          <w:b w:val="0"/>
          <w:bCs/>
          <w:color w:val="auto"/>
          <w:sz w:val="28"/>
          <w:szCs w:val="28"/>
        </w:rPr>
        <w:t>一年</w:t>
      </w:r>
    </w:p>
    <w:p w14:paraId="17738CD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楷体" w:hAnsi="楷体" w:eastAsia="楷体"/>
          <w:b w:val="0"/>
          <w:bCs/>
          <w:sz w:val="28"/>
          <w:szCs w:val="28"/>
        </w:rPr>
      </w:pPr>
      <w:r>
        <w:rPr>
          <w:rFonts w:ascii="楷体" w:hAnsi="楷体" w:eastAsia="楷体"/>
          <w:b w:val="0"/>
          <w:bCs/>
          <w:sz w:val="28"/>
          <w:szCs w:val="28"/>
        </w:rPr>
        <w:t>服务内容：</w:t>
      </w:r>
    </w:p>
    <w:p w14:paraId="58F1FD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为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提供为期一年的人民调解服务。具体服务内容及范围如下：</w:t>
      </w:r>
    </w:p>
    <w:p w14:paraId="2A0F99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1.纠纷调解服务</w:t>
      </w:r>
    </w:p>
    <w:p w14:paraId="1E0AAF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负责承接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的工作，受理婚姻家庭、劳动争议、物业管理、房屋租赁、合同纠纷、医疗纠纷、民商事纠纷、涉军民事纠纷、房地产纠纷、知识产权纠纷等纠纷。主要做好纠纷的受理登记、调查笔录（取证）、调解笔录、调解协议书制作、调解卷宗归档立卷和调解后的回访等工作。工作流程如下：</w:t>
      </w:r>
    </w:p>
    <w:p w14:paraId="625900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（1）接案。案件来源：有关部门委托移送、当事人申请，或排查发现的纠纷。</w:t>
      </w:r>
    </w:p>
    <w:p w14:paraId="134EE3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（2）受理。</w:t>
      </w:r>
    </w:p>
    <w:p w14:paraId="5C9769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①了解案情。查阅卷宗细致、根据卷宗内容初步分析纠纷发生情况；</w:t>
      </w:r>
    </w:p>
    <w:p w14:paraId="60EFF1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②及时告知纠纷当事人进入调解程序，了解是否愿意接受调解；</w:t>
      </w:r>
    </w:p>
    <w:p w14:paraId="5FF07F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③核实纠纷当事人或委托人信息资料。</w:t>
      </w:r>
    </w:p>
    <w:p w14:paraId="338F88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（3）调查。向纠纷当事双方了解纠纷发生的具体情况，并要求双方主动提供证据材料。</w:t>
      </w:r>
    </w:p>
    <w:p w14:paraId="672B69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（4）调解。</w:t>
      </w:r>
    </w:p>
    <w:p w14:paraId="5D4D48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①根据调查情况拟制调解方案；</w:t>
      </w:r>
    </w:p>
    <w:p w14:paraId="5F4C76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②与纠纷当事双方进行电话调解或面对面调解，始终以第三方立场公正公平调解纠纷，不偏袒任何一方；</w:t>
      </w:r>
    </w:p>
    <w:p w14:paraId="421A6D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③根据调解结果制作调解文书。调解成功后，需制作协议书的，由当事人及相关人员签名确认，无需制作协议书的，调解员应在调解笔录中详细记录口头协议内容；调解不成功，出具书面终止通知书或在调解笔录中将口头通知情况详细记录，并引导告知可通过其他途径解决纠纷；</w:t>
      </w:r>
    </w:p>
    <w:p w14:paraId="057F3C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④调解结束后，及时对纠纷调解协议履行情况回访并记录。</w:t>
      </w:r>
    </w:p>
    <w:p w14:paraId="40428C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（5）结案。调解结束后，及时将调解信息录入信息系统，并装订卷宗归档。</w:t>
      </w:r>
    </w:p>
    <w:p w14:paraId="40AA495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2．调解辅助性工作</w:t>
      </w:r>
    </w:p>
    <w:p w14:paraId="3595E2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（1）调解咨询服务。为纠纷当事人提供人民调解政策、纠纷争议解决咨询服务。</w:t>
      </w:r>
    </w:p>
    <w:p w14:paraId="2F4157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（2）人民调解工作宣传。一年撰写不少于120篇工作信息，每月撰写不少于10篇工作信息；一年编写调解案例不少于72篇，每月撰写不少于6篇工作信息；按要求参加有关宣传活动。</w:t>
      </w:r>
    </w:p>
    <w:p w14:paraId="27AA10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（3）调解评估服务。每月对调解案件的调解成功率、协议履行情况进行评估，对调解失败的重点案例进行分析研究，总结调解失败、协议未能履行的原因，提出改正措施，每月提交至少1份分析报告。</w:t>
      </w:r>
    </w:p>
    <w:p w14:paraId="33523E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（4）其他工作。选派不少于</w:t>
      </w:r>
      <w:r>
        <w:rPr>
          <w:rFonts w:hint="default" w:ascii="楷体" w:hAnsi="楷体" w:eastAsia="楷体" w:cs="Times New Roman"/>
          <w:b w:val="0"/>
          <w:bCs/>
          <w:kern w:val="2"/>
          <w:sz w:val="28"/>
          <w:szCs w:val="28"/>
          <w:lang w:val="en-US" w:eastAsia="zh-CN" w:bidi="ar-SA"/>
        </w:rPr>
        <w:t>3</w:t>
      </w:r>
      <w:r>
        <w:rPr>
          <w:rFonts w:hint="eastAsia" w:ascii="楷体" w:hAnsi="楷体" w:eastAsia="楷体" w:cs="Times New Roman"/>
          <w:b w:val="0"/>
          <w:bCs/>
          <w:kern w:val="2"/>
          <w:sz w:val="28"/>
          <w:szCs w:val="28"/>
          <w:lang w:val="en-US" w:eastAsia="zh-CN" w:bidi="ar-SA"/>
        </w:rPr>
        <w:t>2名工作人员，工作人员须是专职人民调解员，工作人员名单须经采购方审核，进驻采购方指定地点办公，工作人员须为全职在岗人员，不得为兼职人员，工作人员分行政岗和调解岗；按要求填报报表，录入人民调解员基本信息，制作花名册，完成采购方安排的临时性工作等。工作人员资质如下：</w:t>
      </w:r>
    </w:p>
    <w:p w14:paraId="7A9AA2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A.工作人员应具备以下条件：</w:t>
      </w:r>
    </w:p>
    <w:p w14:paraId="37002A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①遵守国家法律、法规，无违法、违纪行为；</w:t>
      </w:r>
    </w:p>
    <w:p w14:paraId="768B4E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②具有良好的品行和热爱调解工作；</w:t>
      </w:r>
    </w:p>
    <w:p w14:paraId="7B0925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③身体健康，具有正常履行岗位职责的身体条件；</w:t>
      </w:r>
    </w:p>
    <w:p w14:paraId="4C5DEF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④语言表达好，熟悉《人民调解法》、《海南省实施&lt;中华人民共和国人民调解法&gt;办法》等法律法规；</w:t>
      </w:r>
    </w:p>
    <w:p w14:paraId="498A63D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⑤女性年龄22岁至60岁，男性年龄22岁至65岁；</w:t>
      </w:r>
    </w:p>
    <w:p w14:paraId="6185D6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⑥年龄在30岁及以下的应具有大学本科及以上学历；年龄30岁以上的应具有大学专科及以上学历，年龄40岁以上且有从事相关调解工作经历3年以上的可适当放宽学历；</w:t>
      </w:r>
    </w:p>
    <w:p w14:paraId="6405CF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⑦行政岗工作人员应具有良好的沟通协调能力、文字撰写能力以及语言表达，熟练使用各类办公软件及自动化设备。调解岗工作人员一般具有法律工作经验或调解工作经验。</w:t>
      </w:r>
    </w:p>
    <w:p w14:paraId="51150F5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B.有下列情形之一的人员不得选用：</w:t>
      </w:r>
    </w:p>
    <w:p w14:paraId="1FE144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①曾受过各类刑事处罚的；</w:t>
      </w:r>
    </w:p>
    <w:p w14:paraId="5E82C4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②曾被开除公职的；</w:t>
      </w:r>
    </w:p>
    <w:p w14:paraId="2DAFB1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③有违法、违纪行为正在接受审查的；</w:t>
      </w:r>
    </w:p>
    <w:p w14:paraId="1AC3E7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④尚未解除党纪、政纪处分的；</w:t>
      </w:r>
    </w:p>
    <w:p w14:paraId="641BC1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⑤其他违反有关规定不适宜该项目的。</w:t>
      </w:r>
    </w:p>
    <w:p w14:paraId="4B65BA9B">
      <w:pPr>
        <w:keepNext w:val="0"/>
        <w:keepLines w:val="0"/>
        <w:pageBreakBefore w:val="0"/>
        <w:widowControl w:val="0"/>
        <w:kinsoku/>
        <w:wordWrap/>
        <w:overflowPunct/>
        <w:topLinePunct w:val="0"/>
        <w:autoSpaceDE/>
        <w:autoSpaceDN/>
        <w:bidi w:val="0"/>
        <w:adjustRightInd/>
        <w:snapToGrid/>
        <w:spacing w:before="157" w:beforeLines="50" w:line="840" w:lineRule="auto"/>
        <w:ind w:right="0"/>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lang w:val="en-US" w:eastAsia="zh-CN"/>
        </w:rPr>
        <w:t xml:space="preserve">第二章 </w:t>
      </w:r>
      <w:r>
        <w:rPr>
          <w:rFonts w:hint="eastAsia" w:ascii="楷体" w:hAnsi="楷体" w:eastAsia="楷体" w:cs="Times New Roman"/>
          <w:b/>
          <w:bCs w:val="0"/>
          <w:sz w:val="32"/>
          <w:szCs w:val="32"/>
        </w:rPr>
        <w:t>支付时间及方式</w:t>
      </w:r>
    </w:p>
    <w:p w14:paraId="3C54167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Times New Roman"/>
          <w:b/>
          <w:bCs w:val="0"/>
          <w:sz w:val="28"/>
          <w:szCs w:val="28"/>
          <w:lang w:val="en-US" w:eastAsia="zh-CN"/>
        </w:rPr>
      </w:pPr>
      <w:r>
        <w:rPr>
          <w:rFonts w:hint="eastAsia" w:ascii="楷体" w:hAnsi="楷体" w:eastAsia="楷体" w:cs="Times New Roman"/>
          <w:b/>
          <w:bCs w:val="0"/>
          <w:sz w:val="28"/>
          <w:szCs w:val="28"/>
          <w:lang w:val="en-US" w:eastAsia="zh-CN"/>
        </w:rPr>
        <w:t>服务费用</w:t>
      </w:r>
    </w:p>
    <w:p w14:paraId="317F6E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协议服务费用总金额为</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元。</w:t>
      </w:r>
    </w:p>
    <w:p w14:paraId="1878F02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Times New Roman"/>
          <w:b/>
          <w:bCs w:val="0"/>
          <w:sz w:val="28"/>
          <w:szCs w:val="28"/>
          <w:lang w:val="en-US" w:eastAsia="zh-CN"/>
        </w:rPr>
      </w:pPr>
      <w:r>
        <w:rPr>
          <w:rFonts w:hint="eastAsia" w:ascii="楷体" w:hAnsi="楷体" w:eastAsia="楷体" w:cs="Times New Roman"/>
          <w:b/>
          <w:bCs w:val="0"/>
          <w:sz w:val="28"/>
          <w:szCs w:val="28"/>
          <w:lang w:val="en-US" w:eastAsia="zh-CN"/>
        </w:rPr>
        <w:t>支付时间及方式</w:t>
      </w:r>
    </w:p>
    <w:p w14:paraId="45886D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甲方以下述第</w:t>
      </w:r>
      <w:r>
        <w:rPr>
          <w:rFonts w:hint="eastAsia" w:ascii="楷体" w:hAnsi="楷体" w:eastAsia="楷体" w:cs="Times New Roman"/>
          <w:b w:val="0"/>
          <w:bCs/>
          <w:kern w:val="2"/>
          <w:sz w:val="28"/>
          <w:szCs w:val="28"/>
          <w:u w:val="single"/>
          <w:lang w:val="en-US" w:eastAsia="zh-CN" w:bidi="ar-SA"/>
        </w:rPr>
        <w:t xml:space="preserve"> 2 </w:t>
      </w:r>
      <w:r>
        <w:rPr>
          <w:rFonts w:hint="eastAsia" w:ascii="楷体" w:hAnsi="楷体" w:eastAsia="楷体" w:cs="Times New Roman"/>
          <w:b w:val="0"/>
          <w:bCs/>
          <w:kern w:val="2"/>
          <w:sz w:val="28"/>
          <w:szCs w:val="28"/>
          <w:lang w:val="en-US" w:eastAsia="zh-CN" w:bidi="ar-SA"/>
        </w:rPr>
        <w:t>项方式支付合同款项</w:t>
      </w:r>
    </w:p>
    <w:p w14:paraId="2BDA4B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1、一次性付款:</w:t>
      </w:r>
    </w:p>
    <w:p w14:paraId="6611ED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乙方履约完毕后且甲方按照本合同第5条规定验收合格后，</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日内一次性支付全部服务费；</w:t>
      </w:r>
    </w:p>
    <w:p w14:paraId="7F2F8D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2、分期支付：</w:t>
      </w:r>
    </w:p>
    <w:p w14:paraId="60B82F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协议签订后</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日内支付第一笔费用作为项目启动资金，费用为协议约定的项目基本费用的30%；</w:t>
      </w:r>
    </w:p>
    <w:p w14:paraId="076516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（2）项目进行满</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日后支付第二笔费用，费用为协议约定的项目基本费用的20%；</w:t>
      </w:r>
    </w:p>
    <w:p w14:paraId="3BA039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（3）项目进行满</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日后支付第三笔费用，费用根据中期评估考核结果支付，付款方式为：考核结果被评定为良好及以上的，在考核结果公布的</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个工作日内支付项目基本费用的30%；中期评估结果为不合格的，甲方有权根据实际情况要求乙方在7日内进行整改，整改不到位的，甲方不再支付费用，乙方按甲方已支付费用总额的10%向甲方支付违约金；</w:t>
      </w:r>
    </w:p>
    <w:p w14:paraId="12E5C7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（4）项目年度考核结束后支付第四笔费用，费用根据年度考核结果支付，付款方式为：考核结果被评定为合格的，在考核结果公布的</w:t>
      </w:r>
      <w:r>
        <w:rPr>
          <w:rFonts w:hint="eastAsia" w:ascii="楷体" w:hAnsi="楷体" w:eastAsia="楷体" w:cs="Times New Roman"/>
          <w:b w:val="0"/>
          <w:bCs/>
          <w:kern w:val="2"/>
          <w:sz w:val="28"/>
          <w:szCs w:val="28"/>
          <w:u w:val="single"/>
          <w:lang w:val="en-US" w:eastAsia="zh-CN" w:bidi="ar-SA"/>
        </w:rPr>
        <w:t xml:space="preserve">   </w:t>
      </w:r>
      <w:r>
        <w:rPr>
          <w:rFonts w:hint="eastAsia" w:ascii="楷体" w:hAnsi="楷体" w:eastAsia="楷体" w:cs="Times New Roman"/>
          <w:b w:val="0"/>
          <w:bCs/>
          <w:kern w:val="2"/>
          <w:sz w:val="28"/>
          <w:szCs w:val="28"/>
          <w:lang w:val="en-US" w:eastAsia="zh-CN" w:bidi="ar-SA"/>
        </w:rPr>
        <w:t>个工作日内支付项目基本费用的20%，如果最终的年度考核结果为不合格的，则扣除6%的项目基本费用；</w:t>
      </w:r>
    </w:p>
    <w:p w14:paraId="0CA34A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outlineLvl w:val="1"/>
        <w:rPr>
          <w:rFonts w:hint="eastAsia" w:ascii="楷体" w:hAnsi="楷体" w:eastAsia="楷体" w:cs="Times New Roman"/>
          <w:b w:val="0"/>
          <w:bCs/>
          <w:kern w:val="2"/>
          <w:sz w:val="28"/>
          <w:szCs w:val="28"/>
          <w:lang w:val="en-US" w:eastAsia="zh-CN" w:bidi="ar-SA"/>
        </w:rPr>
      </w:pPr>
      <w:r>
        <w:rPr>
          <w:rFonts w:hint="eastAsia" w:ascii="楷体" w:hAnsi="楷体" w:eastAsia="楷体" w:cs="Times New Roman"/>
          <w:b w:val="0"/>
          <w:bCs/>
          <w:kern w:val="2"/>
          <w:sz w:val="28"/>
          <w:szCs w:val="28"/>
          <w:lang w:val="en-US" w:eastAsia="zh-CN" w:bidi="ar-SA"/>
        </w:rPr>
        <w:t>（5）案件补贴以实际发生的案件情况于次月向甲方另行申请，每宗调解案件补贴发放按照市司法局制定的文件执行。</w:t>
      </w:r>
    </w:p>
    <w:p w14:paraId="790FA3A5">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560" w:firstLineChars="200"/>
        <w:textAlignment w:val="auto"/>
        <w:outlineLvl w:val="1"/>
        <w:rPr>
          <w:rFonts w:hint="default" w:ascii="楷体" w:hAnsi="楷体" w:eastAsia="楷体" w:cs="Times New Roman"/>
          <w:b w:val="0"/>
          <w:bCs/>
          <w:kern w:val="2"/>
          <w:sz w:val="28"/>
          <w:szCs w:val="28"/>
          <w:u w:val="single"/>
          <w:lang w:val="en-US" w:eastAsia="zh-CN" w:bidi="ar-SA"/>
        </w:rPr>
      </w:pPr>
      <w:r>
        <w:rPr>
          <w:rFonts w:hint="eastAsia" w:ascii="楷体" w:hAnsi="楷体" w:eastAsia="楷体" w:cs="Times New Roman"/>
          <w:b w:val="0"/>
          <w:bCs/>
          <w:kern w:val="2"/>
          <w:sz w:val="28"/>
          <w:szCs w:val="28"/>
          <w:lang w:val="en-US" w:eastAsia="zh-CN" w:bidi="ar-SA"/>
        </w:rPr>
        <w:t>乙方收款银行账户信息：</w:t>
      </w:r>
      <w:r>
        <w:rPr>
          <w:rFonts w:hint="eastAsia" w:ascii="楷体" w:hAnsi="楷体" w:eastAsia="楷体" w:cs="Times New Roman"/>
          <w:b w:val="0"/>
          <w:bCs/>
          <w:kern w:val="2"/>
          <w:sz w:val="28"/>
          <w:szCs w:val="28"/>
          <w:u w:val="none"/>
          <w:lang w:val="en-US" w:eastAsia="zh-CN" w:bidi="ar-SA"/>
        </w:rPr>
        <w:t xml:space="preserve">       </w:t>
      </w:r>
    </w:p>
    <w:p w14:paraId="14359EEB">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560" w:firstLineChars="200"/>
        <w:textAlignment w:val="auto"/>
        <w:outlineLvl w:val="1"/>
        <w:rPr>
          <w:rFonts w:hint="default" w:ascii="楷体" w:hAnsi="楷体" w:eastAsia="楷体" w:cs="Times New Roman"/>
          <w:b w:val="0"/>
          <w:bCs/>
          <w:kern w:val="2"/>
          <w:sz w:val="28"/>
          <w:szCs w:val="28"/>
          <w:highlight w:val="none"/>
          <w:lang w:val="en-US" w:eastAsia="zh-CN" w:bidi="ar-SA"/>
        </w:rPr>
      </w:pPr>
      <w:r>
        <w:rPr>
          <w:rFonts w:hint="eastAsia" w:ascii="楷体" w:hAnsi="楷体" w:eastAsia="楷体" w:cs="Times New Roman"/>
          <w:b w:val="0"/>
          <w:bCs/>
          <w:kern w:val="2"/>
          <w:sz w:val="28"/>
          <w:szCs w:val="28"/>
          <w:highlight w:val="none"/>
          <w:lang w:val="en-US" w:eastAsia="zh-CN" w:bidi="ar-SA"/>
        </w:rPr>
        <w:t>机构统一信用代码：</w:t>
      </w:r>
      <w:r>
        <w:rPr>
          <w:rFonts w:hint="eastAsia" w:ascii="楷体" w:hAnsi="楷体" w:eastAsia="楷体" w:cs="Times New Roman"/>
          <w:b w:val="0"/>
          <w:bCs/>
          <w:kern w:val="2"/>
          <w:sz w:val="28"/>
          <w:szCs w:val="28"/>
          <w:u w:val="none"/>
          <w:lang w:val="en-US" w:eastAsia="zh-CN" w:bidi="ar-SA"/>
        </w:rPr>
        <w:t xml:space="preserve">       </w:t>
      </w:r>
    </w:p>
    <w:p w14:paraId="2FE6CB5B">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560" w:firstLineChars="200"/>
        <w:textAlignment w:val="auto"/>
        <w:outlineLvl w:val="1"/>
        <w:rPr>
          <w:rFonts w:hint="eastAsia" w:ascii="楷体" w:hAnsi="楷体" w:eastAsia="楷体" w:cs="Times New Roman"/>
          <w:b w:val="0"/>
          <w:bCs/>
          <w:kern w:val="2"/>
          <w:sz w:val="28"/>
          <w:szCs w:val="28"/>
          <w:highlight w:val="none"/>
          <w:lang w:val="en-US" w:eastAsia="zh-CN" w:bidi="ar-SA"/>
        </w:rPr>
      </w:pPr>
      <w:r>
        <w:rPr>
          <w:rFonts w:hint="eastAsia" w:ascii="楷体" w:hAnsi="楷体" w:eastAsia="楷体" w:cs="Times New Roman"/>
          <w:b w:val="0"/>
          <w:bCs/>
          <w:kern w:val="2"/>
          <w:sz w:val="28"/>
          <w:szCs w:val="28"/>
          <w:highlight w:val="none"/>
          <w:lang w:val="en-US" w:eastAsia="zh-CN" w:bidi="ar-SA"/>
        </w:rPr>
        <w:t>开户银行：</w:t>
      </w:r>
      <w:r>
        <w:rPr>
          <w:rFonts w:hint="eastAsia" w:ascii="楷体" w:hAnsi="楷体" w:eastAsia="楷体" w:cs="Times New Roman"/>
          <w:b w:val="0"/>
          <w:bCs/>
          <w:kern w:val="2"/>
          <w:sz w:val="28"/>
          <w:szCs w:val="28"/>
          <w:u w:val="none"/>
          <w:lang w:val="en-US" w:eastAsia="zh-CN" w:bidi="ar-SA"/>
        </w:rPr>
        <w:t xml:space="preserve">       </w:t>
      </w:r>
    </w:p>
    <w:p w14:paraId="60F4478C">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560" w:firstLineChars="200"/>
        <w:textAlignment w:val="auto"/>
        <w:outlineLvl w:val="1"/>
        <w:rPr>
          <w:rFonts w:hint="default" w:ascii="楷体" w:hAnsi="楷体" w:eastAsia="楷体" w:cs="Times New Roman"/>
          <w:b w:val="0"/>
          <w:bCs/>
          <w:kern w:val="2"/>
          <w:sz w:val="28"/>
          <w:szCs w:val="28"/>
          <w:highlight w:val="none"/>
          <w:lang w:val="en-US" w:eastAsia="zh-CN" w:bidi="ar-SA"/>
        </w:rPr>
      </w:pPr>
      <w:r>
        <w:rPr>
          <w:rFonts w:hint="eastAsia" w:ascii="楷体" w:hAnsi="楷体" w:eastAsia="楷体" w:cs="Times New Roman"/>
          <w:b w:val="0"/>
          <w:bCs/>
          <w:kern w:val="2"/>
          <w:sz w:val="28"/>
          <w:szCs w:val="28"/>
          <w:highlight w:val="none"/>
          <w:lang w:val="en-US" w:eastAsia="zh-CN" w:bidi="ar-SA"/>
        </w:rPr>
        <w:t>账号：</w:t>
      </w:r>
      <w:r>
        <w:rPr>
          <w:rFonts w:hint="eastAsia" w:ascii="楷体" w:hAnsi="楷体" w:eastAsia="楷体" w:cs="Times New Roman"/>
          <w:b w:val="0"/>
          <w:bCs/>
          <w:kern w:val="2"/>
          <w:sz w:val="28"/>
          <w:szCs w:val="28"/>
          <w:u w:val="none"/>
          <w:lang w:val="en-US" w:eastAsia="zh-CN" w:bidi="ar-SA"/>
        </w:rPr>
        <w:t xml:space="preserve">       </w:t>
      </w:r>
    </w:p>
    <w:p w14:paraId="4FD3F109">
      <w:pPr>
        <w:keepNext w:val="0"/>
        <w:keepLines w:val="0"/>
        <w:pageBreakBefore w:val="0"/>
        <w:widowControl w:val="0"/>
        <w:kinsoku/>
        <w:wordWrap/>
        <w:overflowPunct/>
        <w:topLinePunct w:val="0"/>
        <w:autoSpaceDE/>
        <w:autoSpaceDN/>
        <w:bidi w:val="0"/>
        <w:adjustRightInd/>
        <w:snapToGrid/>
        <w:spacing w:before="157" w:beforeLines="50" w:line="840" w:lineRule="auto"/>
        <w:ind w:right="0"/>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rPr>
        <w:t>第三章   项目评估考核</w:t>
      </w:r>
    </w:p>
    <w:p w14:paraId="273159D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楷体" w:hAnsi="楷体" w:eastAsia="楷体"/>
          <w:b w:val="0"/>
          <w:bCs/>
          <w:sz w:val="28"/>
          <w:szCs w:val="28"/>
        </w:rPr>
      </w:pPr>
      <w:r>
        <w:rPr>
          <w:rFonts w:hint="eastAsia" w:ascii="楷体" w:hAnsi="楷体" w:eastAsia="楷体"/>
          <w:b w:val="0"/>
          <w:bCs/>
          <w:sz w:val="28"/>
          <w:szCs w:val="28"/>
        </w:rPr>
        <w:t>乙方提供的服务，甲方组织考核、验收。考核、验收结果，作为甲方向乙方支付服务费用的依据。</w:t>
      </w:r>
    </w:p>
    <w:p w14:paraId="2D9D8631">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jc w:val="left"/>
        <w:textAlignment w:val="auto"/>
        <w:rPr>
          <w:rFonts w:hint="eastAsia" w:ascii="楷体" w:hAnsi="楷体" w:eastAsia="楷体"/>
          <w:b w:val="0"/>
          <w:bCs/>
          <w:sz w:val="28"/>
          <w:szCs w:val="28"/>
        </w:rPr>
      </w:pPr>
      <w:r>
        <w:rPr>
          <w:rFonts w:hint="eastAsia" w:ascii="楷体" w:hAnsi="楷体" w:eastAsia="楷体"/>
          <w:b w:val="0"/>
          <w:bCs/>
          <w:sz w:val="28"/>
          <w:szCs w:val="28"/>
        </w:rPr>
        <w:t>甲方对乙方服务效果考核将按照《人民调解工作评估考核表》执行，详见下表：</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92"/>
        <w:gridCol w:w="6247"/>
        <w:gridCol w:w="1001"/>
        <w:gridCol w:w="680"/>
      </w:tblGrid>
      <w:tr w14:paraId="227C7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2" w:hRule="atLeast"/>
        </w:trPr>
        <w:tc>
          <w:tcPr>
            <w:tcW w:w="9620" w:type="dxa"/>
            <w:gridSpan w:val="4"/>
            <w:tcBorders>
              <w:top w:val="nil"/>
              <w:left w:val="nil"/>
              <w:bottom w:val="nil"/>
              <w:right w:val="nil"/>
            </w:tcBorders>
            <w:noWrap/>
            <w:tcMar>
              <w:top w:w="15" w:type="dxa"/>
              <w:left w:w="15" w:type="dxa"/>
              <w:right w:w="15" w:type="dxa"/>
            </w:tcMar>
            <w:vAlign w:val="center"/>
          </w:tcPr>
          <w:p w14:paraId="3FB6CE65">
            <w:pPr>
              <w:keepNext w:val="0"/>
              <w:keepLines w:val="0"/>
              <w:widowControl/>
              <w:suppressLineNumbers w:val="0"/>
              <w:jc w:val="center"/>
              <w:textAlignment w:val="center"/>
              <w:rPr>
                <w:rFonts w:hint="eastAsia" w:ascii="楷体" w:hAnsi="楷体" w:eastAsia="楷体" w:cs="楷体"/>
                <w:b w:val="0"/>
                <w:bCs/>
                <w:i w:val="0"/>
                <w:color w:val="000000"/>
                <w:sz w:val="24"/>
                <w:szCs w:val="24"/>
                <w:u w:val="none"/>
              </w:rPr>
            </w:pPr>
            <w:r>
              <w:rPr>
                <w:rFonts w:hint="eastAsia" w:ascii="楷体" w:hAnsi="楷体" w:eastAsia="楷体" w:cs="楷体"/>
                <w:b/>
                <w:bCs w:val="0"/>
                <w:i w:val="0"/>
                <w:color w:val="000000"/>
                <w:kern w:val="0"/>
                <w:sz w:val="24"/>
                <w:szCs w:val="24"/>
                <w:u w:val="none"/>
                <w:lang w:val="en-US" w:eastAsia="zh-CN" w:bidi="ar"/>
              </w:rPr>
              <w:t>人民调解工作考核表</w:t>
            </w:r>
          </w:p>
        </w:tc>
      </w:tr>
      <w:tr w14:paraId="5617F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4912D754">
            <w:pPr>
              <w:keepNext w:val="0"/>
              <w:keepLines w:val="0"/>
              <w:widowControl/>
              <w:suppressLineNumbers w:val="0"/>
              <w:jc w:val="center"/>
              <w:textAlignment w:val="center"/>
              <w:rPr>
                <w:rFonts w:hint="eastAsia" w:ascii="楷体" w:hAnsi="楷体" w:eastAsia="楷体" w:cs="楷体"/>
                <w:b w:val="0"/>
                <w:bCs/>
                <w:i w:val="0"/>
                <w:color w:val="000000"/>
                <w:sz w:val="24"/>
                <w:szCs w:val="24"/>
                <w:u w:val="none"/>
              </w:rPr>
            </w:pPr>
            <w:r>
              <w:rPr>
                <w:rFonts w:hint="eastAsia" w:ascii="楷体" w:hAnsi="楷体" w:eastAsia="楷体" w:cs="楷体"/>
                <w:b w:val="0"/>
                <w:bCs/>
                <w:i w:val="0"/>
                <w:color w:val="000000"/>
                <w:kern w:val="0"/>
                <w:sz w:val="24"/>
                <w:szCs w:val="24"/>
                <w:u w:val="none"/>
                <w:lang w:val="en-US" w:eastAsia="zh-CN" w:bidi="ar"/>
              </w:rPr>
              <w:t>评估项目</w:t>
            </w:r>
          </w:p>
        </w:tc>
        <w:tc>
          <w:tcPr>
            <w:tcW w:w="6247" w:type="dxa"/>
            <w:tcBorders>
              <w:top w:val="single" w:color="000000" w:sz="8" w:space="0"/>
              <w:left w:val="nil"/>
              <w:bottom w:val="single" w:color="000000" w:sz="8" w:space="0"/>
              <w:right w:val="single" w:color="000000" w:sz="8" w:space="0"/>
            </w:tcBorders>
            <w:noWrap/>
            <w:tcMar>
              <w:top w:w="15" w:type="dxa"/>
              <w:left w:w="15" w:type="dxa"/>
              <w:right w:w="15" w:type="dxa"/>
            </w:tcMar>
            <w:vAlign w:val="center"/>
          </w:tcPr>
          <w:p w14:paraId="73F9C1C6">
            <w:pPr>
              <w:keepNext w:val="0"/>
              <w:keepLines w:val="0"/>
              <w:widowControl/>
              <w:suppressLineNumbers w:val="0"/>
              <w:jc w:val="center"/>
              <w:textAlignment w:val="center"/>
              <w:rPr>
                <w:rFonts w:hint="eastAsia" w:ascii="楷体" w:hAnsi="楷体" w:eastAsia="楷体" w:cs="楷体"/>
                <w:b w:val="0"/>
                <w:bCs/>
                <w:i w:val="0"/>
                <w:color w:val="000000"/>
                <w:sz w:val="24"/>
                <w:szCs w:val="24"/>
                <w:u w:val="none"/>
              </w:rPr>
            </w:pPr>
            <w:r>
              <w:rPr>
                <w:rFonts w:hint="eastAsia" w:ascii="楷体" w:hAnsi="楷体" w:eastAsia="楷体" w:cs="楷体"/>
                <w:b w:val="0"/>
                <w:bCs/>
                <w:i w:val="0"/>
                <w:color w:val="000000"/>
                <w:kern w:val="0"/>
                <w:sz w:val="24"/>
                <w:szCs w:val="24"/>
                <w:u w:val="none"/>
                <w:lang w:val="en-US" w:eastAsia="zh-CN" w:bidi="ar"/>
              </w:rPr>
              <w:t>评估内容</w:t>
            </w:r>
          </w:p>
        </w:tc>
        <w:tc>
          <w:tcPr>
            <w:tcW w:w="1001" w:type="dxa"/>
            <w:tcBorders>
              <w:top w:val="single" w:color="000000" w:sz="8" w:space="0"/>
              <w:left w:val="nil"/>
              <w:bottom w:val="single" w:color="000000" w:sz="8" w:space="0"/>
              <w:right w:val="single" w:color="000000" w:sz="8" w:space="0"/>
            </w:tcBorders>
            <w:noWrap/>
            <w:tcMar>
              <w:top w:w="15" w:type="dxa"/>
              <w:left w:w="15" w:type="dxa"/>
              <w:right w:w="15" w:type="dxa"/>
            </w:tcMar>
            <w:vAlign w:val="center"/>
          </w:tcPr>
          <w:p w14:paraId="505EA494">
            <w:pPr>
              <w:keepNext w:val="0"/>
              <w:keepLines w:val="0"/>
              <w:widowControl/>
              <w:suppressLineNumbers w:val="0"/>
              <w:jc w:val="center"/>
              <w:textAlignment w:val="center"/>
              <w:rPr>
                <w:rFonts w:hint="eastAsia" w:ascii="楷体" w:hAnsi="楷体" w:eastAsia="楷体" w:cs="楷体"/>
                <w:b w:val="0"/>
                <w:bCs/>
                <w:i w:val="0"/>
                <w:color w:val="000000"/>
                <w:sz w:val="24"/>
                <w:szCs w:val="24"/>
                <w:u w:val="none"/>
              </w:rPr>
            </w:pPr>
            <w:r>
              <w:rPr>
                <w:rFonts w:hint="eastAsia" w:ascii="楷体" w:hAnsi="楷体" w:eastAsia="楷体" w:cs="楷体"/>
                <w:b w:val="0"/>
                <w:bCs/>
                <w:i w:val="0"/>
                <w:color w:val="000000"/>
                <w:kern w:val="0"/>
                <w:sz w:val="24"/>
                <w:szCs w:val="24"/>
                <w:u w:val="none"/>
                <w:lang w:val="en-US" w:eastAsia="zh-CN" w:bidi="ar"/>
              </w:rPr>
              <w:t>标准分</w:t>
            </w:r>
          </w:p>
        </w:tc>
        <w:tc>
          <w:tcPr>
            <w:tcW w:w="680" w:type="dxa"/>
            <w:tcBorders>
              <w:top w:val="single" w:color="000000" w:sz="8" w:space="0"/>
              <w:left w:val="nil"/>
              <w:bottom w:val="single" w:color="000000" w:sz="8" w:space="0"/>
              <w:right w:val="single" w:color="000000" w:sz="8" w:space="0"/>
            </w:tcBorders>
            <w:noWrap/>
            <w:tcMar>
              <w:top w:w="15" w:type="dxa"/>
              <w:left w:w="15" w:type="dxa"/>
              <w:right w:w="15" w:type="dxa"/>
            </w:tcMar>
            <w:vAlign w:val="center"/>
          </w:tcPr>
          <w:p w14:paraId="07414B6F">
            <w:pPr>
              <w:keepNext w:val="0"/>
              <w:keepLines w:val="0"/>
              <w:widowControl/>
              <w:suppressLineNumbers w:val="0"/>
              <w:jc w:val="center"/>
              <w:textAlignment w:val="center"/>
              <w:rPr>
                <w:rFonts w:hint="eastAsia" w:ascii="楷体" w:hAnsi="楷体" w:eastAsia="楷体" w:cs="楷体"/>
                <w:b w:val="0"/>
                <w:bCs/>
                <w:i w:val="0"/>
                <w:color w:val="000000"/>
                <w:sz w:val="24"/>
                <w:szCs w:val="24"/>
                <w:u w:val="none"/>
              </w:rPr>
            </w:pPr>
            <w:r>
              <w:rPr>
                <w:rFonts w:hint="eastAsia" w:ascii="楷体" w:hAnsi="楷体" w:eastAsia="楷体" w:cs="楷体"/>
                <w:b w:val="0"/>
                <w:bCs/>
                <w:i w:val="0"/>
                <w:color w:val="000000"/>
                <w:kern w:val="0"/>
                <w:sz w:val="24"/>
                <w:szCs w:val="24"/>
                <w:u w:val="none"/>
                <w:lang w:val="en-US" w:eastAsia="zh-CN" w:bidi="ar"/>
              </w:rPr>
              <w:t>得分</w:t>
            </w:r>
          </w:p>
        </w:tc>
      </w:tr>
      <w:tr w14:paraId="5274B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1" w:hRule="atLeast"/>
        </w:trPr>
        <w:tc>
          <w:tcPr>
            <w:tcW w:w="1692"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1C8E794A">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纠纷调解服务</w:t>
            </w:r>
          </w:p>
          <w:p w14:paraId="7CA7BCF4">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（72分）</w:t>
            </w:r>
          </w:p>
        </w:tc>
        <w:tc>
          <w:tcPr>
            <w:tcW w:w="624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53903D5A">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成功率，指调解成功案件占受理案件的比例。成功率≥90%，得20分；90%&gt;成功率≥80%，得15分；80%&gt;成功率≥70%，得10分；70%&gt;成功率≥60%，得5分；成功率&lt;60%，得0分。</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7668EF56">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0-20</w:t>
            </w:r>
          </w:p>
        </w:tc>
        <w:tc>
          <w:tcPr>
            <w:tcW w:w="680" w:type="dxa"/>
            <w:vMerge w:val="restart"/>
            <w:tcBorders>
              <w:top w:val="nil"/>
              <w:left w:val="nil"/>
              <w:bottom w:val="single" w:color="000000" w:sz="8" w:space="0"/>
              <w:right w:val="single" w:color="000000" w:sz="8" w:space="0"/>
            </w:tcBorders>
            <w:noWrap/>
            <w:tcMar>
              <w:top w:w="15" w:type="dxa"/>
              <w:left w:w="15" w:type="dxa"/>
              <w:right w:w="15" w:type="dxa"/>
            </w:tcMar>
            <w:vAlign w:val="center"/>
          </w:tcPr>
          <w:p w14:paraId="6BB946C9">
            <w:pPr>
              <w:jc w:val="center"/>
              <w:rPr>
                <w:rFonts w:hint="eastAsia" w:ascii="楷体" w:hAnsi="楷体" w:eastAsia="楷体" w:cs="楷体"/>
                <w:i w:val="0"/>
                <w:color w:val="000000"/>
                <w:sz w:val="24"/>
                <w:szCs w:val="24"/>
                <w:u w:val="none"/>
              </w:rPr>
            </w:pPr>
          </w:p>
        </w:tc>
      </w:tr>
      <w:tr w14:paraId="3CE03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0" w:hRule="atLeast"/>
        </w:trPr>
        <w:tc>
          <w:tcPr>
            <w:tcW w:w="169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0F8DC63A">
            <w:pPr>
              <w:jc w:val="center"/>
              <w:rPr>
                <w:rFonts w:hint="eastAsia" w:ascii="楷体" w:hAnsi="楷体" w:eastAsia="楷体" w:cs="楷体"/>
                <w:i w:val="0"/>
                <w:color w:val="000000"/>
                <w:sz w:val="24"/>
                <w:szCs w:val="24"/>
                <w:u w:val="none"/>
              </w:rPr>
            </w:pPr>
          </w:p>
        </w:tc>
        <w:tc>
          <w:tcPr>
            <w:tcW w:w="624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7F8A0209">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满意率，指当事人对纠纷调解的满意率。采购方按5%的比例随机抽选调解成功的纠纷进行回访。满意率≥95%，得6分；95%&gt;满意率≥85%，得1分；满意率&lt;85%，得0分。</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17ABCDE7">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0-6</w:t>
            </w:r>
          </w:p>
        </w:tc>
        <w:tc>
          <w:tcPr>
            <w:tcW w:w="680" w:type="dxa"/>
            <w:vMerge w:val="continue"/>
            <w:tcBorders>
              <w:top w:val="nil"/>
              <w:left w:val="nil"/>
              <w:bottom w:val="single" w:color="000000" w:sz="8" w:space="0"/>
              <w:right w:val="single" w:color="000000" w:sz="8" w:space="0"/>
            </w:tcBorders>
            <w:noWrap/>
            <w:tcMar>
              <w:top w:w="15" w:type="dxa"/>
              <w:left w:w="15" w:type="dxa"/>
              <w:right w:w="15" w:type="dxa"/>
            </w:tcMar>
            <w:vAlign w:val="center"/>
          </w:tcPr>
          <w:p w14:paraId="758DF8CA">
            <w:pPr>
              <w:jc w:val="center"/>
              <w:rPr>
                <w:rFonts w:hint="eastAsia" w:ascii="楷体" w:hAnsi="楷体" w:eastAsia="楷体" w:cs="楷体"/>
                <w:i w:val="0"/>
                <w:color w:val="000000"/>
                <w:sz w:val="24"/>
                <w:szCs w:val="24"/>
                <w:u w:val="none"/>
              </w:rPr>
            </w:pPr>
          </w:p>
        </w:tc>
      </w:tr>
      <w:tr w14:paraId="57504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1" w:hRule="atLeast"/>
        </w:trPr>
        <w:tc>
          <w:tcPr>
            <w:tcW w:w="169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3B5EDB4C">
            <w:pPr>
              <w:jc w:val="center"/>
              <w:rPr>
                <w:rFonts w:hint="eastAsia" w:ascii="楷体" w:hAnsi="楷体" w:eastAsia="楷体" w:cs="楷体"/>
                <w:i w:val="0"/>
                <w:color w:val="000000"/>
                <w:sz w:val="24"/>
                <w:szCs w:val="24"/>
                <w:u w:val="none"/>
              </w:rPr>
            </w:pPr>
          </w:p>
        </w:tc>
        <w:tc>
          <w:tcPr>
            <w:tcW w:w="6247"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14:paraId="1EA358B6">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投诉率，指当事人对调解员投诉件数占全部调解案件的比例。采购方根据投诉案件进行统计。投诉率≥1%的，得0分；投诉率&lt;1%的，得6分。</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728A3EA8">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0-6</w:t>
            </w:r>
          </w:p>
        </w:tc>
        <w:tc>
          <w:tcPr>
            <w:tcW w:w="680" w:type="dxa"/>
            <w:vMerge w:val="continue"/>
            <w:tcBorders>
              <w:top w:val="nil"/>
              <w:left w:val="nil"/>
              <w:bottom w:val="single" w:color="000000" w:sz="8" w:space="0"/>
              <w:right w:val="single" w:color="000000" w:sz="8" w:space="0"/>
            </w:tcBorders>
            <w:noWrap/>
            <w:tcMar>
              <w:top w:w="15" w:type="dxa"/>
              <w:left w:w="15" w:type="dxa"/>
              <w:right w:w="15" w:type="dxa"/>
            </w:tcMar>
            <w:vAlign w:val="center"/>
          </w:tcPr>
          <w:p w14:paraId="5BB5B042">
            <w:pPr>
              <w:jc w:val="center"/>
              <w:rPr>
                <w:rFonts w:hint="eastAsia" w:ascii="楷体" w:hAnsi="楷体" w:eastAsia="楷体" w:cs="楷体"/>
                <w:i w:val="0"/>
                <w:color w:val="000000"/>
                <w:sz w:val="24"/>
                <w:szCs w:val="24"/>
                <w:u w:val="none"/>
              </w:rPr>
            </w:pPr>
          </w:p>
        </w:tc>
      </w:tr>
      <w:tr w14:paraId="23383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4FD42339">
            <w:pPr>
              <w:jc w:val="center"/>
              <w:rPr>
                <w:rFonts w:hint="eastAsia" w:ascii="楷体" w:hAnsi="楷体" w:eastAsia="楷体" w:cs="楷体"/>
                <w:i w:val="0"/>
                <w:color w:val="000000"/>
                <w:sz w:val="24"/>
                <w:szCs w:val="24"/>
                <w:u w:val="none"/>
              </w:rPr>
            </w:pPr>
          </w:p>
        </w:tc>
        <w:tc>
          <w:tcPr>
            <w:tcW w:w="6247" w:type="dxa"/>
            <w:tcBorders>
              <w:top w:val="single" w:color="auto" w:sz="4" w:space="0"/>
              <w:left w:val="single" w:color="auto" w:sz="4" w:space="0"/>
              <w:bottom w:val="nil"/>
              <w:right w:val="single" w:color="auto" w:sz="4" w:space="0"/>
            </w:tcBorders>
            <w:noWrap w:val="0"/>
            <w:tcMar>
              <w:top w:w="15" w:type="dxa"/>
              <w:left w:w="15" w:type="dxa"/>
              <w:right w:w="15" w:type="dxa"/>
            </w:tcMar>
            <w:vAlign w:val="center"/>
          </w:tcPr>
          <w:p w14:paraId="785E6FF4">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按以下流程完成调解工作：</w:t>
            </w:r>
          </w:p>
        </w:tc>
        <w:tc>
          <w:tcPr>
            <w:tcW w:w="1001" w:type="dxa"/>
            <w:vMerge w:val="restart"/>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575D4D6F">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0-20</w:t>
            </w:r>
          </w:p>
        </w:tc>
        <w:tc>
          <w:tcPr>
            <w:tcW w:w="680" w:type="dxa"/>
            <w:vMerge w:val="restart"/>
            <w:tcBorders>
              <w:top w:val="nil"/>
              <w:left w:val="nil"/>
              <w:bottom w:val="single" w:color="000000" w:sz="8" w:space="0"/>
              <w:right w:val="single" w:color="auto" w:sz="4" w:space="0"/>
            </w:tcBorders>
            <w:noWrap/>
            <w:tcMar>
              <w:top w:w="15" w:type="dxa"/>
              <w:left w:w="15" w:type="dxa"/>
              <w:right w:w="15" w:type="dxa"/>
            </w:tcMar>
            <w:vAlign w:val="center"/>
          </w:tcPr>
          <w:p w14:paraId="15DC1754">
            <w:pPr>
              <w:jc w:val="center"/>
              <w:rPr>
                <w:rFonts w:hint="eastAsia" w:ascii="楷体" w:hAnsi="楷体" w:eastAsia="楷体" w:cs="楷体"/>
                <w:i w:val="0"/>
                <w:color w:val="000000"/>
                <w:sz w:val="24"/>
                <w:szCs w:val="24"/>
                <w:u w:val="none"/>
              </w:rPr>
            </w:pPr>
          </w:p>
        </w:tc>
      </w:tr>
      <w:tr w14:paraId="2770D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077C4BE6">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47208A47">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（1）接案。有关部门委托移送或当事人申请。</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04BD8771">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4D67A4E2">
            <w:pPr>
              <w:jc w:val="center"/>
              <w:rPr>
                <w:rFonts w:hint="eastAsia" w:ascii="楷体" w:hAnsi="楷体" w:eastAsia="楷体" w:cs="楷体"/>
                <w:i w:val="0"/>
                <w:color w:val="000000"/>
                <w:sz w:val="24"/>
                <w:szCs w:val="24"/>
                <w:u w:val="none"/>
              </w:rPr>
            </w:pPr>
          </w:p>
        </w:tc>
      </w:tr>
      <w:tr w14:paraId="13B8F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6A9DD876">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130587DB">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（2）受理。</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5A3B91A9">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63CDEE11">
            <w:pPr>
              <w:jc w:val="center"/>
              <w:rPr>
                <w:rFonts w:hint="eastAsia" w:ascii="楷体" w:hAnsi="楷体" w:eastAsia="楷体" w:cs="楷体"/>
                <w:i w:val="0"/>
                <w:color w:val="000000"/>
                <w:sz w:val="24"/>
                <w:szCs w:val="24"/>
                <w:u w:val="none"/>
              </w:rPr>
            </w:pPr>
          </w:p>
        </w:tc>
      </w:tr>
      <w:tr w14:paraId="47547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0664805E">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401B0344">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①了解案情。查阅卷宗细致、根据卷宗内容初步分析纠纷发生情况；</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661571D3">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68354069">
            <w:pPr>
              <w:jc w:val="center"/>
              <w:rPr>
                <w:rFonts w:hint="eastAsia" w:ascii="楷体" w:hAnsi="楷体" w:eastAsia="楷体" w:cs="楷体"/>
                <w:i w:val="0"/>
                <w:color w:val="000000"/>
                <w:sz w:val="24"/>
                <w:szCs w:val="24"/>
                <w:u w:val="none"/>
              </w:rPr>
            </w:pPr>
          </w:p>
        </w:tc>
      </w:tr>
      <w:tr w14:paraId="73D11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64258F8A">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4AEE0AD7">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②及时告知纠纷当事人进入调解程序，了解是否愿意接受调解；</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2017C372">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5D8E44CC">
            <w:pPr>
              <w:jc w:val="center"/>
              <w:rPr>
                <w:rFonts w:hint="eastAsia" w:ascii="楷体" w:hAnsi="楷体" w:eastAsia="楷体" w:cs="楷体"/>
                <w:i w:val="0"/>
                <w:color w:val="000000"/>
                <w:sz w:val="24"/>
                <w:szCs w:val="24"/>
                <w:u w:val="none"/>
              </w:rPr>
            </w:pPr>
          </w:p>
        </w:tc>
      </w:tr>
      <w:tr w14:paraId="74B03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731D6AC1">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1CD779D0">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③核实纠纷当事人或委托人信息资料。</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29FABE43">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768476FE">
            <w:pPr>
              <w:jc w:val="center"/>
              <w:rPr>
                <w:rFonts w:hint="eastAsia" w:ascii="楷体" w:hAnsi="楷体" w:eastAsia="楷体" w:cs="楷体"/>
                <w:i w:val="0"/>
                <w:color w:val="000000"/>
                <w:sz w:val="24"/>
                <w:szCs w:val="24"/>
                <w:u w:val="none"/>
              </w:rPr>
            </w:pPr>
          </w:p>
        </w:tc>
      </w:tr>
      <w:tr w14:paraId="77D1F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5851B8A9">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0DA3CF1B">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（3）调查。向纠纷当事双方了解纠纷发生的具体情况，并要求双方主动提供证据材料。</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5186B5FD">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5B8A8CEB">
            <w:pPr>
              <w:jc w:val="center"/>
              <w:rPr>
                <w:rFonts w:hint="eastAsia" w:ascii="楷体" w:hAnsi="楷体" w:eastAsia="楷体" w:cs="楷体"/>
                <w:i w:val="0"/>
                <w:color w:val="000000"/>
                <w:sz w:val="24"/>
                <w:szCs w:val="24"/>
                <w:u w:val="none"/>
              </w:rPr>
            </w:pPr>
          </w:p>
        </w:tc>
      </w:tr>
      <w:tr w14:paraId="6DD76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56CD319C">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0B63538C">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（4）调解。</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6EE8DA77">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03B3FBC8">
            <w:pPr>
              <w:jc w:val="center"/>
              <w:rPr>
                <w:rFonts w:hint="eastAsia" w:ascii="楷体" w:hAnsi="楷体" w:eastAsia="楷体" w:cs="楷体"/>
                <w:i w:val="0"/>
                <w:color w:val="000000"/>
                <w:sz w:val="24"/>
                <w:szCs w:val="24"/>
                <w:u w:val="none"/>
              </w:rPr>
            </w:pPr>
          </w:p>
        </w:tc>
      </w:tr>
      <w:tr w14:paraId="3F60E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69DC6BAE">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5B83B268">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①根据调查情况拟制调解方案；</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56116B8B">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45269B3E">
            <w:pPr>
              <w:jc w:val="center"/>
              <w:rPr>
                <w:rFonts w:hint="eastAsia" w:ascii="楷体" w:hAnsi="楷体" w:eastAsia="楷体" w:cs="楷体"/>
                <w:i w:val="0"/>
                <w:color w:val="000000"/>
                <w:sz w:val="24"/>
                <w:szCs w:val="24"/>
                <w:u w:val="none"/>
              </w:rPr>
            </w:pPr>
          </w:p>
        </w:tc>
      </w:tr>
      <w:tr w14:paraId="430E3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21CA81F5">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nil"/>
              <w:right w:val="single" w:color="auto" w:sz="4" w:space="0"/>
            </w:tcBorders>
            <w:noWrap w:val="0"/>
            <w:tcMar>
              <w:top w:w="15" w:type="dxa"/>
              <w:left w:w="15" w:type="dxa"/>
              <w:right w:w="15" w:type="dxa"/>
            </w:tcMar>
            <w:vAlign w:val="center"/>
          </w:tcPr>
          <w:p w14:paraId="19820599">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②与纠纷当事双方进行电话调解或面对面调解，始终以第三方立场公正公平调解纠纷，不偏袒任何一方；</w:t>
            </w:r>
          </w:p>
        </w:tc>
        <w:tc>
          <w:tcPr>
            <w:tcW w:w="1001" w:type="dxa"/>
            <w:vMerge w:val="continue"/>
            <w:tcBorders>
              <w:top w:val="nil"/>
              <w:left w:val="single" w:color="auto" w:sz="4" w:space="0"/>
              <w:bottom w:val="single" w:color="000000" w:sz="8" w:space="0"/>
              <w:right w:val="single" w:color="000000" w:sz="8" w:space="0"/>
            </w:tcBorders>
            <w:noWrap/>
            <w:tcMar>
              <w:top w:w="15" w:type="dxa"/>
              <w:left w:w="15" w:type="dxa"/>
              <w:right w:w="15" w:type="dxa"/>
            </w:tcMar>
            <w:vAlign w:val="center"/>
          </w:tcPr>
          <w:p w14:paraId="04206271">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50B4A4EF">
            <w:pPr>
              <w:jc w:val="center"/>
              <w:rPr>
                <w:rFonts w:hint="eastAsia" w:ascii="楷体" w:hAnsi="楷体" w:eastAsia="楷体" w:cs="楷体"/>
                <w:i w:val="0"/>
                <w:color w:val="000000"/>
                <w:sz w:val="24"/>
                <w:szCs w:val="24"/>
                <w:u w:val="none"/>
              </w:rPr>
            </w:pPr>
          </w:p>
        </w:tc>
      </w:tr>
      <w:tr w14:paraId="64495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1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6FA9CC6B">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14:paraId="7D9DFD5C">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③根据调解结果制作调解文书。调解成功后，需制作协议书的，由当事人及相关人员签名确认，无需制作协议书的，调解员应在调解笔录中详细记录口头协议内容；调解不成功，出具书面终止通知书或在调解笔录中将口头通知情况详细记录，并引导告知可通过其他途径解决纠纷；</w:t>
            </w:r>
          </w:p>
        </w:tc>
        <w:tc>
          <w:tcPr>
            <w:tcW w:w="1001" w:type="dxa"/>
            <w:vMerge w:val="continue"/>
            <w:tcBorders>
              <w:top w:val="nil"/>
              <w:left w:val="single" w:color="auto" w:sz="4" w:space="0"/>
              <w:bottom w:val="single" w:color="auto" w:sz="4" w:space="0"/>
              <w:right w:val="single" w:color="000000" w:sz="8" w:space="0"/>
            </w:tcBorders>
            <w:noWrap/>
            <w:tcMar>
              <w:top w:w="15" w:type="dxa"/>
              <w:left w:w="15" w:type="dxa"/>
              <w:right w:w="15" w:type="dxa"/>
            </w:tcMar>
            <w:vAlign w:val="center"/>
          </w:tcPr>
          <w:p w14:paraId="1A9E24A3">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auto" w:sz="4" w:space="0"/>
              <w:right w:val="single" w:color="auto" w:sz="4" w:space="0"/>
            </w:tcBorders>
            <w:noWrap/>
            <w:tcMar>
              <w:top w:w="15" w:type="dxa"/>
              <w:left w:w="15" w:type="dxa"/>
              <w:right w:w="15" w:type="dxa"/>
            </w:tcMar>
            <w:vAlign w:val="center"/>
          </w:tcPr>
          <w:p w14:paraId="3641E76F">
            <w:pPr>
              <w:jc w:val="center"/>
              <w:rPr>
                <w:rFonts w:hint="eastAsia" w:ascii="楷体" w:hAnsi="楷体" w:eastAsia="楷体" w:cs="楷体"/>
                <w:i w:val="0"/>
                <w:color w:val="000000"/>
                <w:sz w:val="24"/>
                <w:szCs w:val="24"/>
                <w:u w:val="none"/>
              </w:rPr>
            </w:pPr>
          </w:p>
        </w:tc>
      </w:tr>
      <w:tr w14:paraId="3878F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692E8961">
            <w:pPr>
              <w:jc w:val="center"/>
              <w:rPr>
                <w:rFonts w:hint="eastAsia" w:ascii="楷体" w:hAnsi="楷体" w:eastAsia="楷体" w:cs="楷体"/>
                <w:i w:val="0"/>
                <w:color w:val="000000"/>
                <w:sz w:val="24"/>
                <w:szCs w:val="24"/>
                <w:u w:val="none"/>
              </w:rPr>
            </w:pPr>
          </w:p>
        </w:tc>
        <w:tc>
          <w:tcPr>
            <w:tcW w:w="6247" w:type="dxa"/>
            <w:tcBorders>
              <w:top w:val="single" w:color="auto" w:sz="4" w:space="0"/>
              <w:left w:val="single" w:color="auto" w:sz="4" w:space="0"/>
              <w:bottom w:val="nil"/>
              <w:right w:val="single" w:color="000000" w:sz="8" w:space="0"/>
            </w:tcBorders>
            <w:noWrap w:val="0"/>
            <w:tcMar>
              <w:top w:w="15" w:type="dxa"/>
              <w:left w:w="15" w:type="dxa"/>
              <w:right w:w="15" w:type="dxa"/>
            </w:tcMar>
            <w:vAlign w:val="center"/>
          </w:tcPr>
          <w:p w14:paraId="2BAC3F8B">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④调解结束后，及时对纠纷调解协议履行情况回访并记录。</w:t>
            </w:r>
          </w:p>
        </w:tc>
        <w:tc>
          <w:tcPr>
            <w:tcW w:w="1001" w:type="dxa"/>
            <w:vMerge w:val="continue"/>
            <w:tcBorders>
              <w:top w:val="single" w:color="auto" w:sz="4" w:space="0"/>
              <w:left w:val="nil"/>
              <w:bottom w:val="single" w:color="000000" w:sz="8" w:space="0"/>
              <w:right w:val="single" w:color="000000" w:sz="8" w:space="0"/>
            </w:tcBorders>
            <w:noWrap/>
            <w:tcMar>
              <w:top w:w="15" w:type="dxa"/>
              <w:left w:w="15" w:type="dxa"/>
              <w:right w:w="15" w:type="dxa"/>
            </w:tcMar>
            <w:vAlign w:val="center"/>
          </w:tcPr>
          <w:p w14:paraId="4867BA10">
            <w:pPr>
              <w:jc w:val="center"/>
              <w:rPr>
                <w:rFonts w:hint="eastAsia" w:ascii="楷体" w:hAnsi="楷体" w:eastAsia="楷体" w:cs="楷体"/>
                <w:i w:val="0"/>
                <w:color w:val="000000"/>
                <w:sz w:val="24"/>
                <w:szCs w:val="24"/>
                <w:u w:val="none"/>
              </w:rPr>
            </w:pPr>
          </w:p>
        </w:tc>
        <w:tc>
          <w:tcPr>
            <w:tcW w:w="680" w:type="dxa"/>
            <w:vMerge w:val="continue"/>
            <w:tcBorders>
              <w:top w:val="single" w:color="auto" w:sz="4" w:space="0"/>
              <w:left w:val="nil"/>
              <w:bottom w:val="single" w:color="000000" w:sz="8" w:space="0"/>
              <w:right w:val="single" w:color="auto" w:sz="4" w:space="0"/>
            </w:tcBorders>
            <w:noWrap/>
            <w:tcMar>
              <w:top w:w="15" w:type="dxa"/>
              <w:left w:w="15" w:type="dxa"/>
              <w:right w:w="15" w:type="dxa"/>
            </w:tcMar>
            <w:vAlign w:val="center"/>
          </w:tcPr>
          <w:p w14:paraId="2CF59569">
            <w:pPr>
              <w:jc w:val="center"/>
              <w:rPr>
                <w:rFonts w:hint="eastAsia" w:ascii="楷体" w:hAnsi="楷体" w:eastAsia="楷体" w:cs="楷体"/>
                <w:i w:val="0"/>
                <w:color w:val="000000"/>
                <w:sz w:val="24"/>
                <w:szCs w:val="24"/>
                <w:u w:val="none"/>
              </w:rPr>
            </w:pPr>
          </w:p>
        </w:tc>
      </w:tr>
      <w:tr w14:paraId="0BD32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662C1EB4">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single" w:color="000000" w:sz="8" w:space="0"/>
              <w:right w:val="single" w:color="000000" w:sz="8" w:space="0"/>
            </w:tcBorders>
            <w:noWrap w:val="0"/>
            <w:tcMar>
              <w:top w:w="15" w:type="dxa"/>
              <w:left w:w="15" w:type="dxa"/>
              <w:right w:w="15" w:type="dxa"/>
            </w:tcMar>
            <w:vAlign w:val="center"/>
          </w:tcPr>
          <w:p w14:paraId="362FA9A8">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（5）结案。调解结束后，及时将调解信息录入信息系统，并装订卷宗归档。</w:t>
            </w:r>
          </w:p>
        </w:tc>
        <w:tc>
          <w:tcPr>
            <w:tcW w:w="1001" w:type="dxa"/>
            <w:vMerge w:val="continue"/>
            <w:tcBorders>
              <w:top w:val="nil"/>
              <w:left w:val="nil"/>
              <w:bottom w:val="single" w:color="000000" w:sz="8" w:space="0"/>
              <w:right w:val="single" w:color="000000" w:sz="8" w:space="0"/>
            </w:tcBorders>
            <w:noWrap/>
            <w:tcMar>
              <w:top w:w="15" w:type="dxa"/>
              <w:left w:w="15" w:type="dxa"/>
              <w:right w:w="15" w:type="dxa"/>
            </w:tcMar>
            <w:vAlign w:val="center"/>
          </w:tcPr>
          <w:p w14:paraId="5DD05051">
            <w:pPr>
              <w:jc w:val="center"/>
              <w:rPr>
                <w:rFonts w:hint="eastAsia" w:ascii="楷体" w:hAnsi="楷体" w:eastAsia="楷体" w:cs="楷体"/>
                <w:i w:val="0"/>
                <w:color w:val="000000"/>
                <w:sz w:val="24"/>
                <w:szCs w:val="24"/>
                <w:u w:val="none"/>
              </w:rPr>
            </w:pPr>
          </w:p>
        </w:tc>
        <w:tc>
          <w:tcPr>
            <w:tcW w:w="680" w:type="dxa"/>
            <w:vMerge w:val="continue"/>
            <w:tcBorders>
              <w:top w:val="nil"/>
              <w:left w:val="nil"/>
              <w:bottom w:val="single" w:color="000000" w:sz="8" w:space="0"/>
              <w:right w:val="single" w:color="auto" w:sz="4" w:space="0"/>
            </w:tcBorders>
            <w:noWrap/>
            <w:tcMar>
              <w:top w:w="15" w:type="dxa"/>
              <w:left w:w="15" w:type="dxa"/>
              <w:right w:w="15" w:type="dxa"/>
            </w:tcMar>
            <w:vAlign w:val="center"/>
          </w:tcPr>
          <w:p w14:paraId="2ED5E725">
            <w:pPr>
              <w:jc w:val="center"/>
              <w:rPr>
                <w:rFonts w:hint="eastAsia" w:ascii="楷体" w:hAnsi="楷体" w:eastAsia="楷体" w:cs="楷体"/>
                <w:i w:val="0"/>
                <w:color w:val="000000"/>
                <w:sz w:val="24"/>
                <w:szCs w:val="24"/>
                <w:u w:val="none"/>
              </w:rPr>
            </w:pPr>
          </w:p>
        </w:tc>
      </w:tr>
      <w:tr w14:paraId="7E7DF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61" w:hRule="atLeast"/>
        </w:trPr>
        <w:tc>
          <w:tcPr>
            <w:tcW w:w="1692" w:type="dxa"/>
            <w:vMerge w:val="continue"/>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14:paraId="180FE896">
            <w:pPr>
              <w:jc w:val="center"/>
              <w:rPr>
                <w:rFonts w:hint="eastAsia" w:ascii="楷体" w:hAnsi="楷体" w:eastAsia="楷体" w:cs="楷体"/>
                <w:i w:val="0"/>
                <w:color w:val="000000"/>
                <w:sz w:val="24"/>
                <w:szCs w:val="24"/>
                <w:u w:val="none"/>
              </w:rPr>
            </w:pPr>
          </w:p>
        </w:tc>
        <w:tc>
          <w:tcPr>
            <w:tcW w:w="6247" w:type="dxa"/>
            <w:tcBorders>
              <w:top w:val="nil"/>
              <w:left w:val="single" w:color="auto" w:sz="4" w:space="0"/>
              <w:bottom w:val="single" w:color="auto" w:sz="4" w:space="0"/>
              <w:right w:val="single" w:color="000000" w:sz="8" w:space="0"/>
            </w:tcBorders>
            <w:noWrap w:val="0"/>
            <w:tcMar>
              <w:top w:w="15" w:type="dxa"/>
              <w:left w:w="15" w:type="dxa"/>
              <w:right w:w="15" w:type="dxa"/>
            </w:tcMar>
            <w:vAlign w:val="center"/>
          </w:tcPr>
          <w:p w14:paraId="3C6D85AA">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调解结束后，应当制定卷宗，卷宗一般包括下列内容：1、卷宗目录；2、卷内目录；3、</w:t>
            </w:r>
            <w:r>
              <w:rPr>
                <w:rFonts w:hint="eastAsia" w:ascii="楷体" w:hAnsi="楷体" w:eastAsia="楷体" w:cs="楷体"/>
                <w:i w:val="0"/>
                <w:color w:val="auto"/>
                <w:kern w:val="0"/>
                <w:sz w:val="24"/>
                <w:szCs w:val="24"/>
                <w:u w:val="none"/>
                <w:lang w:val="en-US" w:eastAsia="zh-CN" w:bidi="ar"/>
              </w:rPr>
              <w:t>市场监督管理部门</w:t>
            </w:r>
            <w:r>
              <w:rPr>
                <w:rFonts w:hint="eastAsia" w:ascii="楷体" w:hAnsi="楷体" w:eastAsia="楷体" w:cs="楷体"/>
                <w:i w:val="0"/>
                <w:color w:val="000000"/>
                <w:kern w:val="0"/>
                <w:sz w:val="24"/>
                <w:szCs w:val="24"/>
                <w:u w:val="none"/>
                <w:lang w:val="en-US" w:eastAsia="zh-CN" w:bidi="ar"/>
              </w:rPr>
              <w:t>移交的工单；4、当事人或委托人的身份证明；5、当事人委托代理人的委托证明材料；6、代理人的身份证明；7、当事人提供的有关证明材料；8、人民调解员调查取得的有关证明材料；9、调解记录；10、调查记录；11、人民调解协议书或纠纷调解终止通知书；12、委托调解成功/不成功复函；13、司法确认书（经司法确认的）、14、回访记录；15、封底。按照调解文书装订要求，将调解文书逐项按先后顺序编号装订成册。</w:t>
            </w:r>
          </w:p>
        </w:tc>
        <w:tc>
          <w:tcPr>
            <w:tcW w:w="1001" w:type="dxa"/>
            <w:tcBorders>
              <w:top w:val="nil"/>
              <w:left w:val="nil"/>
              <w:bottom w:val="single" w:color="auto" w:sz="4" w:space="0"/>
              <w:right w:val="single" w:color="000000" w:sz="8" w:space="0"/>
            </w:tcBorders>
            <w:noWrap/>
            <w:tcMar>
              <w:top w:w="15" w:type="dxa"/>
              <w:left w:w="15" w:type="dxa"/>
              <w:right w:w="15" w:type="dxa"/>
            </w:tcMar>
            <w:vAlign w:val="center"/>
          </w:tcPr>
          <w:p w14:paraId="5D87E7A5">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0-20</w:t>
            </w:r>
          </w:p>
        </w:tc>
        <w:tc>
          <w:tcPr>
            <w:tcW w:w="680" w:type="dxa"/>
            <w:tcBorders>
              <w:top w:val="nil"/>
              <w:left w:val="nil"/>
              <w:bottom w:val="single" w:color="auto" w:sz="4" w:space="0"/>
              <w:right w:val="single" w:color="auto" w:sz="4" w:space="0"/>
            </w:tcBorders>
            <w:noWrap/>
            <w:tcMar>
              <w:top w:w="15" w:type="dxa"/>
              <w:left w:w="15" w:type="dxa"/>
              <w:right w:w="15" w:type="dxa"/>
            </w:tcMar>
            <w:vAlign w:val="center"/>
          </w:tcPr>
          <w:p w14:paraId="13A1988F">
            <w:pPr>
              <w:jc w:val="center"/>
              <w:rPr>
                <w:rFonts w:hint="eastAsia" w:ascii="楷体" w:hAnsi="楷体" w:eastAsia="楷体" w:cs="楷体"/>
                <w:i w:val="0"/>
                <w:color w:val="000000"/>
                <w:sz w:val="24"/>
                <w:szCs w:val="24"/>
                <w:u w:val="none"/>
              </w:rPr>
            </w:pPr>
          </w:p>
        </w:tc>
      </w:tr>
      <w:tr w14:paraId="1E519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0" w:hRule="atLeast"/>
        </w:trPr>
        <w:tc>
          <w:tcPr>
            <w:tcW w:w="1692"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7FB1EC72">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调解辅助性工作</w:t>
            </w:r>
          </w:p>
          <w:p w14:paraId="3440083E">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（28分）</w:t>
            </w:r>
          </w:p>
        </w:tc>
        <w:tc>
          <w:tcPr>
            <w:tcW w:w="6247"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14:paraId="1835DCE3">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提供人民调解政策、纠纷争议解决咨询服务；按要求开展宣传活动；按要求填报报表，录入人民调解员基本信息，制作花名册。</w:t>
            </w:r>
          </w:p>
        </w:tc>
        <w:tc>
          <w:tcPr>
            <w:tcW w:w="1001" w:type="dxa"/>
            <w:tcBorders>
              <w:top w:val="single" w:color="auto" w:sz="4" w:space="0"/>
              <w:left w:val="nil"/>
              <w:bottom w:val="single" w:color="000000" w:sz="8" w:space="0"/>
              <w:right w:val="single" w:color="000000" w:sz="8" w:space="0"/>
            </w:tcBorders>
            <w:noWrap/>
            <w:tcMar>
              <w:top w:w="15" w:type="dxa"/>
              <w:left w:w="15" w:type="dxa"/>
              <w:right w:w="15" w:type="dxa"/>
            </w:tcMar>
            <w:vAlign w:val="center"/>
          </w:tcPr>
          <w:p w14:paraId="782F1B68">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0-3</w:t>
            </w:r>
          </w:p>
        </w:tc>
        <w:tc>
          <w:tcPr>
            <w:tcW w:w="680" w:type="dxa"/>
            <w:tcBorders>
              <w:top w:val="single" w:color="auto" w:sz="4" w:space="0"/>
              <w:left w:val="nil"/>
              <w:bottom w:val="single" w:color="000000" w:sz="8" w:space="0"/>
              <w:right w:val="single" w:color="000000" w:sz="8" w:space="0"/>
            </w:tcBorders>
            <w:noWrap/>
            <w:tcMar>
              <w:top w:w="15" w:type="dxa"/>
              <w:left w:w="15" w:type="dxa"/>
              <w:right w:w="15" w:type="dxa"/>
            </w:tcMar>
            <w:vAlign w:val="center"/>
          </w:tcPr>
          <w:p w14:paraId="12D02FBA">
            <w:pPr>
              <w:jc w:val="center"/>
              <w:rPr>
                <w:rFonts w:hint="eastAsia" w:ascii="楷体" w:hAnsi="楷体" w:eastAsia="楷体" w:cs="楷体"/>
                <w:i w:val="0"/>
                <w:color w:val="000000"/>
                <w:sz w:val="24"/>
                <w:szCs w:val="24"/>
                <w:u w:val="none"/>
              </w:rPr>
            </w:pPr>
          </w:p>
        </w:tc>
      </w:tr>
      <w:tr w14:paraId="7E934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1" w:hRule="atLeast"/>
        </w:trPr>
        <w:tc>
          <w:tcPr>
            <w:tcW w:w="169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EDC66E5">
            <w:pPr>
              <w:jc w:val="center"/>
              <w:rPr>
                <w:rFonts w:hint="eastAsia" w:ascii="楷体" w:hAnsi="楷体" w:eastAsia="楷体" w:cs="楷体"/>
                <w:i w:val="0"/>
                <w:color w:val="000000"/>
                <w:sz w:val="24"/>
                <w:szCs w:val="24"/>
                <w:u w:val="none"/>
              </w:rPr>
            </w:pPr>
          </w:p>
        </w:tc>
        <w:tc>
          <w:tcPr>
            <w:tcW w:w="6247" w:type="dxa"/>
            <w:tcBorders>
              <w:top w:val="nil"/>
              <w:left w:val="nil"/>
              <w:bottom w:val="single" w:color="000000" w:sz="8" w:space="0"/>
              <w:right w:val="single" w:color="000000" w:sz="8" w:space="0"/>
            </w:tcBorders>
            <w:noWrap w:val="0"/>
            <w:tcMar>
              <w:top w:w="15" w:type="dxa"/>
              <w:left w:w="15" w:type="dxa"/>
              <w:right w:w="15" w:type="dxa"/>
            </w:tcMar>
            <w:vAlign w:val="center"/>
          </w:tcPr>
          <w:p w14:paraId="62F11EC7">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每月对调解案件的调解成功率、协议履行情况进行评估，对调解失败的重点案例进行分析研究，总结调解失败、协议未能履行的原因，提出改正措施，每月提交至少1份分析报告。</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0D141431">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0-3</w:t>
            </w:r>
          </w:p>
        </w:tc>
        <w:tc>
          <w:tcPr>
            <w:tcW w:w="680" w:type="dxa"/>
            <w:tcBorders>
              <w:top w:val="nil"/>
              <w:left w:val="nil"/>
              <w:bottom w:val="single" w:color="000000" w:sz="8" w:space="0"/>
              <w:right w:val="single" w:color="000000" w:sz="8" w:space="0"/>
            </w:tcBorders>
            <w:noWrap/>
            <w:tcMar>
              <w:top w:w="15" w:type="dxa"/>
              <w:left w:w="15" w:type="dxa"/>
              <w:right w:w="15" w:type="dxa"/>
            </w:tcMar>
            <w:vAlign w:val="center"/>
          </w:tcPr>
          <w:p w14:paraId="60FA8C42">
            <w:pPr>
              <w:jc w:val="center"/>
              <w:rPr>
                <w:rFonts w:hint="eastAsia" w:ascii="楷体" w:hAnsi="楷体" w:eastAsia="楷体" w:cs="楷体"/>
                <w:i w:val="0"/>
                <w:color w:val="000000"/>
                <w:sz w:val="24"/>
                <w:szCs w:val="24"/>
                <w:u w:val="none"/>
              </w:rPr>
            </w:pPr>
          </w:p>
        </w:tc>
      </w:tr>
      <w:tr w14:paraId="255B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1" w:hRule="atLeast"/>
        </w:trPr>
        <w:tc>
          <w:tcPr>
            <w:tcW w:w="169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4B5AFF3">
            <w:pPr>
              <w:jc w:val="center"/>
              <w:rPr>
                <w:rFonts w:hint="eastAsia" w:ascii="楷体" w:hAnsi="楷体" w:eastAsia="楷体" w:cs="楷体"/>
                <w:i w:val="0"/>
                <w:color w:val="000000"/>
                <w:sz w:val="24"/>
                <w:szCs w:val="24"/>
                <w:u w:val="none"/>
              </w:rPr>
            </w:pPr>
          </w:p>
        </w:tc>
        <w:tc>
          <w:tcPr>
            <w:tcW w:w="6247" w:type="dxa"/>
            <w:tcBorders>
              <w:top w:val="nil"/>
              <w:left w:val="nil"/>
              <w:bottom w:val="single" w:color="000000" w:sz="8" w:space="0"/>
              <w:right w:val="single" w:color="000000" w:sz="8" w:space="0"/>
            </w:tcBorders>
            <w:noWrap w:val="0"/>
            <w:tcMar>
              <w:top w:w="15" w:type="dxa"/>
              <w:left w:w="15" w:type="dxa"/>
              <w:right w:w="15" w:type="dxa"/>
            </w:tcMar>
            <w:vAlign w:val="center"/>
          </w:tcPr>
          <w:p w14:paraId="205BAF84">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一年编写调解案例不少于72篇，每月不少于6篇。少于2篇得0分，2篇得2分，3篇得4分，4篇得6分，5篇得8分，6篇以上得10分。</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5BEF9C4B">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0-10</w:t>
            </w:r>
          </w:p>
        </w:tc>
        <w:tc>
          <w:tcPr>
            <w:tcW w:w="680" w:type="dxa"/>
            <w:tcBorders>
              <w:top w:val="nil"/>
              <w:left w:val="nil"/>
              <w:bottom w:val="single" w:color="000000" w:sz="8" w:space="0"/>
              <w:right w:val="single" w:color="000000" w:sz="8" w:space="0"/>
            </w:tcBorders>
            <w:noWrap/>
            <w:tcMar>
              <w:top w:w="15" w:type="dxa"/>
              <w:left w:w="15" w:type="dxa"/>
              <w:right w:w="15" w:type="dxa"/>
            </w:tcMar>
            <w:vAlign w:val="center"/>
          </w:tcPr>
          <w:p w14:paraId="62651F7C">
            <w:pPr>
              <w:jc w:val="center"/>
              <w:rPr>
                <w:rFonts w:hint="eastAsia" w:ascii="楷体" w:hAnsi="楷体" w:eastAsia="楷体" w:cs="楷体"/>
                <w:i w:val="0"/>
                <w:color w:val="000000"/>
                <w:sz w:val="24"/>
                <w:szCs w:val="24"/>
                <w:u w:val="none"/>
              </w:rPr>
            </w:pPr>
          </w:p>
        </w:tc>
      </w:tr>
      <w:tr w14:paraId="6C880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1" w:hRule="atLeast"/>
        </w:trPr>
        <w:tc>
          <w:tcPr>
            <w:tcW w:w="169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6ED20BA">
            <w:pPr>
              <w:jc w:val="center"/>
              <w:rPr>
                <w:rFonts w:hint="eastAsia" w:ascii="楷体" w:hAnsi="楷体" w:eastAsia="楷体" w:cs="楷体"/>
                <w:i w:val="0"/>
                <w:color w:val="000000"/>
                <w:sz w:val="24"/>
                <w:szCs w:val="24"/>
                <w:u w:val="none"/>
              </w:rPr>
            </w:pPr>
          </w:p>
        </w:tc>
        <w:tc>
          <w:tcPr>
            <w:tcW w:w="6247" w:type="dxa"/>
            <w:tcBorders>
              <w:top w:val="nil"/>
              <w:left w:val="nil"/>
              <w:bottom w:val="single" w:color="000000" w:sz="8" w:space="0"/>
              <w:right w:val="single" w:color="000000" w:sz="8" w:space="0"/>
            </w:tcBorders>
            <w:noWrap w:val="0"/>
            <w:tcMar>
              <w:top w:w="15" w:type="dxa"/>
              <w:left w:w="15" w:type="dxa"/>
              <w:right w:w="15" w:type="dxa"/>
            </w:tcMar>
            <w:vAlign w:val="center"/>
          </w:tcPr>
          <w:p w14:paraId="7AA0F458">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一年撰写不少于120篇工作信息，每月不少于10篇。少于5篇得0分，6篇得2分，7篇得4分，8篇得6分，9篇得8分，10篇以上得10分。</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35CD4EAE">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0-10</w:t>
            </w:r>
          </w:p>
        </w:tc>
        <w:tc>
          <w:tcPr>
            <w:tcW w:w="680" w:type="dxa"/>
            <w:tcBorders>
              <w:top w:val="nil"/>
              <w:left w:val="nil"/>
              <w:bottom w:val="single" w:color="000000" w:sz="8" w:space="0"/>
              <w:right w:val="single" w:color="000000" w:sz="8" w:space="0"/>
            </w:tcBorders>
            <w:noWrap/>
            <w:tcMar>
              <w:top w:w="15" w:type="dxa"/>
              <w:left w:w="15" w:type="dxa"/>
              <w:right w:w="15" w:type="dxa"/>
            </w:tcMar>
            <w:vAlign w:val="center"/>
          </w:tcPr>
          <w:p w14:paraId="0BA9B4EC">
            <w:pPr>
              <w:jc w:val="center"/>
              <w:rPr>
                <w:rFonts w:hint="eastAsia" w:ascii="楷体" w:hAnsi="楷体" w:eastAsia="楷体" w:cs="楷体"/>
                <w:i w:val="0"/>
                <w:color w:val="000000"/>
                <w:sz w:val="24"/>
                <w:szCs w:val="24"/>
                <w:u w:val="none"/>
              </w:rPr>
            </w:pPr>
          </w:p>
        </w:tc>
      </w:tr>
      <w:tr w14:paraId="2F035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trPr>
        <w:tc>
          <w:tcPr>
            <w:tcW w:w="169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1E74169B">
            <w:pPr>
              <w:jc w:val="center"/>
              <w:rPr>
                <w:rFonts w:hint="eastAsia" w:ascii="楷体" w:hAnsi="楷体" w:eastAsia="楷体" w:cs="楷体"/>
                <w:i w:val="0"/>
                <w:color w:val="000000"/>
                <w:sz w:val="24"/>
                <w:szCs w:val="24"/>
                <w:u w:val="none"/>
              </w:rPr>
            </w:pPr>
          </w:p>
        </w:tc>
        <w:tc>
          <w:tcPr>
            <w:tcW w:w="6247" w:type="dxa"/>
            <w:tcBorders>
              <w:top w:val="nil"/>
              <w:left w:val="nil"/>
              <w:bottom w:val="single" w:color="000000" w:sz="8" w:space="0"/>
              <w:right w:val="single" w:color="000000" w:sz="8" w:space="0"/>
            </w:tcBorders>
            <w:noWrap w:val="0"/>
            <w:tcMar>
              <w:top w:w="15" w:type="dxa"/>
              <w:left w:w="15" w:type="dxa"/>
              <w:right w:w="15" w:type="dxa"/>
            </w:tcMar>
            <w:vAlign w:val="center"/>
          </w:tcPr>
          <w:p w14:paraId="6061885E">
            <w:pPr>
              <w:keepNext w:val="0"/>
              <w:keepLines w:val="0"/>
              <w:widowControl/>
              <w:suppressLineNumbers w:val="0"/>
              <w:jc w:val="left"/>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团队管理：1、办公秩序井然；2、人员管理严格，无脱岗漏岗现象；3、调解纠纷无侵占当事人利益。</w:t>
            </w:r>
          </w:p>
        </w:tc>
        <w:tc>
          <w:tcPr>
            <w:tcW w:w="1001" w:type="dxa"/>
            <w:tcBorders>
              <w:top w:val="nil"/>
              <w:left w:val="nil"/>
              <w:bottom w:val="single" w:color="000000" w:sz="8" w:space="0"/>
              <w:right w:val="single" w:color="000000" w:sz="8" w:space="0"/>
            </w:tcBorders>
            <w:noWrap/>
            <w:tcMar>
              <w:top w:w="15" w:type="dxa"/>
              <w:left w:w="15" w:type="dxa"/>
              <w:right w:w="15" w:type="dxa"/>
            </w:tcMar>
            <w:vAlign w:val="center"/>
          </w:tcPr>
          <w:p w14:paraId="5D5AF362">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0-2</w:t>
            </w:r>
          </w:p>
        </w:tc>
        <w:tc>
          <w:tcPr>
            <w:tcW w:w="680" w:type="dxa"/>
            <w:tcBorders>
              <w:top w:val="nil"/>
              <w:left w:val="nil"/>
              <w:bottom w:val="single" w:color="000000" w:sz="8" w:space="0"/>
              <w:right w:val="single" w:color="000000" w:sz="8" w:space="0"/>
            </w:tcBorders>
            <w:noWrap/>
            <w:tcMar>
              <w:top w:w="15" w:type="dxa"/>
              <w:left w:w="15" w:type="dxa"/>
              <w:right w:w="15" w:type="dxa"/>
            </w:tcMar>
            <w:vAlign w:val="center"/>
          </w:tcPr>
          <w:p w14:paraId="3263E9A4">
            <w:pPr>
              <w:jc w:val="center"/>
              <w:rPr>
                <w:rFonts w:hint="eastAsia" w:ascii="楷体" w:hAnsi="楷体" w:eastAsia="楷体" w:cs="楷体"/>
                <w:i w:val="0"/>
                <w:color w:val="000000"/>
                <w:sz w:val="24"/>
                <w:szCs w:val="24"/>
                <w:u w:val="none"/>
              </w:rPr>
            </w:pPr>
          </w:p>
        </w:tc>
      </w:tr>
      <w:tr w14:paraId="11003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2" w:hRule="atLeast"/>
        </w:trPr>
        <w:tc>
          <w:tcPr>
            <w:tcW w:w="1692" w:type="dxa"/>
            <w:tcBorders>
              <w:top w:val="nil"/>
              <w:left w:val="single" w:color="000000" w:sz="8" w:space="0"/>
              <w:bottom w:val="single" w:color="000000" w:sz="8" w:space="0"/>
              <w:right w:val="single" w:color="000000" w:sz="8" w:space="0"/>
            </w:tcBorders>
            <w:noWrap/>
            <w:tcMar>
              <w:top w:w="15" w:type="dxa"/>
              <w:left w:w="15" w:type="dxa"/>
              <w:right w:w="15" w:type="dxa"/>
            </w:tcMar>
            <w:vAlign w:val="center"/>
          </w:tcPr>
          <w:p w14:paraId="3F26A4C2">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总分</w:t>
            </w:r>
          </w:p>
        </w:tc>
        <w:tc>
          <w:tcPr>
            <w:tcW w:w="7248" w:type="dxa"/>
            <w:gridSpan w:val="2"/>
            <w:tcBorders>
              <w:top w:val="nil"/>
              <w:left w:val="nil"/>
              <w:bottom w:val="single" w:color="000000" w:sz="8" w:space="0"/>
              <w:right w:val="single" w:color="000000" w:sz="8" w:space="0"/>
            </w:tcBorders>
            <w:noWrap/>
            <w:tcMar>
              <w:top w:w="15" w:type="dxa"/>
              <w:left w:w="15" w:type="dxa"/>
              <w:right w:w="15" w:type="dxa"/>
            </w:tcMar>
            <w:vAlign w:val="center"/>
          </w:tcPr>
          <w:p w14:paraId="19FFAD01">
            <w:pPr>
              <w:keepNext w:val="0"/>
              <w:keepLines w:val="0"/>
              <w:widowControl/>
              <w:suppressLineNumbers w:val="0"/>
              <w:jc w:val="center"/>
              <w:textAlignment w:val="center"/>
              <w:rPr>
                <w:rFonts w:hint="eastAsia" w:ascii="楷体" w:hAnsi="楷体" w:eastAsia="楷体" w:cs="楷体"/>
                <w:i w:val="0"/>
                <w:color w:val="000000"/>
                <w:sz w:val="24"/>
                <w:szCs w:val="24"/>
                <w:u w:val="none"/>
              </w:rPr>
            </w:pPr>
            <w:r>
              <w:rPr>
                <w:rFonts w:hint="eastAsia" w:ascii="楷体" w:hAnsi="楷体" w:eastAsia="楷体" w:cs="楷体"/>
                <w:i w:val="0"/>
                <w:color w:val="000000"/>
                <w:kern w:val="0"/>
                <w:sz w:val="24"/>
                <w:szCs w:val="24"/>
                <w:u w:val="none"/>
                <w:lang w:val="en-US" w:eastAsia="zh-CN" w:bidi="ar"/>
              </w:rPr>
              <w:t>注：80-100分为合格；79分以下为不合格。</w:t>
            </w:r>
          </w:p>
        </w:tc>
        <w:tc>
          <w:tcPr>
            <w:tcW w:w="680" w:type="dxa"/>
            <w:tcBorders>
              <w:top w:val="nil"/>
              <w:left w:val="nil"/>
              <w:bottom w:val="single" w:color="000000" w:sz="8" w:space="0"/>
              <w:right w:val="single" w:color="000000" w:sz="8" w:space="0"/>
            </w:tcBorders>
            <w:noWrap/>
            <w:tcMar>
              <w:top w:w="15" w:type="dxa"/>
              <w:left w:w="15" w:type="dxa"/>
              <w:right w:w="15" w:type="dxa"/>
            </w:tcMar>
            <w:vAlign w:val="center"/>
          </w:tcPr>
          <w:p w14:paraId="636C28C9">
            <w:pPr>
              <w:rPr>
                <w:rFonts w:hint="eastAsia" w:ascii="楷体" w:hAnsi="楷体" w:eastAsia="楷体" w:cs="楷体"/>
                <w:i w:val="0"/>
                <w:color w:val="000000"/>
                <w:sz w:val="24"/>
                <w:szCs w:val="24"/>
                <w:u w:val="none"/>
              </w:rPr>
            </w:pPr>
          </w:p>
        </w:tc>
      </w:tr>
    </w:tbl>
    <w:p w14:paraId="5C63E04D">
      <w:pPr>
        <w:keepNext w:val="0"/>
        <w:keepLines w:val="0"/>
        <w:pageBreakBefore w:val="0"/>
        <w:widowControl w:val="0"/>
        <w:kinsoku/>
        <w:wordWrap/>
        <w:overflowPunct/>
        <w:topLinePunct w:val="0"/>
        <w:autoSpaceDE/>
        <w:autoSpaceDN/>
        <w:bidi w:val="0"/>
        <w:adjustRightInd/>
        <w:snapToGrid/>
        <w:spacing w:after="157" w:afterLines="50" w:line="480" w:lineRule="auto"/>
        <w:jc w:val="left"/>
        <w:textAlignment w:val="auto"/>
        <w:rPr>
          <w:rFonts w:hint="eastAsia" w:ascii="楷体" w:hAnsi="楷体" w:eastAsia="楷体"/>
          <w:b w:val="0"/>
          <w:bCs/>
          <w:sz w:val="28"/>
          <w:szCs w:val="28"/>
          <w:highlight w:val="none"/>
        </w:rPr>
      </w:pPr>
    </w:p>
    <w:p w14:paraId="207F5BD2">
      <w:pPr>
        <w:keepNext w:val="0"/>
        <w:keepLines w:val="0"/>
        <w:pageBreakBefore w:val="0"/>
        <w:widowControl w:val="0"/>
        <w:kinsoku/>
        <w:wordWrap/>
        <w:overflowPunct/>
        <w:topLinePunct w:val="0"/>
        <w:autoSpaceDE/>
        <w:autoSpaceDN/>
        <w:bidi w:val="0"/>
        <w:adjustRightInd/>
        <w:snapToGrid/>
        <w:spacing w:after="157" w:afterLines="50" w:line="480" w:lineRule="auto"/>
        <w:jc w:val="left"/>
        <w:textAlignment w:val="auto"/>
        <w:rPr>
          <w:rFonts w:hint="eastAsia" w:ascii="楷体" w:hAnsi="楷体" w:eastAsia="楷体"/>
          <w:b w:val="0"/>
          <w:bCs/>
          <w:sz w:val="28"/>
          <w:szCs w:val="28"/>
          <w:highlight w:val="none"/>
        </w:rPr>
      </w:pPr>
      <w:r>
        <w:rPr>
          <w:rFonts w:hint="eastAsia" w:ascii="楷体" w:hAnsi="楷体" w:eastAsia="楷体"/>
          <w:b w:val="0"/>
          <w:bCs/>
          <w:sz w:val="28"/>
          <w:szCs w:val="28"/>
          <w:highlight w:val="none"/>
        </w:rPr>
        <w:t>2、具体考核办法</w:t>
      </w:r>
    </w:p>
    <w:p w14:paraId="6127A5FC">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楷体" w:hAnsi="楷体" w:eastAsia="楷体"/>
          <w:b w:val="0"/>
          <w:bCs/>
          <w:sz w:val="28"/>
          <w:szCs w:val="28"/>
          <w:highlight w:val="none"/>
        </w:rPr>
      </w:pPr>
      <w:r>
        <w:rPr>
          <w:rFonts w:hint="eastAsia" w:ascii="楷体" w:hAnsi="楷体" w:eastAsia="楷体"/>
          <w:b w:val="0"/>
          <w:bCs/>
          <w:sz w:val="28"/>
          <w:szCs w:val="28"/>
          <w:highlight w:val="none"/>
        </w:rPr>
        <w:t>（1）甲方</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年</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月</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日至</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月</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日对乙方的服务量、服务质量、服务成果依据《人民调解工作考核表》进行中期评估，评估发现存在问题的，出具书面整改通知。</w:t>
      </w:r>
    </w:p>
    <w:p w14:paraId="5BBCB299">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楷体" w:hAnsi="楷体" w:eastAsia="楷体"/>
          <w:b w:val="0"/>
          <w:bCs/>
          <w:sz w:val="32"/>
          <w:szCs w:val="32"/>
          <w:highlight w:val="none"/>
        </w:rPr>
      </w:pPr>
      <w:r>
        <w:rPr>
          <w:rFonts w:hint="eastAsia" w:ascii="楷体" w:hAnsi="楷体" w:eastAsia="楷体"/>
          <w:b w:val="0"/>
          <w:bCs/>
          <w:sz w:val="28"/>
          <w:szCs w:val="28"/>
          <w:highlight w:val="none"/>
        </w:rPr>
        <w:t>（2）甲方于</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年</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月</w:t>
      </w:r>
      <w:r>
        <w:rPr>
          <w:rFonts w:hint="eastAsia" w:ascii="楷体" w:hAnsi="楷体" w:eastAsia="楷体"/>
          <w:b w:val="0"/>
          <w:bCs/>
          <w:sz w:val="28"/>
          <w:szCs w:val="28"/>
          <w:highlight w:val="none"/>
          <w:u w:val="single"/>
          <w:lang w:val="en-US" w:eastAsia="zh-CN"/>
        </w:rPr>
        <w:t xml:space="preserve">   </w:t>
      </w:r>
      <w:r>
        <w:rPr>
          <w:rFonts w:hint="eastAsia" w:ascii="楷体" w:hAnsi="楷体" w:eastAsia="楷体"/>
          <w:b w:val="0"/>
          <w:bCs/>
          <w:sz w:val="28"/>
          <w:szCs w:val="28"/>
          <w:highlight w:val="none"/>
        </w:rPr>
        <w:t>日项目结束后</w:t>
      </w:r>
      <w:r>
        <w:rPr>
          <w:rFonts w:hint="eastAsia" w:ascii="楷体" w:hAnsi="楷体" w:eastAsia="楷体"/>
          <w:b w:val="0"/>
          <w:bCs/>
          <w:sz w:val="28"/>
          <w:szCs w:val="28"/>
          <w:highlight w:val="none"/>
          <w:lang w:val="en-US" w:eastAsia="zh-CN"/>
        </w:rPr>
        <w:t>2</w:t>
      </w:r>
      <w:r>
        <w:rPr>
          <w:rFonts w:hint="eastAsia" w:ascii="楷体" w:hAnsi="楷体" w:eastAsia="楷体"/>
          <w:b w:val="0"/>
          <w:bCs/>
          <w:sz w:val="28"/>
          <w:szCs w:val="28"/>
          <w:highlight w:val="none"/>
        </w:rPr>
        <w:t>个星期内对乙方的服务量、服务质量、服务成果依据《人民调解工作考核表》进行年度考核，考核等级分为合格和不合格两个档次。</w:t>
      </w:r>
    </w:p>
    <w:p w14:paraId="2AF7BFA5">
      <w:pPr>
        <w:keepNext w:val="0"/>
        <w:keepLines w:val="0"/>
        <w:pageBreakBefore w:val="0"/>
        <w:widowControl w:val="0"/>
        <w:kinsoku/>
        <w:wordWrap/>
        <w:overflowPunct/>
        <w:topLinePunct w:val="0"/>
        <w:autoSpaceDE/>
        <w:autoSpaceDN/>
        <w:bidi w:val="0"/>
        <w:adjustRightInd/>
        <w:snapToGrid/>
        <w:spacing w:before="157" w:beforeLines="50" w:line="840" w:lineRule="auto"/>
        <w:ind w:right="0"/>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rPr>
        <w:t>第四章   权利和义务</w:t>
      </w:r>
    </w:p>
    <w:p w14:paraId="76495E06">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楷体" w:hAnsi="楷体" w:eastAsia="楷体"/>
          <w:b/>
          <w:bCs w:val="0"/>
          <w:sz w:val="28"/>
          <w:szCs w:val="28"/>
        </w:rPr>
      </w:pPr>
      <w:r>
        <w:rPr>
          <w:rFonts w:ascii="楷体" w:hAnsi="楷体" w:eastAsia="楷体"/>
          <w:b/>
          <w:bCs w:val="0"/>
          <w:sz w:val="28"/>
          <w:szCs w:val="28"/>
        </w:rPr>
        <w:t>甲方享有下列权利：</w:t>
      </w:r>
    </w:p>
    <w:p w14:paraId="019AD9EA">
      <w:pPr>
        <w:numPr>
          <w:ilvl w:val="0"/>
          <w:numId w:val="2"/>
        </w:numPr>
        <w:ind w:left="600"/>
        <w:rPr>
          <w:rFonts w:ascii="楷体" w:hAnsi="楷体" w:eastAsia="楷体"/>
          <w:b w:val="0"/>
          <w:bCs/>
          <w:sz w:val="28"/>
          <w:szCs w:val="28"/>
        </w:rPr>
      </w:pPr>
      <w:r>
        <w:rPr>
          <w:rFonts w:hint="eastAsia" w:ascii="楷体" w:hAnsi="楷体" w:eastAsia="楷体"/>
          <w:b w:val="0"/>
          <w:bCs/>
          <w:sz w:val="28"/>
          <w:szCs w:val="28"/>
        </w:rPr>
        <w:t>甲方按照协议规定的项目内容对乙方提供的服务</w:t>
      </w:r>
      <w:r>
        <w:rPr>
          <w:rFonts w:ascii="楷体" w:hAnsi="楷体" w:eastAsia="楷体"/>
          <w:b w:val="0"/>
          <w:bCs/>
          <w:sz w:val="28"/>
          <w:szCs w:val="28"/>
        </w:rPr>
        <w:t>实施管理</w:t>
      </w:r>
      <w:r>
        <w:rPr>
          <w:rFonts w:hint="eastAsia" w:ascii="楷体" w:hAnsi="楷体" w:eastAsia="楷体"/>
          <w:b w:val="0"/>
          <w:bCs/>
          <w:sz w:val="28"/>
          <w:szCs w:val="28"/>
        </w:rPr>
        <w:t>，包括所有服</w:t>
      </w:r>
    </w:p>
    <w:p w14:paraId="3A3DC313">
      <w:pPr>
        <w:numPr>
          <w:ilvl w:val="0"/>
          <w:numId w:val="0"/>
        </w:numPr>
        <w:rPr>
          <w:rFonts w:ascii="楷体" w:hAnsi="楷体" w:eastAsia="楷体"/>
          <w:b w:val="0"/>
          <w:bCs/>
          <w:sz w:val="28"/>
          <w:szCs w:val="28"/>
        </w:rPr>
      </w:pPr>
      <w:r>
        <w:rPr>
          <w:rFonts w:hint="eastAsia" w:ascii="楷体" w:hAnsi="楷体" w:eastAsia="楷体"/>
          <w:b w:val="0"/>
          <w:bCs/>
          <w:sz w:val="28"/>
          <w:szCs w:val="28"/>
        </w:rPr>
        <w:t>务工作遵守甲方各项规章制度和流程，按时按标准完成业务量，人员服务满足服务期内法定工作时间等</w:t>
      </w:r>
      <w:r>
        <w:rPr>
          <w:rFonts w:ascii="楷体" w:hAnsi="楷体" w:eastAsia="楷体"/>
          <w:b w:val="0"/>
          <w:bCs/>
          <w:sz w:val="28"/>
          <w:szCs w:val="28"/>
        </w:rPr>
        <w:t>。</w:t>
      </w:r>
    </w:p>
    <w:p w14:paraId="74CFC502">
      <w:pPr>
        <w:numPr>
          <w:ilvl w:val="0"/>
          <w:numId w:val="2"/>
        </w:numPr>
        <w:ind w:left="600"/>
        <w:rPr>
          <w:rFonts w:ascii="楷体" w:hAnsi="楷体" w:eastAsia="楷体"/>
          <w:b w:val="0"/>
          <w:bCs/>
          <w:sz w:val="28"/>
          <w:szCs w:val="28"/>
        </w:rPr>
      </w:pPr>
      <w:r>
        <w:rPr>
          <w:rFonts w:hint="eastAsia" w:ascii="楷体" w:hAnsi="楷体" w:eastAsia="楷体"/>
          <w:b w:val="0"/>
          <w:bCs/>
          <w:sz w:val="28"/>
          <w:szCs w:val="28"/>
        </w:rPr>
        <w:t>乙方提供服务的数量或质量未能达到甲方要求时，甲方有权要求乙方通</w:t>
      </w:r>
    </w:p>
    <w:p w14:paraId="79810126">
      <w:pPr>
        <w:numPr>
          <w:ilvl w:val="0"/>
          <w:numId w:val="0"/>
        </w:numPr>
        <w:rPr>
          <w:rFonts w:ascii="楷体" w:hAnsi="楷体" w:eastAsia="楷体"/>
          <w:b w:val="0"/>
          <w:bCs/>
          <w:sz w:val="28"/>
          <w:szCs w:val="28"/>
        </w:rPr>
      </w:pPr>
      <w:r>
        <w:rPr>
          <w:rFonts w:hint="eastAsia" w:ascii="楷体" w:hAnsi="楷体" w:eastAsia="楷体"/>
          <w:b w:val="0"/>
          <w:bCs/>
          <w:sz w:val="28"/>
          <w:szCs w:val="28"/>
        </w:rPr>
        <w:t>过增加工作时长或增加人员方式满足项目规定内容，服务费用不予增加。</w:t>
      </w:r>
    </w:p>
    <w:p w14:paraId="60503391">
      <w:pPr>
        <w:numPr>
          <w:ilvl w:val="0"/>
          <w:numId w:val="2"/>
        </w:numPr>
        <w:ind w:left="600"/>
        <w:rPr>
          <w:rFonts w:ascii="楷体" w:hAnsi="楷体" w:eastAsia="楷体"/>
          <w:b w:val="0"/>
          <w:bCs/>
          <w:sz w:val="28"/>
          <w:szCs w:val="28"/>
        </w:rPr>
      </w:pPr>
      <w:r>
        <w:rPr>
          <w:rFonts w:ascii="楷体" w:hAnsi="楷体" w:eastAsia="楷体"/>
          <w:b w:val="0"/>
          <w:bCs/>
          <w:sz w:val="28"/>
          <w:szCs w:val="28"/>
        </w:rPr>
        <w:t>对服务提供期间严重违反法律、法规，或者甲方依法制定的规章制度（甲</w:t>
      </w:r>
    </w:p>
    <w:p w14:paraId="6A11441C">
      <w:pPr>
        <w:numPr>
          <w:ilvl w:val="0"/>
          <w:numId w:val="0"/>
        </w:numPr>
        <w:rPr>
          <w:rFonts w:ascii="楷体" w:hAnsi="楷体" w:eastAsia="楷体"/>
          <w:b w:val="0"/>
          <w:bCs/>
          <w:sz w:val="28"/>
          <w:szCs w:val="28"/>
        </w:rPr>
      </w:pPr>
      <w:r>
        <w:rPr>
          <w:rFonts w:ascii="楷体" w:hAnsi="楷体" w:eastAsia="楷体"/>
          <w:b w:val="0"/>
          <w:bCs/>
          <w:sz w:val="28"/>
          <w:szCs w:val="28"/>
        </w:rPr>
        <w:t>方相关规章制度应提供给乙方备案）的服务人员，甲方有权以书面形式通知乙方</w:t>
      </w:r>
      <w:r>
        <w:rPr>
          <w:rFonts w:hint="eastAsia" w:ascii="楷体" w:hAnsi="楷体" w:eastAsia="楷体"/>
          <w:b w:val="0"/>
          <w:bCs/>
          <w:sz w:val="28"/>
          <w:szCs w:val="28"/>
        </w:rPr>
        <w:t>进行更换</w:t>
      </w:r>
      <w:r>
        <w:rPr>
          <w:rFonts w:ascii="楷体" w:hAnsi="楷体" w:eastAsia="楷体"/>
          <w:b w:val="0"/>
          <w:bCs/>
          <w:sz w:val="28"/>
          <w:szCs w:val="28"/>
        </w:rPr>
        <w:t>。</w:t>
      </w:r>
    </w:p>
    <w:p w14:paraId="42178FC7">
      <w:pPr>
        <w:numPr>
          <w:ilvl w:val="0"/>
          <w:numId w:val="2"/>
        </w:numPr>
        <w:ind w:left="600"/>
        <w:rPr>
          <w:rFonts w:ascii="楷体" w:hAnsi="楷体" w:eastAsia="楷体"/>
          <w:b w:val="0"/>
          <w:bCs/>
          <w:sz w:val="28"/>
          <w:szCs w:val="28"/>
        </w:rPr>
      </w:pPr>
      <w:r>
        <w:rPr>
          <w:rFonts w:hint="eastAsia" w:ascii="楷体" w:hAnsi="楷体" w:eastAsia="楷体"/>
          <w:b w:val="0"/>
          <w:bCs/>
          <w:sz w:val="28"/>
          <w:szCs w:val="28"/>
        </w:rPr>
        <w:t>乙方提供的项目服务不符合约定标准的，甲方有权要求乙方进行整改，</w:t>
      </w:r>
    </w:p>
    <w:p w14:paraId="15344664">
      <w:pPr>
        <w:numPr>
          <w:ilvl w:val="0"/>
          <w:numId w:val="0"/>
        </w:numPr>
        <w:rPr>
          <w:rFonts w:ascii="楷体" w:hAnsi="楷体" w:eastAsia="楷体"/>
          <w:b w:val="0"/>
          <w:bCs/>
          <w:sz w:val="28"/>
          <w:szCs w:val="28"/>
        </w:rPr>
      </w:pPr>
      <w:r>
        <w:rPr>
          <w:rFonts w:hint="eastAsia" w:ascii="楷体" w:hAnsi="楷体" w:eastAsia="楷体"/>
          <w:b w:val="0"/>
          <w:bCs/>
          <w:sz w:val="28"/>
          <w:szCs w:val="28"/>
        </w:rPr>
        <w:t>乙方整改后仍不符合本协议约定的，甲方有权解除本协议，并不予支付任何费用。</w:t>
      </w:r>
    </w:p>
    <w:p w14:paraId="38F8B3DD">
      <w:pPr>
        <w:numPr>
          <w:ilvl w:val="0"/>
          <w:numId w:val="2"/>
        </w:numPr>
        <w:ind w:left="600"/>
        <w:rPr>
          <w:rFonts w:ascii="楷体" w:hAnsi="楷体" w:eastAsia="楷体"/>
          <w:b w:val="0"/>
          <w:bCs/>
          <w:sz w:val="28"/>
          <w:szCs w:val="28"/>
        </w:rPr>
      </w:pPr>
      <w:r>
        <w:rPr>
          <w:rFonts w:hint="eastAsia" w:ascii="楷体" w:hAnsi="楷体" w:eastAsia="楷体"/>
          <w:b w:val="0"/>
          <w:bCs/>
          <w:sz w:val="28"/>
          <w:szCs w:val="28"/>
        </w:rPr>
        <w:t>甲方有权参与乙方重大事件的调查和纠纷的处理。</w:t>
      </w:r>
    </w:p>
    <w:p w14:paraId="59CD8588">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楷体" w:hAnsi="楷体" w:eastAsia="楷体" w:cs="Times New Roman"/>
          <w:b/>
          <w:bCs w:val="0"/>
          <w:sz w:val="28"/>
          <w:szCs w:val="28"/>
        </w:rPr>
      </w:pPr>
      <w:r>
        <w:rPr>
          <w:rFonts w:ascii="楷体" w:hAnsi="楷体" w:eastAsia="楷体" w:cs="Times New Roman"/>
          <w:b/>
          <w:bCs w:val="0"/>
          <w:sz w:val="28"/>
          <w:szCs w:val="28"/>
        </w:rPr>
        <w:t>甲方承担下列义务：</w:t>
      </w:r>
    </w:p>
    <w:p w14:paraId="21894E12">
      <w:pPr>
        <w:numPr>
          <w:ilvl w:val="0"/>
          <w:numId w:val="3"/>
        </w:numPr>
        <w:ind w:left="540"/>
        <w:rPr>
          <w:rFonts w:ascii="楷体" w:hAnsi="楷体" w:eastAsia="楷体"/>
          <w:b w:val="0"/>
          <w:bCs/>
          <w:sz w:val="28"/>
          <w:szCs w:val="28"/>
        </w:rPr>
      </w:pPr>
      <w:r>
        <w:rPr>
          <w:rFonts w:hint="eastAsia" w:ascii="楷体" w:hAnsi="楷体" w:eastAsia="楷体"/>
          <w:b w:val="0"/>
          <w:bCs/>
          <w:sz w:val="28"/>
          <w:szCs w:val="28"/>
        </w:rPr>
        <w:t>甲方需按照项目服务内容提供相应的工作场所和工作设备，涉及的工作</w:t>
      </w:r>
    </w:p>
    <w:p w14:paraId="327420D7">
      <w:pPr>
        <w:numPr>
          <w:ilvl w:val="0"/>
          <w:numId w:val="0"/>
        </w:numPr>
        <w:rPr>
          <w:rFonts w:ascii="楷体" w:hAnsi="楷体" w:eastAsia="楷体"/>
          <w:b w:val="0"/>
          <w:bCs/>
          <w:sz w:val="28"/>
          <w:szCs w:val="28"/>
        </w:rPr>
      </w:pPr>
      <w:r>
        <w:rPr>
          <w:rFonts w:hint="eastAsia" w:ascii="楷体" w:hAnsi="楷体" w:eastAsia="楷体"/>
          <w:b w:val="0"/>
          <w:bCs/>
          <w:sz w:val="28"/>
          <w:szCs w:val="28"/>
        </w:rPr>
        <w:t>用品、资料等一律由甲方提供</w:t>
      </w:r>
      <w:r>
        <w:rPr>
          <w:rFonts w:ascii="楷体" w:hAnsi="楷体" w:eastAsia="楷体"/>
          <w:b w:val="0"/>
          <w:bCs/>
          <w:sz w:val="28"/>
          <w:szCs w:val="28"/>
        </w:rPr>
        <w:t>。</w:t>
      </w:r>
    </w:p>
    <w:p w14:paraId="30AA3387">
      <w:pPr>
        <w:numPr>
          <w:ilvl w:val="0"/>
          <w:numId w:val="3"/>
        </w:numPr>
        <w:ind w:left="540"/>
        <w:rPr>
          <w:rFonts w:ascii="楷体" w:hAnsi="楷体" w:eastAsia="楷体"/>
          <w:b w:val="0"/>
          <w:bCs/>
          <w:sz w:val="28"/>
          <w:szCs w:val="28"/>
        </w:rPr>
      </w:pPr>
      <w:r>
        <w:rPr>
          <w:rFonts w:hint="eastAsia" w:ascii="楷体" w:hAnsi="楷体" w:eastAsia="楷体"/>
          <w:b w:val="0"/>
          <w:bCs/>
          <w:sz w:val="28"/>
          <w:szCs w:val="28"/>
        </w:rPr>
        <w:t>甲方需保障乙方</w:t>
      </w:r>
      <w:r>
        <w:rPr>
          <w:rFonts w:ascii="楷体" w:hAnsi="楷体" w:eastAsia="楷体"/>
          <w:b w:val="0"/>
          <w:bCs/>
          <w:sz w:val="28"/>
          <w:szCs w:val="28"/>
        </w:rPr>
        <w:t>提供服务人员符合国家劳动安全卫生标准的工作环境和</w:t>
      </w:r>
    </w:p>
    <w:p w14:paraId="4C060595">
      <w:pPr>
        <w:numPr>
          <w:ilvl w:val="0"/>
          <w:numId w:val="0"/>
        </w:numPr>
        <w:rPr>
          <w:rFonts w:ascii="楷体" w:hAnsi="楷体" w:eastAsia="楷体"/>
          <w:b w:val="0"/>
          <w:bCs/>
          <w:sz w:val="28"/>
          <w:szCs w:val="28"/>
        </w:rPr>
      </w:pPr>
      <w:r>
        <w:rPr>
          <w:rFonts w:ascii="楷体" w:hAnsi="楷体" w:eastAsia="楷体"/>
          <w:b w:val="0"/>
          <w:bCs/>
          <w:sz w:val="28"/>
          <w:szCs w:val="28"/>
        </w:rPr>
        <w:t>劳动保护。</w:t>
      </w:r>
    </w:p>
    <w:p w14:paraId="4C5C7712">
      <w:pPr>
        <w:numPr>
          <w:ilvl w:val="0"/>
          <w:numId w:val="3"/>
        </w:numPr>
        <w:ind w:left="540"/>
        <w:rPr>
          <w:rFonts w:hint="eastAsia" w:ascii="楷体" w:hAnsi="楷体" w:eastAsia="楷体"/>
          <w:b w:val="0"/>
          <w:bCs/>
          <w:sz w:val="28"/>
          <w:szCs w:val="28"/>
        </w:rPr>
      </w:pPr>
      <w:r>
        <w:rPr>
          <w:rFonts w:hint="eastAsia" w:ascii="楷体" w:hAnsi="楷体" w:eastAsia="楷体"/>
          <w:b w:val="0"/>
          <w:bCs/>
          <w:sz w:val="28"/>
          <w:szCs w:val="28"/>
        </w:rPr>
        <w:t>甲方负责对乙方提供</w:t>
      </w:r>
      <w:r>
        <w:rPr>
          <w:rFonts w:ascii="楷体" w:hAnsi="楷体" w:eastAsia="楷体"/>
          <w:b w:val="0"/>
          <w:bCs/>
          <w:sz w:val="28"/>
          <w:szCs w:val="28"/>
        </w:rPr>
        <w:t>服务人员进行服务岗位所必需的培训并承担培训费</w:t>
      </w:r>
    </w:p>
    <w:p w14:paraId="5E65C33F">
      <w:pPr>
        <w:numPr>
          <w:ilvl w:val="0"/>
          <w:numId w:val="0"/>
        </w:numPr>
        <w:rPr>
          <w:rFonts w:hint="eastAsia" w:ascii="楷体" w:hAnsi="楷体" w:eastAsia="楷体"/>
          <w:b w:val="0"/>
          <w:bCs/>
          <w:sz w:val="28"/>
          <w:szCs w:val="28"/>
        </w:rPr>
      </w:pPr>
      <w:r>
        <w:rPr>
          <w:rFonts w:ascii="楷体" w:hAnsi="楷体" w:eastAsia="楷体"/>
          <w:b w:val="0"/>
          <w:bCs/>
          <w:sz w:val="28"/>
          <w:szCs w:val="28"/>
        </w:rPr>
        <w:t>用</w:t>
      </w:r>
      <w:r>
        <w:rPr>
          <w:rFonts w:hint="eastAsia" w:ascii="楷体" w:hAnsi="楷体" w:eastAsia="楷体"/>
          <w:b w:val="0"/>
          <w:bCs/>
          <w:sz w:val="28"/>
          <w:szCs w:val="28"/>
        </w:rPr>
        <w:t>，乙方服务人员凭据到甲方据实报销</w:t>
      </w:r>
      <w:r>
        <w:rPr>
          <w:rFonts w:ascii="楷体" w:hAnsi="楷体" w:eastAsia="楷体"/>
          <w:b w:val="0"/>
          <w:bCs/>
          <w:sz w:val="28"/>
          <w:szCs w:val="28"/>
        </w:rPr>
        <w:t>。</w:t>
      </w:r>
    </w:p>
    <w:p w14:paraId="144BF85E">
      <w:pPr>
        <w:numPr>
          <w:ilvl w:val="0"/>
          <w:numId w:val="3"/>
        </w:numPr>
        <w:ind w:left="540"/>
        <w:rPr>
          <w:rFonts w:ascii="楷体" w:hAnsi="楷体" w:eastAsia="楷体"/>
          <w:b w:val="0"/>
          <w:bCs/>
          <w:sz w:val="28"/>
          <w:szCs w:val="28"/>
        </w:rPr>
      </w:pPr>
      <w:r>
        <w:rPr>
          <w:rFonts w:hint="eastAsia" w:ascii="楷体" w:hAnsi="楷体" w:eastAsia="楷体"/>
          <w:b w:val="0"/>
          <w:bCs/>
          <w:sz w:val="28"/>
          <w:szCs w:val="28"/>
        </w:rPr>
        <w:t>若国家法定福利的费率或基数增加时，甲方承担相应费用。由乙方根据</w:t>
      </w:r>
    </w:p>
    <w:p w14:paraId="6A45B10C">
      <w:pPr>
        <w:numPr>
          <w:ilvl w:val="0"/>
          <w:numId w:val="0"/>
        </w:numPr>
        <w:rPr>
          <w:rFonts w:ascii="楷体" w:hAnsi="楷体" w:eastAsia="楷体"/>
          <w:b w:val="0"/>
          <w:bCs/>
          <w:sz w:val="28"/>
          <w:szCs w:val="28"/>
        </w:rPr>
      </w:pPr>
      <w:r>
        <w:rPr>
          <w:rFonts w:hint="eastAsia" w:ascii="楷体" w:hAnsi="楷体" w:eastAsia="楷体"/>
          <w:b w:val="0"/>
          <w:bCs/>
          <w:sz w:val="28"/>
          <w:szCs w:val="28"/>
        </w:rPr>
        <w:t>新政策向甲方提出申请。</w:t>
      </w:r>
    </w:p>
    <w:p w14:paraId="6453DCF1">
      <w:pPr>
        <w:numPr>
          <w:ilvl w:val="0"/>
          <w:numId w:val="3"/>
        </w:numPr>
        <w:ind w:left="540"/>
        <w:rPr>
          <w:rFonts w:ascii="楷体" w:hAnsi="楷体" w:eastAsia="楷体"/>
          <w:b w:val="0"/>
          <w:bCs/>
          <w:sz w:val="28"/>
          <w:szCs w:val="28"/>
        </w:rPr>
      </w:pPr>
      <w:r>
        <w:rPr>
          <w:rFonts w:hint="eastAsia" w:ascii="楷体" w:hAnsi="楷体" w:eastAsia="楷体"/>
          <w:b w:val="0"/>
          <w:bCs/>
          <w:sz w:val="28"/>
          <w:szCs w:val="28"/>
        </w:rPr>
        <w:t>甲方指派（委托）乙方服务人员参加会议、培训、考察等事宜产生的住</w:t>
      </w:r>
    </w:p>
    <w:p w14:paraId="46688B70">
      <w:pPr>
        <w:numPr>
          <w:ilvl w:val="0"/>
          <w:numId w:val="0"/>
        </w:numPr>
        <w:rPr>
          <w:rFonts w:ascii="楷体" w:hAnsi="楷体" w:eastAsia="楷体"/>
          <w:b w:val="0"/>
          <w:bCs/>
          <w:sz w:val="28"/>
          <w:szCs w:val="28"/>
        </w:rPr>
      </w:pPr>
      <w:r>
        <w:rPr>
          <w:rFonts w:hint="eastAsia" w:ascii="楷体" w:hAnsi="楷体" w:eastAsia="楷体"/>
          <w:b w:val="0"/>
          <w:bCs/>
          <w:sz w:val="28"/>
          <w:szCs w:val="28"/>
        </w:rPr>
        <w:t>宿、交通、误餐等费用由甲方负责，乙方服务人员凭据到甲方据实报销。</w:t>
      </w:r>
    </w:p>
    <w:p w14:paraId="022E5F11">
      <w:pPr>
        <w:numPr>
          <w:ilvl w:val="0"/>
          <w:numId w:val="3"/>
        </w:numPr>
        <w:ind w:left="540"/>
        <w:rPr>
          <w:rFonts w:ascii="楷体" w:hAnsi="楷体" w:eastAsia="楷体"/>
          <w:b w:val="0"/>
          <w:bCs/>
          <w:sz w:val="28"/>
          <w:szCs w:val="28"/>
        </w:rPr>
      </w:pPr>
      <w:r>
        <w:rPr>
          <w:rFonts w:ascii="楷体" w:hAnsi="楷体" w:eastAsia="楷体"/>
          <w:b w:val="0"/>
          <w:bCs/>
          <w:sz w:val="28"/>
          <w:szCs w:val="28"/>
        </w:rPr>
        <w:t>服务提供期间，</w:t>
      </w:r>
      <w:r>
        <w:rPr>
          <w:rFonts w:hint="eastAsia" w:ascii="楷体" w:hAnsi="楷体" w:eastAsia="楷体"/>
          <w:b w:val="0"/>
          <w:bCs/>
          <w:sz w:val="28"/>
          <w:szCs w:val="28"/>
        </w:rPr>
        <w:t>由于</w:t>
      </w:r>
      <w:r>
        <w:rPr>
          <w:rFonts w:ascii="楷体" w:hAnsi="楷体" w:eastAsia="楷体"/>
          <w:b w:val="0"/>
          <w:bCs/>
          <w:sz w:val="28"/>
          <w:szCs w:val="28"/>
        </w:rPr>
        <w:t>甲方</w:t>
      </w:r>
      <w:r>
        <w:rPr>
          <w:rFonts w:hint="eastAsia" w:ascii="楷体" w:hAnsi="楷体" w:eastAsia="楷体"/>
          <w:b w:val="0"/>
          <w:bCs/>
          <w:sz w:val="28"/>
          <w:szCs w:val="28"/>
        </w:rPr>
        <w:t>责任</w:t>
      </w:r>
      <w:r>
        <w:rPr>
          <w:rFonts w:ascii="楷体" w:hAnsi="楷体" w:eastAsia="楷体"/>
          <w:b w:val="0"/>
          <w:bCs/>
          <w:sz w:val="28"/>
          <w:szCs w:val="28"/>
        </w:rPr>
        <w:t>需要提前终止本协议或退回服务人员的，</w:t>
      </w:r>
    </w:p>
    <w:p w14:paraId="71ACF0E2">
      <w:pPr>
        <w:numPr>
          <w:ilvl w:val="0"/>
          <w:numId w:val="0"/>
        </w:numPr>
        <w:rPr>
          <w:rFonts w:ascii="楷体" w:hAnsi="楷体" w:eastAsia="楷体"/>
          <w:b w:val="0"/>
          <w:bCs/>
          <w:sz w:val="28"/>
          <w:szCs w:val="28"/>
        </w:rPr>
      </w:pPr>
      <w:r>
        <w:rPr>
          <w:rFonts w:ascii="楷体" w:hAnsi="楷体" w:eastAsia="楷体"/>
          <w:b w:val="0"/>
          <w:bCs/>
          <w:sz w:val="28"/>
          <w:szCs w:val="28"/>
        </w:rPr>
        <w:t>应提前</w:t>
      </w:r>
      <w:r>
        <w:rPr>
          <w:rFonts w:hint="eastAsia" w:ascii="楷体" w:hAnsi="楷体" w:eastAsia="楷体"/>
          <w:b w:val="0"/>
          <w:bCs/>
          <w:sz w:val="28"/>
          <w:szCs w:val="28"/>
        </w:rPr>
        <w:t>35天</w:t>
      </w:r>
      <w:r>
        <w:rPr>
          <w:rFonts w:ascii="楷体" w:hAnsi="楷体" w:eastAsia="楷体"/>
          <w:b w:val="0"/>
          <w:bCs/>
          <w:sz w:val="28"/>
          <w:szCs w:val="28"/>
        </w:rPr>
        <w:t>通知乙方</w:t>
      </w:r>
      <w:r>
        <w:rPr>
          <w:rFonts w:hint="eastAsia" w:ascii="楷体" w:hAnsi="楷体" w:eastAsia="楷体"/>
          <w:b w:val="0"/>
          <w:bCs/>
          <w:sz w:val="28"/>
          <w:szCs w:val="28"/>
        </w:rPr>
        <w:t>。若因甲方原因提前终止协议的，乙方已经提供服务，甲方尚未支付的项目款须按本协议约定折算并一次性支付。</w:t>
      </w:r>
    </w:p>
    <w:p w14:paraId="345996F3">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楷体" w:hAnsi="楷体" w:eastAsia="楷体"/>
          <w:b/>
          <w:bCs w:val="0"/>
          <w:sz w:val="28"/>
          <w:szCs w:val="28"/>
        </w:rPr>
      </w:pPr>
      <w:r>
        <w:rPr>
          <w:rFonts w:ascii="楷体" w:hAnsi="楷体" w:eastAsia="楷体"/>
          <w:b/>
          <w:bCs w:val="0"/>
          <w:sz w:val="28"/>
          <w:szCs w:val="28"/>
        </w:rPr>
        <w:t>乙方享有的权利：</w:t>
      </w:r>
    </w:p>
    <w:p w14:paraId="2E2E1535">
      <w:pPr>
        <w:numPr>
          <w:ilvl w:val="0"/>
          <w:numId w:val="4"/>
        </w:numPr>
        <w:ind w:left="480"/>
        <w:rPr>
          <w:rFonts w:ascii="楷体" w:hAnsi="楷体" w:eastAsia="楷体"/>
          <w:b w:val="0"/>
          <w:bCs/>
          <w:sz w:val="28"/>
          <w:szCs w:val="28"/>
        </w:rPr>
      </w:pPr>
      <w:r>
        <w:rPr>
          <w:rFonts w:ascii="楷体" w:hAnsi="楷体" w:eastAsia="楷体"/>
          <w:b w:val="0"/>
          <w:bCs/>
          <w:sz w:val="28"/>
          <w:szCs w:val="28"/>
        </w:rPr>
        <w:t>对甲方违法、违约侵犯服务人员合法权益的行为，有权提出书面意见，进</w:t>
      </w:r>
    </w:p>
    <w:p w14:paraId="7E239696">
      <w:pPr>
        <w:numPr>
          <w:ilvl w:val="0"/>
          <w:numId w:val="0"/>
        </w:numPr>
        <w:rPr>
          <w:rFonts w:ascii="楷体" w:hAnsi="楷体" w:eastAsia="楷体"/>
          <w:b w:val="0"/>
          <w:bCs/>
          <w:sz w:val="28"/>
          <w:szCs w:val="28"/>
        </w:rPr>
      </w:pPr>
      <w:r>
        <w:rPr>
          <w:rFonts w:ascii="楷体" w:hAnsi="楷体" w:eastAsia="楷体"/>
          <w:b w:val="0"/>
          <w:bCs/>
          <w:sz w:val="28"/>
          <w:szCs w:val="28"/>
        </w:rPr>
        <w:t>行交涉。甲方应在收到乙方书面意见的5个工作日内，以书面形式回复乙方。</w:t>
      </w:r>
    </w:p>
    <w:p w14:paraId="33674DD6">
      <w:pPr>
        <w:numPr>
          <w:ilvl w:val="0"/>
          <w:numId w:val="4"/>
        </w:numPr>
        <w:ind w:left="480" w:leftChars="0" w:firstLine="0" w:firstLineChars="0"/>
        <w:rPr>
          <w:rFonts w:ascii="楷体" w:hAnsi="楷体" w:eastAsia="楷体"/>
          <w:b w:val="0"/>
          <w:bCs/>
          <w:sz w:val="28"/>
          <w:szCs w:val="28"/>
        </w:rPr>
      </w:pPr>
      <w:r>
        <w:rPr>
          <w:rFonts w:ascii="楷体" w:hAnsi="楷体" w:eastAsia="楷体"/>
          <w:b w:val="0"/>
          <w:bCs/>
          <w:sz w:val="28"/>
          <w:szCs w:val="28"/>
        </w:rPr>
        <w:t>服务人员由于</w:t>
      </w:r>
      <w:r>
        <w:rPr>
          <w:rFonts w:hint="eastAsia" w:ascii="楷体" w:hAnsi="楷体" w:eastAsia="楷体"/>
          <w:b w:val="0"/>
          <w:bCs/>
          <w:sz w:val="28"/>
          <w:szCs w:val="28"/>
        </w:rPr>
        <w:t>违纪、失职或不适应服务工作要求或被甲方退回，而与</w:t>
      </w:r>
      <w:r>
        <w:rPr>
          <w:rFonts w:ascii="楷体" w:hAnsi="楷体" w:eastAsia="楷体"/>
          <w:b w:val="0"/>
          <w:bCs/>
          <w:sz w:val="28"/>
          <w:szCs w:val="28"/>
        </w:rPr>
        <w:t>乙方</w:t>
      </w:r>
    </w:p>
    <w:p w14:paraId="0B8661E0">
      <w:pPr>
        <w:numPr>
          <w:ilvl w:val="0"/>
          <w:numId w:val="0"/>
        </w:numPr>
        <w:rPr>
          <w:rFonts w:ascii="楷体" w:hAnsi="楷体" w:eastAsia="楷体"/>
          <w:b w:val="0"/>
          <w:bCs/>
          <w:sz w:val="28"/>
          <w:szCs w:val="28"/>
        </w:rPr>
      </w:pPr>
      <w:r>
        <w:rPr>
          <w:rFonts w:ascii="楷体" w:hAnsi="楷体" w:eastAsia="楷体"/>
          <w:b w:val="0"/>
          <w:bCs/>
          <w:sz w:val="28"/>
          <w:szCs w:val="28"/>
        </w:rPr>
        <w:t>发生劳动争议、仲裁或法院诉讼时，</w:t>
      </w:r>
      <w:r>
        <w:rPr>
          <w:rFonts w:hint="eastAsia" w:ascii="楷体" w:hAnsi="楷体" w:eastAsia="楷体"/>
          <w:b w:val="0"/>
          <w:bCs/>
          <w:sz w:val="28"/>
          <w:szCs w:val="28"/>
        </w:rPr>
        <w:t>相关证据由甲方掌握的，</w:t>
      </w:r>
      <w:r>
        <w:rPr>
          <w:rFonts w:ascii="楷体" w:hAnsi="楷体" w:eastAsia="楷体"/>
          <w:b w:val="0"/>
          <w:bCs/>
          <w:sz w:val="28"/>
          <w:szCs w:val="28"/>
        </w:rPr>
        <w:t>乙方有权要求甲方予以配合，提供相关证据。</w:t>
      </w:r>
    </w:p>
    <w:p w14:paraId="6BDC427B">
      <w:pPr>
        <w:ind w:left="480"/>
        <w:rPr>
          <w:rFonts w:ascii="楷体" w:hAnsi="楷体" w:eastAsia="楷体"/>
          <w:b w:val="0"/>
          <w:bCs/>
          <w:sz w:val="28"/>
          <w:szCs w:val="28"/>
        </w:rPr>
      </w:pPr>
      <w:r>
        <w:rPr>
          <w:rFonts w:hint="eastAsia" w:ascii="楷体" w:hAnsi="楷体" w:eastAsia="楷体"/>
          <w:b w:val="0"/>
          <w:bCs/>
          <w:sz w:val="28"/>
          <w:szCs w:val="28"/>
        </w:rPr>
        <w:t>3、</w:t>
      </w:r>
      <w:r>
        <w:rPr>
          <w:rFonts w:ascii="楷体" w:hAnsi="楷体" w:eastAsia="楷体"/>
          <w:b w:val="0"/>
          <w:bCs/>
          <w:sz w:val="28"/>
          <w:szCs w:val="28"/>
        </w:rPr>
        <w:t>对服务人员</w:t>
      </w:r>
      <w:r>
        <w:rPr>
          <w:rFonts w:hint="eastAsia" w:ascii="楷体" w:hAnsi="楷体" w:eastAsia="楷体"/>
          <w:b w:val="0"/>
          <w:bCs/>
          <w:sz w:val="28"/>
          <w:szCs w:val="28"/>
        </w:rPr>
        <w:t>进行劳动管理</w:t>
      </w:r>
      <w:r>
        <w:rPr>
          <w:rFonts w:ascii="楷体" w:hAnsi="楷体" w:eastAsia="楷体"/>
          <w:b w:val="0"/>
          <w:bCs/>
          <w:sz w:val="28"/>
          <w:szCs w:val="28"/>
        </w:rPr>
        <w:t>的权利。</w:t>
      </w:r>
    </w:p>
    <w:p w14:paraId="38346D72">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楷体" w:hAnsi="楷体" w:eastAsia="楷体"/>
          <w:b/>
          <w:bCs w:val="0"/>
          <w:sz w:val="28"/>
          <w:szCs w:val="28"/>
        </w:rPr>
      </w:pPr>
    </w:p>
    <w:p w14:paraId="16C2D49A">
      <w:pPr>
        <w:keepNext w:val="0"/>
        <w:keepLines w:val="0"/>
        <w:pageBreakBefore w:val="0"/>
        <w:widowControl w:val="0"/>
        <w:kinsoku/>
        <w:wordWrap/>
        <w:overflowPunct/>
        <w:topLinePunct w:val="0"/>
        <w:autoSpaceDE/>
        <w:autoSpaceDN/>
        <w:bidi w:val="0"/>
        <w:adjustRightInd/>
        <w:snapToGrid/>
        <w:textAlignment w:val="auto"/>
        <w:rPr>
          <w:rFonts w:ascii="楷体" w:hAnsi="楷体" w:eastAsia="楷体"/>
          <w:b/>
          <w:bCs w:val="0"/>
          <w:sz w:val="28"/>
          <w:szCs w:val="28"/>
        </w:rPr>
      </w:pPr>
      <w:r>
        <w:rPr>
          <w:rFonts w:ascii="楷体" w:hAnsi="楷体" w:eastAsia="楷体"/>
          <w:b/>
          <w:bCs w:val="0"/>
          <w:sz w:val="28"/>
          <w:szCs w:val="28"/>
        </w:rPr>
        <w:t>乙方承担的义务：</w:t>
      </w:r>
    </w:p>
    <w:p w14:paraId="4144816A">
      <w:pPr>
        <w:ind w:left="480"/>
        <w:rPr>
          <w:rFonts w:ascii="楷体" w:hAnsi="楷体" w:eastAsia="楷体"/>
          <w:b w:val="0"/>
          <w:bCs/>
          <w:sz w:val="28"/>
          <w:szCs w:val="28"/>
        </w:rPr>
      </w:pPr>
      <w:r>
        <w:rPr>
          <w:rFonts w:hint="eastAsia" w:ascii="楷体" w:hAnsi="楷体" w:eastAsia="楷体"/>
          <w:b w:val="0"/>
          <w:bCs/>
          <w:sz w:val="28"/>
          <w:szCs w:val="28"/>
        </w:rPr>
        <w:t>1、</w:t>
      </w:r>
      <w:r>
        <w:rPr>
          <w:rFonts w:ascii="楷体" w:hAnsi="楷体" w:eastAsia="楷体"/>
          <w:b w:val="0"/>
          <w:bCs/>
          <w:sz w:val="28"/>
          <w:szCs w:val="28"/>
        </w:rPr>
        <w:t>根据本协议</w:t>
      </w:r>
      <w:r>
        <w:rPr>
          <w:rFonts w:hint="eastAsia" w:ascii="楷体" w:hAnsi="楷体" w:eastAsia="楷体"/>
          <w:b w:val="0"/>
          <w:bCs/>
          <w:sz w:val="28"/>
          <w:szCs w:val="28"/>
        </w:rPr>
        <w:t>约定的项目服务内容，提供符合甲方要求的服务工作</w:t>
      </w:r>
      <w:r>
        <w:rPr>
          <w:rFonts w:ascii="楷体" w:hAnsi="楷体" w:eastAsia="楷体"/>
          <w:b w:val="0"/>
          <w:bCs/>
          <w:sz w:val="28"/>
          <w:szCs w:val="28"/>
        </w:rPr>
        <w:t>。</w:t>
      </w:r>
    </w:p>
    <w:p w14:paraId="336F85C5">
      <w:pPr>
        <w:ind w:left="480"/>
        <w:rPr>
          <w:rFonts w:hint="eastAsia" w:ascii="楷体" w:hAnsi="楷体" w:eastAsia="楷体"/>
          <w:b w:val="0"/>
          <w:bCs/>
          <w:sz w:val="28"/>
          <w:szCs w:val="28"/>
        </w:rPr>
      </w:pPr>
      <w:r>
        <w:rPr>
          <w:rFonts w:hint="eastAsia" w:ascii="楷体" w:hAnsi="楷体" w:eastAsia="楷体"/>
          <w:b w:val="0"/>
          <w:bCs/>
          <w:sz w:val="28"/>
          <w:szCs w:val="28"/>
        </w:rPr>
        <w:t>2、与提供项目服务的人员签订书面劳动合同，接受甲方依据本协议约定退回</w:t>
      </w:r>
    </w:p>
    <w:p w14:paraId="1F35CC5A">
      <w:pPr>
        <w:rPr>
          <w:rFonts w:hint="eastAsia" w:ascii="楷体" w:hAnsi="楷体" w:eastAsia="楷体"/>
          <w:b w:val="0"/>
          <w:bCs/>
          <w:sz w:val="28"/>
          <w:szCs w:val="28"/>
        </w:rPr>
      </w:pPr>
      <w:r>
        <w:rPr>
          <w:rFonts w:hint="eastAsia" w:ascii="楷体" w:hAnsi="楷体" w:eastAsia="楷体"/>
          <w:b w:val="0"/>
          <w:bCs/>
          <w:sz w:val="28"/>
          <w:szCs w:val="28"/>
        </w:rPr>
        <w:t>的服务人员，并依法处理乙方与服务人员的劳动关系。</w:t>
      </w:r>
    </w:p>
    <w:p w14:paraId="177C7CA9">
      <w:pPr>
        <w:numPr>
          <w:ilvl w:val="0"/>
          <w:numId w:val="4"/>
        </w:numPr>
        <w:ind w:left="480" w:leftChars="0" w:firstLine="0" w:firstLineChars="0"/>
        <w:rPr>
          <w:rFonts w:ascii="楷体" w:hAnsi="楷体" w:eastAsia="楷体"/>
          <w:b w:val="0"/>
          <w:bCs/>
          <w:sz w:val="28"/>
          <w:szCs w:val="28"/>
        </w:rPr>
      </w:pPr>
      <w:r>
        <w:rPr>
          <w:rFonts w:ascii="楷体" w:hAnsi="楷体" w:eastAsia="楷体"/>
          <w:b w:val="0"/>
          <w:bCs/>
          <w:sz w:val="28"/>
          <w:szCs w:val="28"/>
        </w:rPr>
        <w:t>教育服务人员遵守甲方依法制订的规章制度，服从用工管理，保守甲方商</w:t>
      </w:r>
    </w:p>
    <w:p w14:paraId="6C91F696">
      <w:pPr>
        <w:numPr>
          <w:ilvl w:val="0"/>
          <w:numId w:val="0"/>
        </w:numPr>
        <w:rPr>
          <w:rFonts w:ascii="楷体" w:hAnsi="楷体" w:eastAsia="楷体"/>
          <w:b w:val="0"/>
          <w:bCs/>
          <w:sz w:val="28"/>
          <w:szCs w:val="28"/>
        </w:rPr>
      </w:pPr>
      <w:r>
        <w:rPr>
          <w:rFonts w:ascii="楷体" w:hAnsi="楷体" w:eastAsia="楷体"/>
          <w:b w:val="0"/>
          <w:bCs/>
          <w:sz w:val="28"/>
          <w:szCs w:val="28"/>
        </w:rPr>
        <w:t>业秘密，按照操作规范要求安全生产，努力工作。</w:t>
      </w:r>
    </w:p>
    <w:p w14:paraId="46A265D2">
      <w:pPr>
        <w:numPr>
          <w:ilvl w:val="0"/>
          <w:numId w:val="4"/>
        </w:numPr>
        <w:ind w:left="480" w:leftChars="0" w:firstLine="0" w:firstLineChars="0"/>
        <w:rPr>
          <w:rFonts w:hint="eastAsia" w:ascii="楷体" w:hAnsi="楷体" w:eastAsia="楷体"/>
          <w:b w:val="0"/>
          <w:bCs/>
          <w:sz w:val="28"/>
          <w:szCs w:val="28"/>
        </w:rPr>
      </w:pPr>
      <w:r>
        <w:rPr>
          <w:rFonts w:hint="eastAsia" w:ascii="楷体" w:hAnsi="楷体" w:eastAsia="楷体"/>
          <w:b w:val="0"/>
          <w:bCs/>
          <w:sz w:val="28"/>
          <w:szCs w:val="28"/>
        </w:rPr>
        <w:t>如变更服务人员，乙方需在保证完成甲方规定工作要求的前提下，征得甲</w:t>
      </w:r>
    </w:p>
    <w:p w14:paraId="36382C2C">
      <w:pPr>
        <w:numPr>
          <w:ilvl w:val="0"/>
          <w:numId w:val="0"/>
        </w:numPr>
        <w:rPr>
          <w:rFonts w:hint="eastAsia" w:ascii="楷体" w:hAnsi="楷体" w:eastAsia="楷体"/>
          <w:b w:val="0"/>
          <w:bCs/>
          <w:sz w:val="28"/>
          <w:szCs w:val="28"/>
        </w:rPr>
      </w:pPr>
      <w:r>
        <w:rPr>
          <w:rFonts w:hint="eastAsia" w:ascii="楷体" w:hAnsi="楷体" w:eastAsia="楷体"/>
          <w:b w:val="0"/>
          <w:bCs/>
          <w:sz w:val="28"/>
          <w:szCs w:val="28"/>
        </w:rPr>
        <w:t>方同意，方可进行人员更换。</w:t>
      </w:r>
    </w:p>
    <w:p w14:paraId="15306221">
      <w:pPr>
        <w:numPr>
          <w:ilvl w:val="0"/>
          <w:numId w:val="4"/>
        </w:numPr>
        <w:ind w:left="480" w:leftChars="0" w:firstLine="0" w:firstLineChars="0"/>
        <w:rPr>
          <w:rFonts w:hint="eastAsia" w:ascii="楷体" w:hAnsi="楷体" w:eastAsia="楷体"/>
          <w:b w:val="0"/>
          <w:bCs/>
          <w:sz w:val="28"/>
          <w:szCs w:val="28"/>
        </w:rPr>
      </w:pPr>
      <w:r>
        <w:rPr>
          <w:rFonts w:ascii="楷体" w:hAnsi="楷体" w:eastAsia="楷体"/>
          <w:b w:val="0"/>
          <w:bCs/>
          <w:sz w:val="28"/>
          <w:szCs w:val="28"/>
        </w:rPr>
        <w:t>根据协议附件中约定的项目和标准，在收到甲方支付的</w:t>
      </w:r>
      <w:r>
        <w:rPr>
          <w:rFonts w:hint="eastAsia" w:ascii="楷体" w:hAnsi="楷体" w:eastAsia="楷体"/>
          <w:b w:val="0"/>
          <w:bCs/>
          <w:sz w:val="28"/>
          <w:szCs w:val="28"/>
        </w:rPr>
        <w:t>费用</w:t>
      </w:r>
      <w:r>
        <w:rPr>
          <w:rFonts w:ascii="楷体" w:hAnsi="楷体" w:eastAsia="楷体"/>
          <w:b w:val="0"/>
          <w:bCs/>
          <w:sz w:val="28"/>
          <w:szCs w:val="28"/>
        </w:rPr>
        <w:t>后，每月</w:t>
      </w:r>
      <w:r>
        <w:rPr>
          <w:rFonts w:hint="eastAsia" w:ascii="楷体" w:hAnsi="楷体" w:eastAsia="楷体"/>
          <w:b w:val="0"/>
          <w:bCs/>
          <w:sz w:val="28"/>
          <w:szCs w:val="28"/>
        </w:rPr>
        <w:t>按时</w:t>
      </w:r>
    </w:p>
    <w:p w14:paraId="72C43EB8">
      <w:pPr>
        <w:numPr>
          <w:ilvl w:val="0"/>
          <w:numId w:val="0"/>
        </w:numPr>
        <w:rPr>
          <w:rFonts w:ascii="楷体" w:hAnsi="楷体" w:eastAsia="楷体"/>
          <w:b w:val="0"/>
          <w:bCs/>
          <w:sz w:val="28"/>
          <w:szCs w:val="28"/>
        </w:rPr>
      </w:pPr>
      <w:r>
        <w:rPr>
          <w:rFonts w:ascii="楷体" w:hAnsi="楷体" w:eastAsia="楷体"/>
          <w:b w:val="0"/>
          <w:bCs/>
          <w:sz w:val="28"/>
          <w:szCs w:val="28"/>
        </w:rPr>
        <w:t>以货币形式向服务人员发放劳动报酬，缴纳相应的社会保险费和住房公积金。</w:t>
      </w:r>
    </w:p>
    <w:p w14:paraId="3072EB4A">
      <w:pPr>
        <w:ind w:left="480"/>
        <w:rPr>
          <w:rFonts w:ascii="楷体" w:hAnsi="楷体" w:eastAsia="楷体"/>
          <w:b w:val="0"/>
          <w:bCs/>
          <w:sz w:val="28"/>
          <w:szCs w:val="28"/>
        </w:rPr>
      </w:pPr>
      <w:r>
        <w:rPr>
          <w:rFonts w:ascii="楷体" w:hAnsi="楷体" w:eastAsia="楷体"/>
          <w:b w:val="0"/>
          <w:bCs/>
          <w:sz w:val="28"/>
          <w:szCs w:val="28"/>
        </w:rPr>
        <w:t>6、依法代扣代缴服务人员的个人应缴社会保险费、公积金以及个人所得税。</w:t>
      </w:r>
    </w:p>
    <w:p w14:paraId="53D62E68">
      <w:pPr>
        <w:ind w:left="480"/>
        <w:rPr>
          <w:rFonts w:ascii="楷体" w:hAnsi="楷体" w:eastAsia="楷体"/>
          <w:b w:val="0"/>
          <w:bCs/>
          <w:sz w:val="28"/>
          <w:szCs w:val="28"/>
        </w:rPr>
      </w:pPr>
      <w:r>
        <w:rPr>
          <w:rFonts w:ascii="楷体" w:hAnsi="楷体" w:eastAsia="楷体"/>
          <w:b w:val="0"/>
          <w:bCs/>
          <w:sz w:val="28"/>
          <w:szCs w:val="28"/>
        </w:rPr>
        <w:t>7、在乙方权限范围内，为服务人员出具人事档案方面的相关证明。</w:t>
      </w:r>
    </w:p>
    <w:p w14:paraId="39984684">
      <w:pPr>
        <w:ind w:left="480"/>
        <w:rPr>
          <w:rFonts w:hint="eastAsia" w:ascii="楷体" w:hAnsi="楷体" w:eastAsia="楷体"/>
          <w:b w:val="0"/>
          <w:bCs/>
          <w:sz w:val="28"/>
          <w:szCs w:val="28"/>
        </w:rPr>
      </w:pPr>
      <w:r>
        <w:rPr>
          <w:rFonts w:hint="eastAsia" w:ascii="楷体" w:hAnsi="楷体" w:eastAsia="楷体"/>
          <w:b w:val="0"/>
          <w:bCs/>
          <w:sz w:val="28"/>
          <w:szCs w:val="28"/>
        </w:rPr>
        <w:t>8、乙方应接受甲方的监督、年度评估、重大事项的调查和纠纷处理，落实在</w:t>
      </w:r>
    </w:p>
    <w:p w14:paraId="6683FEA3">
      <w:pPr>
        <w:rPr>
          <w:rFonts w:ascii="楷体" w:hAnsi="楷体" w:eastAsia="楷体"/>
          <w:b w:val="0"/>
          <w:bCs/>
          <w:sz w:val="28"/>
          <w:szCs w:val="28"/>
        </w:rPr>
      </w:pPr>
      <w:r>
        <w:rPr>
          <w:rFonts w:hint="eastAsia" w:ascii="楷体" w:hAnsi="楷体" w:eastAsia="楷体"/>
          <w:b w:val="0"/>
          <w:bCs/>
          <w:sz w:val="28"/>
          <w:szCs w:val="28"/>
        </w:rPr>
        <w:t>考核评估中提出的问题和建议，不得泄露在工作中获悉的涉及工作服务对象个人隐私、涉及国家秘密等的相关信息，在服务期限终止后向采购人移交全部提供使用的专用房屋、有关财产、管理档案及有关工作服务对象的所有资料。</w:t>
      </w:r>
    </w:p>
    <w:p w14:paraId="35880A5C">
      <w:pPr>
        <w:ind w:left="480"/>
        <w:rPr>
          <w:rFonts w:ascii="楷体" w:hAnsi="楷体" w:eastAsia="楷体"/>
          <w:b w:val="0"/>
          <w:bCs/>
          <w:sz w:val="28"/>
          <w:szCs w:val="28"/>
        </w:rPr>
      </w:pPr>
      <w:r>
        <w:rPr>
          <w:rFonts w:hint="eastAsia" w:ascii="楷体" w:hAnsi="楷体" w:eastAsia="楷体"/>
          <w:b w:val="0"/>
          <w:bCs/>
          <w:sz w:val="28"/>
          <w:szCs w:val="28"/>
        </w:rPr>
        <w:t>9</w:t>
      </w:r>
      <w:r>
        <w:rPr>
          <w:rFonts w:ascii="楷体" w:hAnsi="楷体" w:eastAsia="楷体"/>
          <w:b w:val="0"/>
          <w:bCs/>
          <w:sz w:val="28"/>
          <w:szCs w:val="28"/>
        </w:rPr>
        <w:t>、根据相关约定为甲方提供劳动法律法规的咨询服务，以及劳动资讯信息。</w:t>
      </w:r>
    </w:p>
    <w:p w14:paraId="373B5EFD">
      <w:pPr>
        <w:keepNext w:val="0"/>
        <w:keepLines w:val="0"/>
        <w:pageBreakBefore w:val="0"/>
        <w:widowControl w:val="0"/>
        <w:kinsoku/>
        <w:wordWrap/>
        <w:overflowPunct/>
        <w:topLinePunct w:val="0"/>
        <w:autoSpaceDE/>
        <w:autoSpaceDN/>
        <w:bidi w:val="0"/>
        <w:adjustRightInd/>
        <w:snapToGrid/>
        <w:spacing w:before="157" w:beforeLines="50" w:line="840" w:lineRule="auto"/>
        <w:ind w:right="0"/>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rPr>
        <w:t>第五章  共同处理的事项</w:t>
      </w:r>
    </w:p>
    <w:p w14:paraId="15403BC6">
      <w:pPr>
        <w:ind w:left="480"/>
        <w:rPr>
          <w:rFonts w:ascii="楷体" w:hAnsi="楷体" w:eastAsia="楷体"/>
          <w:b w:val="0"/>
          <w:bCs/>
          <w:sz w:val="28"/>
          <w:szCs w:val="28"/>
        </w:rPr>
      </w:pPr>
      <w:r>
        <w:rPr>
          <w:rFonts w:hint="eastAsia" w:ascii="楷体" w:hAnsi="楷体" w:eastAsia="楷体"/>
          <w:b w:val="0"/>
          <w:bCs/>
          <w:sz w:val="28"/>
          <w:szCs w:val="28"/>
        </w:rPr>
        <w:t>1、</w:t>
      </w:r>
      <w:r>
        <w:rPr>
          <w:rFonts w:ascii="楷体" w:hAnsi="楷体" w:eastAsia="楷体"/>
          <w:b w:val="0"/>
          <w:bCs/>
          <w:sz w:val="28"/>
          <w:szCs w:val="28"/>
        </w:rPr>
        <w:t>告知服务人员有关在甲方提供服务的工作内容、工作条件、工作地点、职</w:t>
      </w:r>
    </w:p>
    <w:p w14:paraId="126C546B">
      <w:pPr>
        <w:rPr>
          <w:rFonts w:ascii="楷体" w:hAnsi="楷体" w:eastAsia="楷体"/>
          <w:b w:val="0"/>
          <w:bCs/>
          <w:sz w:val="28"/>
          <w:szCs w:val="28"/>
        </w:rPr>
      </w:pPr>
      <w:r>
        <w:rPr>
          <w:rFonts w:ascii="楷体" w:hAnsi="楷体" w:eastAsia="楷体"/>
          <w:b w:val="0"/>
          <w:bCs/>
          <w:sz w:val="28"/>
          <w:szCs w:val="28"/>
        </w:rPr>
        <w:t>业危害、安全生产状况、劳动报酬，应遵守的规章制度，以及劳动者要求了解的其他情况等。</w:t>
      </w:r>
    </w:p>
    <w:p w14:paraId="25FC8543">
      <w:pPr>
        <w:numPr>
          <w:ilvl w:val="0"/>
          <w:numId w:val="1"/>
        </w:numPr>
        <w:ind w:left="0" w:leftChars="0" w:firstLine="560" w:firstLineChars="200"/>
        <w:rPr>
          <w:rFonts w:ascii="楷体" w:hAnsi="楷体" w:eastAsia="楷体"/>
          <w:b w:val="0"/>
          <w:bCs/>
          <w:sz w:val="28"/>
          <w:szCs w:val="28"/>
        </w:rPr>
      </w:pPr>
      <w:r>
        <w:rPr>
          <w:rFonts w:ascii="楷体" w:hAnsi="楷体" w:eastAsia="楷体"/>
          <w:b w:val="0"/>
          <w:bCs/>
          <w:sz w:val="28"/>
          <w:szCs w:val="28"/>
        </w:rPr>
        <w:t>服务人员服务提供期间发生因工伤亡或患职业病，甲方须及时通知乙方，</w:t>
      </w:r>
    </w:p>
    <w:p w14:paraId="12B5C2B7">
      <w:pPr>
        <w:numPr>
          <w:ilvl w:val="0"/>
          <w:numId w:val="0"/>
        </w:numPr>
        <w:rPr>
          <w:rFonts w:ascii="楷体" w:hAnsi="楷体" w:eastAsia="楷体"/>
          <w:b w:val="0"/>
          <w:bCs/>
          <w:sz w:val="28"/>
          <w:szCs w:val="28"/>
        </w:rPr>
      </w:pPr>
      <w:r>
        <w:rPr>
          <w:rFonts w:ascii="楷体" w:hAnsi="楷体" w:eastAsia="楷体"/>
          <w:b w:val="0"/>
          <w:bCs/>
          <w:sz w:val="28"/>
          <w:szCs w:val="28"/>
        </w:rPr>
        <w:t>由甲、乙双方共同处理。工伤申报、鉴定、理赔等手续由乙方负责办理，</w:t>
      </w:r>
      <w:r>
        <w:rPr>
          <w:rFonts w:ascii="楷体" w:hAnsi="楷体" w:eastAsia="楷体"/>
          <w:b w:val="0"/>
          <w:bCs/>
          <w:color w:val="000000"/>
          <w:sz w:val="28"/>
          <w:szCs w:val="28"/>
        </w:rPr>
        <w:t>甲方需配合乙方在相关书面材料上加盖公章。</w:t>
      </w:r>
      <w:r>
        <w:rPr>
          <w:rFonts w:ascii="楷体" w:hAnsi="楷体" w:eastAsia="楷体"/>
          <w:b w:val="0"/>
          <w:bCs/>
          <w:sz w:val="28"/>
          <w:szCs w:val="28"/>
        </w:rPr>
        <w:t>有关工伤保险待遇，按照相关法规执行。</w:t>
      </w:r>
    </w:p>
    <w:p w14:paraId="009D0971">
      <w:pPr>
        <w:numPr>
          <w:ilvl w:val="0"/>
          <w:numId w:val="1"/>
        </w:numPr>
        <w:ind w:left="0" w:leftChars="0" w:firstLine="560" w:firstLineChars="200"/>
        <w:rPr>
          <w:rFonts w:ascii="楷体" w:hAnsi="楷体" w:eastAsia="楷体"/>
          <w:b w:val="0"/>
          <w:bCs/>
          <w:sz w:val="28"/>
          <w:szCs w:val="28"/>
        </w:rPr>
      </w:pPr>
      <w:r>
        <w:rPr>
          <w:rFonts w:ascii="楷体" w:hAnsi="楷体" w:eastAsia="楷体"/>
          <w:b w:val="0"/>
          <w:bCs/>
          <w:sz w:val="28"/>
          <w:szCs w:val="28"/>
        </w:rPr>
        <w:t>服务人员</w:t>
      </w:r>
      <w:r>
        <w:rPr>
          <w:rFonts w:hint="eastAsia" w:ascii="楷体" w:hAnsi="楷体" w:eastAsia="楷体"/>
          <w:b w:val="0"/>
          <w:bCs/>
          <w:sz w:val="28"/>
          <w:szCs w:val="28"/>
        </w:rPr>
        <w:t>因在提供服务期间违纪、失职或不适应服务工作要求与乙方</w:t>
      </w:r>
      <w:r>
        <w:rPr>
          <w:rFonts w:ascii="楷体" w:hAnsi="楷体" w:eastAsia="楷体"/>
          <w:b w:val="0"/>
          <w:bCs/>
          <w:sz w:val="28"/>
          <w:szCs w:val="28"/>
        </w:rPr>
        <w:t>发生劳动争议，引起仲裁或诉讼，甲、乙双方均应相互配合，提供相应的证据。</w:t>
      </w:r>
    </w:p>
    <w:p w14:paraId="5D26F587">
      <w:pPr>
        <w:numPr>
          <w:ilvl w:val="0"/>
          <w:numId w:val="1"/>
        </w:numPr>
        <w:ind w:left="0" w:leftChars="0" w:firstLine="560" w:firstLineChars="200"/>
        <w:rPr>
          <w:rFonts w:ascii="楷体" w:hAnsi="楷体" w:eastAsia="楷体"/>
          <w:b w:val="0"/>
          <w:bCs/>
          <w:sz w:val="28"/>
          <w:szCs w:val="28"/>
        </w:rPr>
      </w:pPr>
      <w:r>
        <w:rPr>
          <w:rFonts w:ascii="楷体" w:hAnsi="楷体" w:eastAsia="楷体"/>
          <w:b w:val="0"/>
          <w:bCs/>
          <w:sz w:val="28"/>
          <w:szCs w:val="28"/>
        </w:rPr>
        <w:t>甲、乙任何一方因业务需要，调整联系人或搬迁新办公地址，均应提前</w:t>
      </w:r>
    </w:p>
    <w:p w14:paraId="43794D97">
      <w:pPr>
        <w:numPr>
          <w:ilvl w:val="0"/>
          <w:numId w:val="0"/>
        </w:numPr>
        <w:rPr>
          <w:rFonts w:hint="eastAsia" w:ascii="楷体" w:hAnsi="楷体" w:eastAsia="楷体"/>
          <w:b w:val="0"/>
          <w:bCs/>
          <w:sz w:val="28"/>
          <w:szCs w:val="28"/>
        </w:rPr>
      </w:pPr>
      <w:r>
        <w:rPr>
          <w:rFonts w:ascii="楷体" w:hAnsi="楷体" w:eastAsia="楷体"/>
          <w:b w:val="0"/>
          <w:bCs/>
          <w:sz w:val="28"/>
          <w:szCs w:val="28"/>
        </w:rPr>
        <w:t>15天以书面形式通知另一方。如因未及时通知而造成对方损失的，应承担相应的责任。</w:t>
      </w:r>
    </w:p>
    <w:p w14:paraId="15A041E2">
      <w:pPr>
        <w:keepNext w:val="0"/>
        <w:keepLines w:val="0"/>
        <w:pageBreakBefore w:val="0"/>
        <w:widowControl w:val="0"/>
        <w:kinsoku/>
        <w:wordWrap/>
        <w:overflowPunct/>
        <w:topLinePunct w:val="0"/>
        <w:autoSpaceDE/>
        <w:autoSpaceDN/>
        <w:bidi w:val="0"/>
        <w:adjustRightInd/>
        <w:snapToGrid/>
        <w:spacing w:before="157" w:beforeLines="50" w:line="840" w:lineRule="auto"/>
        <w:ind w:right="0"/>
        <w:jc w:val="center"/>
        <w:textAlignment w:val="auto"/>
        <w:rPr>
          <w:rFonts w:ascii="楷体" w:hAnsi="楷体" w:eastAsia="楷体"/>
          <w:b/>
          <w:bCs w:val="0"/>
          <w:sz w:val="28"/>
          <w:szCs w:val="28"/>
        </w:rPr>
      </w:pPr>
      <w:r>
        <w:rPr>
          <w:rFonts w:hint="eastAsia" w:ascii="楷体" w:hAnsi="楷体" w:eastAsia="楷体"/>
          <w:b/>
          <w:bCs w:val="0"/>
          <w:sz w:val="32"/>
          <w:szCs w:val="32"/>
        </w:rPr>
        <w:t>第六章</w:t>
      </w:r>
      <w:r>
        <w:rPr>
          <w:rFonts w:ascii="楷体" w:hAnsi="楷体" w:eastAsia="楷体"/>
          <w:b/>
          <w:bCs w:val="0"/>
          <w:sz w:val="28"/>
          <w:szCs w:val="28"/>
        </w:rPr>
        <w:t xml:space="preserve">  </w:t>
      </w:r>
      <w:r>
        <w:rPr>
          <w:rFonts w:ascii="楷体" w:hAnsi="楷体" w:eastAsia="楷体"/>
          <w:b/>
          <w:bCs w:val="0"/>
          <w:sz w:val="32"/>
          <w:szCs w:val="32"/>
        </w:rPr>
        <w:t>违约责任与争议</w:t>
      </w:r>
    </w:p>
    <w:p w14:paraId="6814CEA4">
      <w:pPr>
        <w:ind w:firstLine="560" w:firstLineChars="200"/>
        <w:rPr>
          <w:rFonts w:ascii="楷体" w:hAnsi="楷体" w:eastAsia="楷体"/>
          <w:b w:val="0"/>
          <w:bCs/>
          <w:sz w:val="28"/>
          <w:szCs w:val="28"/>
        </w:rPr>
      </w:pPr>
      <w:r>
        <w:rPr>
          <w:rFonts w:hint="eastAsia" w:ascii="楷体" w:hAnsi="楷体" w:eastAsia="楷体"/>
          <w:b w:val="0"/>
          <w:bCs/>
          <w:sz w:val="28"/>
          <w:szCs w:val="28"/>
        </w:rPr>
        <w:t>1、</w:t>
      </w:r>
      <w:r>
        <w:rPr>
          <w:rFonts w:ascii="楷体" w:hAnsi="楷体" w:eastAsia="楷体"/>
          <w:b w:val="0"/>
          <w:bCs/>
          <w:sz w:val="28"/>
          <w:szCs w:val="28"/>
        </w:rPr>
        <w:t>甲方未按本协议和附件的约定按时足额支付</w:t>
      </w:r>
      <w:r>
        <w:rPr>
          <w:rFonts w:hint="eastAsia" w:ascii="楷体" w:hAnsi="楷体" w:eastAsia="楷体"/>
          <w:b w:val="0"/>
          <w:bCs/>
          <w:sz w:val="28"/>
          <w:szCs w:val="28"/>
        </w:rPr>
        <w:t>服务</w:t>
      </w:r>
      <w:r>
        <w:rPr>
          <w:rFonts w:ascii="楷体" w:hAnsi="楷体" w:eastAsia="楷体"/>
          <w:b w:val="0"/>
          <w:bCs/>
          <w:sz w:val="28"/>
          <w:szCs w:val="28"/>
        </w:rPr>
        <w:t>费的，除应足额支付外，</w:t>
      </w:r>
    </w:p>
    <w:p w14:paraId="2559E0E3">
      <w:pPr>
        <w:rPr>
          <w:rFonts w:ascii="楷体" w:hAnsi="楷体" w:eastAsia="楷体"/>
          <w:b w:val="0"/>
          <w:bCs/>
          <w:sz w:val="28"/>
          <w:szCs w:val="28"/>
          <w:lang w:val="zh-CN"/>
        </w:rPr>
      </w:pPr>
      <w:r>
        <w:rPr>
          <w:rFonts w:ascii="楷体" w:hAnsi="楷体" w:eastAsia="楷体"/>
          <w:b w:val="0"/>
          <w:bCs/>
          <w:sz w:val="28"/>
          <w:szCs w:val="28"/>
        </w:rPr>
        <w:t>还应自应付款之日起至实际支付之日止，每日支付应付款金额2</w:t>
      </w:r>
      <w:r>
        <w:rPr>
          <w:rFonts w:hint="eastAsia" w:ascii="楷体" w:hAnsi="楷体" w:eastAsia="楷体"/>
          <w:b w:val="0"/>
          <w:bCs/>
          <w:sz w:val="28"/>
          <w:szCs w:val="28"/>
          <w:lang w:val="en-US" w:eastAsia="zh-CN"/>
        </w:rPr>
        <w:t>%</w:t>
      </w:r>
      <w:r>
        <w:rPr>
          <w:rFonts w:ascii="楷体" w:hAnsi="楷体" w:eastAsia="楷体"/>
          <w:b w:val="0"/>
          <w:bCs/>
          <w:sz w:val="28"/>
          <w:szCs w:val="28"/>
        </w:rPr>
        <w:t>的滞纳金给乙方。</w:t>
      </w:r>
    </w:p>
    <w:p w14:paraId="4747E55F">
      <w:pPr>
        <w:numPr>
          <w:ilvl w:val="0"/>
          <w:numId w:val="0"/>
        </w:numPr>
        <w:ind w:firstLine="560" w:firstLineChars="200"/>
        <w:rPr>
          <w:rFonts w:hint="eastAsia" w:ascii="楷体" w:hAnsi="楷体" w:eastAsia="楷体"/>
          <w:b w:val="0"/>
          <w:bCs/>
          <w:sz w:val="28"/>
          <w:szCs w:val="28"/>
          <w:lang w:val="zh-CN"/>
        </w:rPr>
      </w:pPr>
      <w:r>
        <w:rPr>
          <w:rFonts w:hint="eastAsia" w:ascii="楷体" w:hAnsi="楷体" w:eastAsia="楷体"/>
          <w:b w:val="0"/>
          <w:bCs/>
          <w:sz w:val="28"/>
          <w:szCs w:val="28"/>
          <w:lang w:val="en-US" w:eastAsia="zh-CN"/>
        </w:rPr>
        <w:t>2、</w:t>
      </w:r>
      <w:r>
        <w:rPr>
          <w:rFonts w:hint="eastAsia" w:ascii="楷体" w:hAnsi="楷体" w:eastAsia="楷体"/>
          <w:b w:val="0"/>
          <w:bCs/>
          <w:sz w:val="28"/>
          <w:szCs w:val="28"/>
          <w:lang w:val="zh-CN"/>
        </w:rPr>
        <w:t>乙方提供的项目服务不符合协议约定标准的，甲方有权要求乙方进行整</w:t>
      </w:r>
    </w:p>
    <w:p w14:paraId="7025D6FB">
      <w:pPr>
        <w:numPr>
          <w:ilvl w:val="0"/>
          <w:numId w:val="0"/>
        </w:numPr>
        <w:rPr>
          <w:rFonts w:hint="eastAsia" w:ascii="楷体" w:hAnsi="楷体" w:eastAsia="楷体"/>
          <w:b w:val="0"/>
          <w:bCs/>
          <w:sz w:val="28"/>
          <w:szCs w:val="28"/>
          <w:lang w:val="zh-CN"/>
        </w:rPr>
      </w:pPr>
      <w:r>
        <w:rPr>
          <w:rFonts w:hint="eastAsia" w:ascii="楷体" w:hAnsi="楷体" w:eastAsia="楷体"/>
          <w:b w:val="0"/>
          <w:bCs/>
          <w:sz w:val="28"/>
          <w:szCs w:val="28"/>
          <w:lang w:val="zh-CN"/>
        </w:rPr>
        <w:t>改，乙方经整改后仍无法符合协议约定的，甲方有权解除本协议，</w:t>
      </w:r>
      <w:r>
        <w:rPr>
          <w:rFonts w:hint="eastAsia" w:ascii="楷体" w:hAnsi="楷体" w:eastAsia="楷体"/>
          <w:b w:val="0"/>
          <w:bCs/>
          <w:sz w:val="28"/>
          <w:szCs w:val="28"/>
        </w:rPr>
        <w:t>并不予支付任何费用，由此产生的乙方人员遣散或劳动合同终止履行，均与甲方无关，由乙方自负</w:t>
      </w:r>
      <w:r>
        <w:rPr>
          <w:rFonts w:hint="eastAsia" w:ascii="楷体" w:hAnsi="楷体" w:eastAsia="楷体"/>
          <w:b w:val="0"/>
          <w:bCs/>
          <w:sz w:val="28"/>
          <w:szCs w:val="28"/>
          <w:lang w:val="zh-CN"/>
        </w:rPr>
        <w:t>。</w:t>
      </w:r>
    </w:p>
    <w:p w14:paraId="34B6F420">
      <w:pPr>
        <w:numPr>
          <w:ilvl w:val="0"/>
          <w:numId w:val="0"/>
        </w:numPr>
        <w:ind w:firstLine="560" w:firstLineChars="200"/>
        <w:rPr>
          <w:rFonts w:ascii="楷体" w:hAnsi="楷体" w:eastAsia="楷体"/>
          <w:b w:val="0"/>
          <w:bCs/>
          <w:sz w:val="28"/>
          <w:szCs w:val="28"/>
        </w:rPr>
      </w:pPr>
      <w:r>
        <w:rPr>
          <w:rFonts w:hint="eastAsia" w:ascii="楷体" w:hAnsi="楷体" w:eastAsia="楷体"/>
          <w:b w:val="0"/>
          <w:bCs/>
          <w:sz w:val="28"/>
          <w:szCs w:val="28"/>
          <w:lang w:val="en-US" w:eastAsia="zh-CN"/>
        </w:rPr>
        <w:t>3、</w:t>
      </w:r>
      <w:r>
        <w:rPr>
          <w:rFonts w:ascii="楷体" w:hAnsi="楷体" w:eastAsia="楷体"/>
          <w:b w:val="0"/>
          <w:bCs/>
          <w:sz w:val="28"/>
          <w:szCs w:val="28"/>
        </w:rPr>
        <w:t>本协议签订生效后，对甲、乙双方即具有约束力，任何一方未履行本协</w:t>
      </w:r>
    </w:p>
    <w:p w14:paraId="7AF5A984">
      <w:pPr>
        <w:numPr>
          <w:ilvl w:val="0"/>
          <w:numId w:val="0"/>
        </w:numPr>
        <w:rPr>
          <w:rFonts w:ascii="楷体" w:hAnsi="楷体" w:eastAsia="楷体"/>
          <w:b w:val="0"/>
          <w:bCs/>
          <w:sz w:val="28"/>
          <w:szCs w:val="28"/>
        </w:rPr>
      </w:pPr>
      <w:r>
        <w:rPr>
          <w:rFonts w:ascii="楷体" w:hAnsi="楷体" w:eastAsia="楷体"/>
          <w:b w:val="0"/>
          <w:bCs/>
          <w:sz w:val="28"/>
          <w:szCs w:val="28"/>
        </w:rPr>
        <w:t>议约定义务构成违约的，应承担由此给对方造成的相应经济损失。</w:t>
      </w:r>
    </w:p>
    <w:p w14:paraId="39E6A961">
      <w:pPr>
        <w:numPr>
          <w:ilvl w:val="0"/>
          <w:numId w:val="0"/>
        </w:numPr>
        <w:ind w:firstLine="560" w:firstLineChars="200"/>
        <w:rPr>
          <w:rFonts w:hint="eastAsia" w:ascii="楷体" w:hAnsi="楷体" w:eastAsia="楷体"/>
          <w:b w:val="0"/>
          <w:bCs/>
          <w:sz w:val="28"/>
          <w:szCs w:val="28"/>
        </w:rPr>
      </w:pPr>
      <w:r>
        <w:rPr>
          <w:rFonts w:hint="eastAsia" w:ascii="楷体" w:hAnsi="楷体" w:eastAsia="楷体"/>
          <w:b w:val="0"/>
          <w:bCs/>
          <w:sz w:val="28"/>
          <w:szCs w:val="28"/>
          <w:lang w:val="en-US" w:eastAsia="zh-CN"/>
        </w:rPr>
        <w:t>4、</w:t>
      </w:r>
      <w:r>
        <w:rPr>
          <w:rFonts w:hint="eastAsia" w:ascii="楷体" w:hAnsi="楷体" w:eastAsia="楷体"/>
          <w:b w:val="0"/>
          <w:bCs/>
          <w:sz w:val="28"/>
          <w:szCs w:val="28"/>
        </w:rPr>
        <w:t>甲方认为乙方工作人员不称职，通知乙方更换的，乙方应在接到更换通</w:t>
      </w:r>
    </w:p>
    <w:p w14:paraId="45D5E474">
      <w:pPr>
        <w:numPr>
          <w:ilvl w:val="0"/>
          <w:numId w:val="0"/>
        </w:numPr>
        <w:rPr>
          <w:rFonts w:hint="eastAsia" w:ascii="楷体" w:hAnsi="楷体" w:eastAsia="楷体"/>
          <w:b w:val="0"/>
          <w:bCs/>
          <w:sz w:val="28"/>
          <w:szCs w:val="28"/>
        </w:rPr>
      </w:pPr>
      <w:r>
        <w:rPr>
          <w:rFonts w:hint="eastAsia" w:ascii="楷体" w:hAnsi="楷体" w:eastAsia="楷体"/>
          <w:b w:val="0"/>
          <w:bCs/>
          <w:sz w:val="28"/>
          <w:szCs w:val="28"/>
        </w:rPr>
        <w:t>知后7天内向甲方提出书面的改进报告。甲方收到改进报告后仍要求更换的，乙方应在接到第二次更换通知的30天内进行更换，并将新聘用的项目组人员情况通知甲方。乙方无正当理由拒绝更换的，应承担1000元/人/次的违约责任。</w:t>
      </w:r>
    </w:p>
    <w:p w14:paraId="2DBA73D6">
      <w:pPr>
        <w:numPr>
          <w:ilvl w:val="0"/>
          <w:numId w:val="0"/>
        </w:numPr>
        <w:ind w:firstLine="560" w:firstLineChars="200"/>
        <w:rPr>
          <w:rFonts w:ascii="楷体" w:hAnsi="楷体" w:eastAsia="楷体"/>
          <w:b w:val="0"/>
          <w:bCs/>
          <w:sz w:val="28"/>
          <w:szCs w:val="28"/>
        </w:rPr>
      </w:pPr>
      <w:r>
        <w:rPr>
          <w:rFonts w:hint="eastAsia" w:ascii="楷体" w:hAnsi="楷体" w:eastAsia="楷体"/>
          <w:b w:val="0"/>
          <w:bCs/>
          <w:sz w:val="28"/>
          <w:szCs w:val="28"/>
          <w:lang w:val="en-US" w:eastAsia="zh-CN"/>
        </w:rPr>
        <w:t>5、</w:t>
      </w:r>
      <w:r>
        <w:rPr>
          <w:rFonts w:ascii="楷体" w:hAnsi="楷体" w:eastAsia="楷体"/>
          <w:b w:val="0"/>
          <w:bCs/>
          <w:sz w:val="28"/>
          <w:szCs w:val="28"/>
        </w:rPr>
        <w:t>甲、乙双方在履行本协议的过程中，如发生争议，应由争议方书面告知</w:t>
      </w:r>
    </w:p>
    <w:p w14:paraId="5393B768">
      <w:pPr>
        <w:numPr>
          <w:ilvl w:val="0"/>
          <w:numId w:val="0"/>
        </w:numPr>
        <w:rPr>
          <w:rFonts w:ascii="楷体" w:hAnsi="楷体" w:eastAsia="楷体"/>
          <w:b w:val="0"/>
          <w:bCs/>
          <w:sz w:val="28"/>
          <w:szCs w:val="28"/>
        </w:rPr>
      </w:pPr>
      <w:r>
        <w:rPr>
          <w:rFonts w:ascii="楷体" w:hAnsi="楷体" w:eastAsia="楷体"/>
          <w:b w:val="0"/>
          <w:bCs/>
          <w:sz w:val="28"/>
          <w:szCs w:val="28"/>
        </w:rPr>
        <w:t>对方争议内容，由双方友好协商解决，达成互谅协议的，可作书面记录，经双方签章后，作为本协议附件；如协商不成，争议方可向</w:t>
      </w:r>
      <w:r>
        <w:rPr>
          <w:rFonts w:hint="eastAsia" w:ascii="楷体" w:hAnsi="楷体" w:eastAsia="楷体"/>
          <w:b w:val="0"/>
          <w:bCs/>
          <w:sz w:val="28"/>
          <w:szCs w:val="28"/>
        </w:rPr>
        <w:t>甲</w:t>
      </w:r>
      <w:r>
        <w:rPr>
          <w:rFonts w:ascii="楷体" w:hAnsi="楷体" w:eastAsia="楷体"/>
          <w:b w:val="0"/>
          <w:bCs/>
          <w:sz w:val="28"/>
          <w:szCs w:val="28"/>
        </w:rPr>
        <w:t>方所在地人民法院提起诉讼。在诉讼期内，除争议部分外，其余条款应继续履行。</w:t>
      </w:r>
    </w:p>
    <w:p w14:paraId="580D0755">
      <w:pPr>
        <w:keepNext w:val="0"/>
        <w:keepLines w:val="0"/>
        <w:pageBreakBefore w:val="0"/>
        <w:widowControl w:val="0"/>
        <w:kinsoku/>
        <w:wordWrap/>
        <w:overflowPunct/>
        <w:topLinePunct w:val="0"/>
        <w:autoSpaceDE/>
        <w:autoSpaceDN/>
        <w:bidi w:val="0"/>
        <w:adjustRightInd/>
        <w:snapToGrid/>
        <w:spacing w:before="157" w:beforeLines="50" w:line="840" w:lineRule="auto"/>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rPr>
        <w:t>第</w:t>
      </w:r>
      <w:r>
        <w:rPr>
          <w:rFonts w:hint="eastAsia" w:ascii="楷体" w:hAnsi="楷体" w:eastAsia="楷体" w:cs="Times New Roman"/>
          <w:b/>
          <w:bCs w:val="0"/>
          <w:sz w:val="32"/>
          <w:szCs w:val="32"/>
          <w:lang w:val="en-US" w:eastAsia="zh-CN"/>
        </w:rPr>
        <w:t xml:space="preserve">七章 </w:t>
      </w:r>
      <w:r>
        <w:rPr>
          <w:rFonts w:hint="eastAsia" w:ascii="楷体" w:hAnsi="楷体" w:eastAsia="楷体" w:cs="Times New Roman"/>
          <w:b/>
          <w:bCs w:val="0"/>
          <w:sz w:val="32"/>
          <w:szCs w:val="32"/>
        </w:rPr>
        <w:t>保密条款</w:t>
      </w:r>
    </w:p>
    <w:p w14:paraId="61720283">
      <w:pPr>
        <w:ind w:left="559" w:leftChars="266"/>
        <w:rPr>
          <w:rFonts w:hint="eastAsia" w:ascii="楷体" w:hAnsi="楷体" w:eastAsia="楷体" w:cs="Times New Roman"/>
          <w:b w:val="0"/>
          <w:bCs/>
          <w:sz w:val="28"/>
          <w:szCs w:val="28"/>
        </w:rPr>
      </w:pPr>
      <w:r>
        <w:rPr>
          <w:rFonts w:hint="eastAsia" w:ascii="楷体" w:hAnsi="楷体" w:eastAsia="楷体" w:cs="Times New Roman"/>
          <w:b w:val="0"/>
          <w:bCs/>
          <w:sz w:val="28"/>
          <w:szCs w:val="28"/>
        </w:rPr>
        <w:t>1、乙方应遵守国家有关保密的法律法规和行业规定，并对甲方提供的资料</w:t>
      </w:r>
    </w:p>
    <w:p w14:paraId="07283B16">
      <w:pPr>
        <w:rPr>
          <w:rFonts w:hint="eastAsia" w:ascii="楷体" w:hAnsi="楷体" w:eastAsia="楷体" w:cs="Times New Roman"/>
          <w:b w:val="0"/>
          <w:bCs/>
          <w:sz w:val="28"/>
          <w:szCs w:val="28"/>
          <w:lang w:eastAsia="zh-CN"/>
        </w:rPr>
      </w:pPr>
      <w:r>
        <w:rPr>
          <w:rFonts w:hint="eastAsia" w:ascii="楷体" w:hAnsi="楷体" w:eastAsia="楷体" w:cs="Times New Roman"/>
          <w:b w:val="0"/>
          <w:bCs/>
          <w:sz w:val="28"/>
          <w:szCs w:val="28"/>
        </w:rPr>
        <w:t>负有保密义务。未经甲方同意，不得将承接政府公共服务项目获得的政府、公民个人等各种信息和资料提供给其他单位和个人。如发生以上情况，甲方有权索赔</w:t>
      </w:r>
      <w:r>
        <w:rPr>
          <w:rFonts w:hint="eastAsia" w:ascii="楷体" w:hAnsi="楷体" w:eastAsia="楷体" w:cs="Times New Roman"/>
          <w:b w:val="0"/>
          <w:bCs/>
          <w:sz w:val="28"/>
          <w:szCs w:val="28"/>
          <w:lang w:eastAsia="zh-CN"/>
        </w:rPr>
        <w:t>；</w:t>
      </w:r>
    </w:p>
    <w:p w14:paraId="5A743BE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楷体" w:hAnsi="楷体" w:eastAsia="楷体" w:cs="Times New Roman"/>
          <w:b w:val="0"/>
          <w:bCs/>
          <w:sz w:val="28"/>
          <w:szCs w:val="28"/>
        </w:rPr>
      </w:pPr>
      <w:r>
        <w:rPr>
          <w:rFonts w:hint="eastAsia" w:ascii="楷体" w:hAnsi="楷体" w:eastAsia="楷体" w:cs="Times New Roman"/>
          <w:b w:val="0"/>
          <w:bCs/>
          <w:sz w:val="28"/>
          <w:szCs w:val="28"/>
          <w:lang w:val="en-US" w:eastAsia="zh-CN"/>
        </w:rPr>
        <w:t>2、</w:t>
      </w:r>
      <w:r>
        <w:rPr>
          <w:rFonts w:hint="eastAsia" w:ascii="楷体" w:hAnsi="楷体" w:eastAsia="楷体" w:cs="Times New Roman"/>
          <w:b w:val="0"/>
          <w:bCs/>
          <w:sz w:val="28"/>
          <w:szCs w:val="28"/>
        </w:rPr>
        <w:t>甲方有义务保护乙方的知识产权，未经乙方同意，不得将乙方交付的具</w:t>
      </w:r>
    </w:p>
    <w:p w14:paraId="33193F2B">
      <w:pPr>
        <w:numPr>
          <w:ilvl w:val="0"/>
          <w:numId w:val="0"/>
        </w:numPr>
        <w:rPr>
          <w:rFonts w:ascii="楷体" w:hAnsi="楷体" w:eastAsia="楷体"/>
          <w:b w:val="0"/>
          <w:bCs/>
          <w:sz w:val="32"/>
          <w:szCs w:val="32"/>
        </w:rPr>
      </w:pPr>
      <w:r>
        <w:rPr>
          <w:rFonts w:hint="eastAsia" w:ascii="楷体" w:hAnsi="楷体" w:eastAsia="楷体" w:cs="Times New Roman"/>
          <w:b w:val="0"/>
          <w:bCs/>
          <w:sz w:val="28"/>
          <w:szCs w:val="28"/>
        </w:rPr>
        <w:t>有知识产权性质的成果文件、资料向第三方转让或用于本合同以外的项目。如发生以上情况，乙方有权索赔，但甲方依据相关法定职责对外公开的除外。</w:t>
      </w:r>
    </w:p>
    <w:p w14:paraId="771F849B">
      <w:pPr>
        <w:keepNext w:val="0"/>
        <w:keepLines w:val="0"/>
        <w:pageBreakBefore w:val="0"/>
        <w:widowControl w:val="0"/>
        <w:kinsoku/>
        <w:wordWrap/>
        <w:overflowPunct/>
        <w:topLinePunct w:val="0"/>
        <w:autoSpaceDE/>
        <w:autoSpaceDN/>
        <w:bidi w:val="0"/>
        <w:adjustRightInd/>
        <w:snapToGrid/>
        <w:spacing w:before="157" w:beforeLines="50" w:line="840" w:lineRule="auto"/>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rPr>
        <w:t>第</w:t>
      </w:r>
      <w:r>
        <w:rPr>
          <w:rFonts w:hint="eastAsia" w:ascii="楷体" w:hAnsi="楷体" w:eastAsia="楷体" w:cs="Times New Roman"/>
          <w:b/>
          <w:bCs w:val="0"/>
          <w:sz w:val="32"/>
          <w:szCs w:val="32"/>
          <w:lang w:val="en-US" w:eastAsia="zh-CN"/>
        </w:rPr>
        <w:t xml:space="preserve">八章 </w:t>
      </w:r>
      <w:r>
        <w:rPr>
          <w:rFonts w:hint="eastAsia" w:ascii="楷体" w:hAnsi="楷体" w:eastAsia="楷体" w:cs="Times New Roman"/>
          <w:b/>
          <w:bCs w:val="0"/>
          <w:sz w:val="32"/>
          <w:szCs w:val="32"/>
        </w:rPr>
        <w:t>不可抗力</w:t>
      </w:r>
    </w:p>
    <w:p w14:paraId="7A2450F0">
      <w:pPr>
        <w:numPr>
          <w:ilvl w:val="0"/>
          <w:numId w:val="0"/>
        </w:numPr>
        <w:ind w:firstLine="560" w:firstLineChars="200"/>
        <w:rPr>
          <w:rFonts w:hint="eastAsia" w:ascii="楷体" w:hAnsi="楷体" w:eastAsia="楷体" w:cs="Times New Roman"/>
          <w:b w:val="0"/>
          <w:bCs/>
          <w:sz w:val="28"/>
          <w:szCs w:val="28"/>
        </w:rPr>
      </w:pPr>
      <w:r>
        <w:rPr>
          <w:rFonts w:hint="eastAsia" w:ascii="楷体" w:hAnsi="楷体" w:eastAsia="楷体" w:cs="Times New Roman"/>
          <w:b w:val="0"/>
          <w:bCs/>
          <w:sz w:val="28"/>
          <w:szCs w:val="28"/>
        </w:rPr>
        <w:t>任何一方由于不可抗力原因不能履行合同时，应在不可抗力事件发生后1日内向对方通报，以减轻可能给对方造成的损失，在取得有关机构的不可抗力证明或双方谅解确认后，允许延期履行或修订合同，并可根据具体情况部分或全部免于承担违约责任。</w:t>
      </w:r>
    </w:p>
    <w:p w14:paraId="6DEC5481">
      <w:pPr>
        <w:keepNext w:val="0"/>
        <w:keepLines w:val="0"/>
        <w:pageBreakBefore w:val="0"/>
        <w:widowControl w:val="0"/>
        <w:kinsoku/>
        <w:wordWrap/>
        <w:overflowPunct/>
        <w:topLinePunct w:val="0"/>
        <w:autoSpaceDE/>
        <w:autoSpaceDN/>
        <w:bidi w:val="0"/>
        <w:adjustRightInd/>
        <w:snapToGrid/>
        <w:spacing w:before="157" w:beforeLines="50" w:line="840" w:lineRule="auto"/>
        <w:jc w:val="center"/>
        <w:textAlignment w:val="auto"/>
        <w:rPr>
          <w:rFonts w:hint="eastAsia" w:ascii="楷体" w:hAnsi="楷体" w:eastAsia="楷体" w:cs="Times New Roman"/>
          <w:b/>
          <w:bCs w:val="0"/>
          <w:sz w:val="32"/>
          <w:szCs w:val="32"/>
        </w:rPr>
      </w:pPr>
      <w:r>
        <w:rPr>
          <w:rFonts w:hint="eastAsia" w:ascii="楷体" w:hAnsi="楷体" w:eastAsia="楷体" w:cs="Times New Roman"/>
          <w:b/>
          <w:bCs w:val="0"/>
          <w:sz w:val="32"/>
          <w:szCs w:val="32"/>
        </w:rPr>
        <w:t>第</w:t>
      </w:r>
      <w:r>
        <w:rPr>
          <w:rFonts w:hint="eastAsia" w:ascii="楷体" w:hAnsi="楷体" w:eastAsia="楷体" w:cs="Times New Roman"/>
          <w:b/>
          <w:bCs w:val="0"/>
          <w:sz w:val="32"/>
          <w:szCs w:val="32"/>
          <w:lang w:val="en-US" w:eastAsia="zh-CN"/>
        </w:rPr>
        <w:t xml:space="preserve">九章  </w:t>
      </w:r>
      <w:r>
        <w:rPr>
          <w:rFonts w:hint="eastAsia" w:ascii="楷体" w:hAnsi="楷体" w:eastAsia="楷体" w:cs="Times New Roman"/>
          <w:b/>
          <w:bCs w:val="0"/>
          <w:sz w:val="32"/>
          <w:szCs w:val="32"/>
        </w:rPr>
        <w:t>税费发生与履行</w:t>
      </w:r>
    </w:p>
    <w:p w14:paraId="2052160C">
      <w:pPr>
        <w:numPr>
          <w:ilvl w:val="0"/>
          <w:numId w:val="0"/>
        </w:numPr>
        <w:ind w:firstLine="560" w:firstLineChars="200"/>
        <w:rPr>
          <w:rFonts w:hint="eastAsia" w:ascii="楷体" w:hAnsi="楷体" w:eastAsia="楷体" w:cs="Times New Roman"/>
          <w:b w:val="0"/>
          <w:bCs/>
          <w:sz w:val="28"/>
          <w:szCs w:val="28"/>
        </w:rPr>
      </w:pPr>
      <w:r>
        <w:rPr>
          <w:rFonts w:hint="eastAsia" w:ascii="楷体" w:hAnsi="楷体" w:eastAsia="楷体" w:cs="Times New Roman"/>
          <w:b w:val="0"/>
          <w:bCs/>
          <w:sz w:val="28"/>
          <w:szCs w:val="28"/>
        </w:rPr>
        <w:t>本合同有关的一切税费均由乙方负担。</w:t>
      </w:r>
    </w:p>
    <w:p w14:paraId="67488A1F">
      <w:pPr>
        <w:keepNext w:val="0"/>
        <w:keepLines w:val="0"/>
        <w:pageBreakBefore w:val="0"/>
        <w:widowControl w:val="0"/>
        <w:kinsoku/>
        <w:wordWrap/>
        <w:overflowPunct/>
        <w:topLinePunct w:val="0"/>
        <w:autoSpaceDE/>
        <w:autoSpaceDN/>
        <w:bidi w:val="0"/>
        <w:adjustRightInd/>
        <w:snapToGrid/>
        <w:spacing w:before="157" w:beforeLines="50" w:line="840" w:lineRule="auto"/>
        <w:ind w:right="0" w:rightChars="0"/>
        <w:jc w:val="center"/>
        <w:textAlignment w:val="auto"/>
        <w:rPr>
          <w:rFonts w:ascii="楷体" w:hAnsi="楷体" w:eastAsia="楷体"/>
          <w:b/>
          <w:bCs w:val="0"/>
          <w:sz w:val="28"/>
          <w:szCs w:val="28"/>
        </w:rPr>
      </w:pPr>
      <w:r>
        <w:rPr>
          <w:rFonts w:ascii="楷体" w:hAnsi="楷体" w:eastAsia="楷体"/>
          <w:b/>
          <w:bCs w:val="0"/>
          <w:sz w:val="32"/>
          <w:szCs w:val="32"/>
        </w:rPr>
        <w:t>第</w:t>
      </w:r>
      <w:r>
        <w:rPr>
          <w:rFonts w:hint="eastAsia" w:ascii="楷体" w:hAnsi="楷体" w:eastAsia="楷体"/>
          <w:b/>
          <w:bCs w:val="0"/>
          <w:sz w:val="32"/>
          <w:szCs w:val="32"/>
          <w:lang w:val="en-US" w:eastAsia="zh-CN"/>
        </w:rPr>
        <w:t>十</w:t>
      </w:r>
      <w:r>
        <w:rPr>
          <w:rFonts w:ascii="楷体" w:hAnsi="楷体" w:eastAsia="楷体"/>
          <w:b/>
          <w:bCs w:val="0"/>
          <w:sz w:val="32"/>
          <w:szCs w:val="32"/>
        </w:rPr>
        <w:t>章    附则</w:t>
      </w:r>
    </w:p>
    <w:p w14:paraId="2025FDD0">
      <w:pPr>
        <w:numPr>
          <w:ilvl w:val="0"/>
          <w:numId w:val="5"/>
        </w:numPr>
        <w:ind w:left="559" w:leftChars="266"/>
        <w:rPr>
          <w:rFonts w:ascii="楷体" w:hAnsi="楷体" w:eastAsia="楷体"/>
          <w:b w:val="0"/>
          <w:bCs/>
          <w:sz w:val="28"/>
          <w:szCs w:val="28"/>
        </w:rPr>
      </w:pPr>
      <w:r>
        <w:rPr>
          <w:rFonts w:ascii="楷体" w:hAnsi="楷体" w:eastAsia="楷体"/>
          <w:b w:val="0"/>
          <w:bCs/>
          <w:sz w:val="28"/>
          <w:szCs w:val="28"/>
        </w:rPr>
        <w:t>甲、乙任何一方需要终止本协议的，应提前</w:t>
      </w:r>
      <w:r>
        <w:rPr>
          <w:rFonts w:hint="eastAsia" w:ascii="楷体" w:hAnsi="楷体" w:eastAsia="楷体"/>
          <w:b w:val="0"/>
          <w:bCs/>
          <w:sz w:val="28"/>
          <w:szCs w:val="28"/>
        </w:rPr>
        <w:t>35</w:t>
      </w:r>
      <w:r>
        <w:rPr>
          <w:rFonts w:ascii="楷体" w:hAnsi="楷体" w:eastAsia="楷体"/>
          <w:b w:val="0"/>
          <w:bCs/>
          <w:sz w:val="28"/>
          <w:szCs w:val="28"/>
        </w:rPr>
        <w:t>天书面通知对方，并协助</w:t>
      </w:r>
    </w:p>
    <w:p w14:paraId="36A1A3D7">
      <w:pPr>
        <w:numPr>
          <w:ilvl w:val="0"/>
          <w:numId w:val="0"/>
        </w:numPr>
        <w:rPr>
          <w:rFonts w:ascii="楷体" w:hAnsi="楷体" w:eastAsia="楷体"/>
          <w:b w:val="0"/>
          <w:bCs/>
          <w:sz w:val="28"/>
          <w:szCs w:val="28"/>
        </w:rPr>
      </w:pPr>
      <w:r>
        <w:rPr>
          <w:rFonts w:ascii="楷体" w:hAnsi="楷体" w:eastAsia="楷体"/>
          <w:b w:val="0"/>
          <w:bCs/>
          <w:sz w:val="28"/>
          <w:szCs w:val="28"/>
        </w:rPr>
        <w:t>对方妥善处理好相关事宜，造成对方经济损失的，承担相应的赔偿责任。</w:t>
      </w:r>
    </w:p>
    <w:p w14:paraId="16180048">
      <w:pPr>
        <w:numPr>
          <w:ilvl w:val="0"/>
          <w:numId w:val="5"/>
        </w:numPr>
        <w:ind w:left="559" w:leftChars="266"/>
        <w:rPr>
          <w:rFonts w:ascii="楷体" w:hAnsi="楷体" w:eastAsia="楷体"/>
          <w:b w:val="0"/>
          <w:bCs/>
          <w:sz w:val="28"/>
          <w:szCs w:val="28"/>
        </w:rPr>
      </w:pPr>
      <w:r>
        <w:rPr>
          <w:rFonts w:ascii="楷体" w:hAnsi="楷体" w:eastAsia="楷体"/>
          <w:b w:val="0"/>
          <w:bCs/>
          <w:sz w:val="28"/>
          <w:szCs w:val="28"/>
        </w:rPr>
        <w:t>本协议未尽事宜，由甲、乙双方协商解决，</w:t>
      </w:r>
      <w:r>
        <w:rPr>
          <w:rFonts w:hint="eastAsia" w:ascii="楷体" w:hAnsi="楷体" w:eastAsia="楷体"/>
          <w:b w:val="0"/>
          <w:bCs/>
          <w:sz w:val="28"/>
          <w:szCs w:val="28"/>
        </w:rPr>
        <w:t>另行签订补充协议。</w:t>
      </w:r>
    </w:p>
    <w:p w14:paraId="0C726548">
      <w:pPr>
        <w:numPr>
          <w:ilvl w:val="0"/>
          <w:numId w:val="0"/>
        </w:numPr>
        <w:ind w:firstLine="560" w:firstLineChars="200"/>
        <w:rPr>
          <w:rFonts w:ascii="楷体" w:hAnsi="楷体" w:eastAsia="楷体"/>
          <w:b w:val="0"/>
          <w:bCs/>
          <w:sz w:val="28"/>
          <w:szCs w:val="28"/>
        </w:rPr>
      </w:pPr>
      <w:r>
        <w:rPr>
          <w:rFonts w:hint="eastAsia" w:ascii="楷体" w:hAnsi="楷体" w:eastAsia="楷体"/>
          <w:b w:val="0"/>
          <w:bCs/>
          <w:sz w:val="28"/>
          <w:szCs w:val="28"/>
          <w:lang w:val="en-US" w:eastAsia="zh-CN"/>
        </w:rPr>
        <w:t>3、</w:t>
      </w:r>
      <w:r>
        <w:rPr>
          <w:rFonts w:ascii="楷体" w:hAnsi="楷体" w:eastAsia="楷体"/>
          <w:b w:val="0"/>
          <w:bCs/>
          <w:sz w:val="28"/>
          <w:szCs w:val="28"/>
        </w:rPr>
        <w:t>本协议一式</w:t>
      </w:r>
      <w:r>
        <w:rPr>
          <w:rFonts w:hint="eastAsia" w:ascii="楷体" w:hAnsi="楷体" w:eastAsia="楷体"/>
          <w:b w:val="0"/>
          <w:bCs/>
          <w:sz w:val="28"/>
          <w:szCs w:val="28"/>
        </w:rPr>
        <w:t>伍</w:t>
      </w:r>
      <w:r>
        <w:rPr>
          <w:rFonts w:ascii="楷体" w:hAnsi="楷体" w:eastAsia="楷体"/>
          <w:b w:val="0"/>
          <w:bCs/>
          <w:sz w:val="28"/>
          <w:szCs w:val="28"/>
        </w:rPr>
        <w:t>份，甲乙双方持</w:t>
      </w:r>
      <w:r>
        <w:rPr>
          <w:rFonts w:hint="eastAsia" w:ascii="楷体" w:hAnsi="楷体" w:eastAsia="楷体"/>
          <w:b w:val="0"/>
          <w:bCs/>
          <w:sz w:val="28"/>
          <w:szCs w:val="28"/>
        </w:rPr>
        <w:t>贰</w:t>
      </w:r>
      <w:r>
        <w:rPr>
          <w:rFonts w:ascii="楷体" w:hAnsi="楷体" w:eastAsia="楷体"/>
          <w:b w:val="0"/>
          <w:bCs/>
          <w:sz w:val="28"/>
          <w:szCs w:val="28"/>
        </w:rPr>
        <w:t>份，</w:t>
      </w:r>
      <w:r>
        <w:rPr>
          <w:rFonts w:hint="eastAsia" w:ascii="楷体" w:hAnsi="楷体" w:eastAsia="楷体"/>
          <w:b w:val="0"/>
          <w:bCs/>
          <w:sz w:val="28"/>
          <w:szCs w:val="28"/>
        </w:rPr>
        <w:t>壹份由采购代理机构备案。本协议</w:t>
      </w:r>
      <w:r>
        <w:rPr>
          <w:rFonts w:ascii="楷体" w:hAnsi="楷体" w:eastAsia="楷体"/>
          <w:b w:val="0"/>
          <w:bCs/>
          <w:sz w:val="28"/>
          <w:szCs w:val="28"/>
        </w:rPr>
        <w:t>经双方签字盖章后生效，具有同等法律效力。</w:t>
      </w:r>
    </w:p>
    <w:p w14:paraId="4074EC5A">
      <w:pPr>
        <w:ind w:left="559" w:leftChars="266"/>
        <w:rPr>
          <w:rFonts w:ascii="楷体" w:hAnsi="楷体" w:eastAsia="楷体"/>
          <w:b w:val="0"/>
          <w:bCs/>
          <w:sz w:val="28"/>
          <w:szCs w:val="28"/>
        </w:rPr>
      </w:pPr>
      <w:r>
        <w:rPr>
          <w:rFonts w:hint="eastAsia" w:ascii="楷体" w:hAnsi="楷体" w:eastAsia="楷体"/>
          <w:b w:val="0"/>
          <w:bCs/>
          <w:sz w:val="28"/>
          <w:szCs w:val="28"/>
          <w:lang w:val="en-US" w:eastAsia="zh-CN"/>
        </w:rPr>
        <w:t>4</w:t>
      </w:r>
      <w:r>
        <w:rPr>
          <w:rFonts w:hint="eastAsia" w:ascii="楷体" w:hAnsi="楷体" w:eastAsia="楷体"/>
          <w:b w:val="0"/>
          <w:bCs/>
          <w:sz w:val="28"/>
          <w:szCs w:val="28"/>
        </w:rPr>
        <w:t>、</w:t>
      </w:r>
      <w:r>
        <w:rPr>
          <w:rFonts w:ascii="楷体" w:hAnsi="楷体" w:eastAsia="楷体"/>
          <w:b w:val="0"/>
          <w:bCs/>
          <w:sz w:val="28"/>
          <w:szCs w:val="28"/>
        </w:rPr>
        <w:t>本协议一旦解除或终止，本协议的附件也随之解除或终止。</w:t>
      </w:r>
    </w:p>
    <w:p w14:paraId="7D5373BA">
      <w:pPr>
        <w:rPr>
          <w:rFonts w:hint="eastAsia" w:ascii="楷体" w:hAnsi="楷体" w:eastAsia="楷体"/>
          <w:b w:val="0"/>
          <w:bCs/>
          <w:sz w:val="28"/>
          <w:szCs w:val="28"/>
        </w:rPr>
      </w:pPr>
    </w:p>
    <w:p w14:paraId="7EFCBFBA">
      <w:pPr>
        <w:rPr>
          <w:rFonts w:ascii="楷体" w:hAnsi="楷体" w:eastAsia="楷体"/>
          <w:b w:val="0"/>
          <w:bCs/>
          <w:sz w:val="28"/>
          <w:szCs w:val="28"/>
        </w:rPr>
      </w:pPr>
      <w:bookmarkStart w:id="0" w:name="_Hlk525998379"/>
    </w:p>
    <w:p w14:paraId="7D47A9D5">
      <w:pPr>
        <w:rPr>
          <w:rFonts w:ascii="楷体" w:hAnsi="楷体" w:eastAsia="楷体"/>
          <w:b w:val="0"/>
          <w:bCs/>
          <w:sz w:val="28"/>
          <w:szCs w:val="28"/>
        </w:rPr>
      </w:pPr>
      <w:r>
        <w:rPr>
          <w:rFonts w:ascii="楷体" w:hAnsi="楷体" w:eastAsia="楷体"/>
          <w:b w:val="0"/>
          <w:bCs/>
          <w:sz w:val="28"/>
          <w:szCs w:val="28"/>
        </w:rPr>
        <w:t>甲方（单位盖章）：                    乙方（单位盖章）：</w:t>
      </w:r>
    </w:p>
    <w:p w14:paraId="64678887">
      <w:pPr>
        <w:rPr>
          <w:rFonts w:ascii="楷体" w:hAnsi="楷体" w:eastAsia="楷体"/>
          <w:b w:val="0"/>
          <w:bCs/>
          <w:sz w:val="28"/>
          <w:szCs w:val="28"/>
        </w:rPr>
      </w:pPr>
    </w:p>
    <w:p w14:paraId="6B91478E">
      <w:pPr>
        <w:rPr>
          <w:rFonts w:ascii="楷体" w:hAnsi="楷体" w:eastAsia="楷体"/>
          <w:b w:val="0"/>
          <w:bCs/>
          <w:sz w:val="28"/>
          <w:szCs w:val="28"/>
        </w:rPr>
      </w:pPr>
      <w:r>
        <w:rPr>
          <w:rFonts w:ascii="楷体" w:hAnsi="楷体" w:eastAsia="楷体"/>
          <w:b w:val="0"/>
          <w:bCs/>
          <w:sz w:val="28"/>
          <w:szCs w:val="28"/>
        </w:rPr>
        <w:t>甲方代表签字：                       乙方代表签字：</w:t>
      </w:r>
    </w:p>
    <w:p w14:paraId="2747CE17">
      <w:pPr>
        <w:rPr>
          <w:rFonts w:ascii="楷体" w:hAnsi="楷体" w:eastAsia="楷体"/>
          <w:b w:val="0"/>
          <w:bCs/>
          <w:sz w:val="28"/>
          <w:szCs w:val="28"/>
        </w:rPr>
      </w:pPr>
    </w:p>
    <w:p w14:paraId="1BF1E59C">
      <w:pPr>
        <w:rPr>
          <w:rFonts w:ascii="楷体" w:hAnsi="楷体" w:eastAsia="楷体"/>
          <w:b w:val="0"/>
          <w:bCs/>
          <w:sz w:val="28"/>
          <w:szCs w:val="28"/>
        </w:rPr>
      </w:pPr>
      <w:r>
        <w:rPr>
          <w:rFonts w:ascii="楷体" w:hAnsi="楷体" w:eastAsia="楷体"/>
          <w:b w:val="0"/>
          <w:bCs/>
          <w:sz w:val="28"/>
          <w:szCs w:val="28"/>
        </w:rPr>
        <w:t>签订日期：     年    月    日        签订日期：     年    月    日</w:t>
      </w:r>
    </w:p>
    <w:bookmarkEnd w:id="0"/>
    <w:p w14:paraId="70E318D2">
      <w:pPr>
        <w:snapToGrid w:val="0"/>
        <w:spacing w:before="312" w:beforeLines="100" w:line="440" w:lineRule="exact"/>
        <w:ind w:firstLine="560" w:firstLineChars="200"/>
        <w:rPr>
          <w:rFonts w:hint="eastAsia" w:ascii="楷体" w:hAnsi="楷体" w:eastAsia="楷体" w:cs="宋体"/>
          <w:b w:val="0"/>
          <w:bCs/>
          <w:sz w:val="28"/>
          <w:szCs w:val="28"/>
        </w:rPr>
      </w:pPr>
    </w:p>
    <w:p w14:paraId="286DADBB">
      <w:pPr>
        <w:snapToGrid w:val="0"/>
        <w:spacing w:before="312" w:beforeLines="100" w:line="440" w:lineRule="exact"/>
        <w:ind w:firstLine="560" w:firstLineChars="200"/>
        <w:rPr>
          <w:rFonts w:hint="eastAsia" w:ascii="楷体" w:hAnsi="楷体" w:eastAsia="楷体" w:cs="宋体"/>
          <w:b w:val="0"/>
          <w:bCs/>
          <w:color w:val="auto"/>
          <w:sz w:val="28"/>
          <w:szCs w:val="28"/>
        </w:rPr>
      </w:pPr>
      <w:r>
        <w:rPr>
          <w:rFonts w:hint="eastAsia" w:ascii="楷体" w:hAnsi="楷体" w:eastAsia="楷体" w:cs="宋体"/>
          <w:b w:val="0"/>
          <w:bCs/>
          <w:sz w:val="28"/>
          <w:szCs w:val="28"/>
        </w:rPr>
        <w:t>招标代理机构声明：本</w:t>
      </w:r>
      <w:r>
        <w:rPr>
          <w:rFonts w:hint="eastAsia" w:ascii="楷体" w:hAnsi="楷体" w:eastAsia="楷体" w:cs="宋体"/>
          <w:b w:val="0"/>
          <w:bCs/>
          <w:color w:val="auto"/>
          <w:sz w:val="28"/>
          <w:szCs w:val="28"/>
        </w:rPr>
        <w:t>协议标的经</w:t>
      </w:r>
      <w:r>
        <w:rPr>
          <w:rFonts w:hint="eastAsia" w:ascii="楷体" w:hAnsi="楷体" w:eastAsia="楷体" w:cs="宋体"/>
          <w:b w:val="0"/>
          <w:bCs/>
          <w:color w:val="auto"/>
          <w:sz w:val="28"/>
          <w:szCs w:val="28"/>
          <w:lang w:eastAsia="zh-CN"/>
        </w:rPr>
        <w:t>海南政畅项目管理有限公司</w:t>
      </w:r>
      <w:r>
        <w:rPr>
          <w:rFonts w:hint="eastAsia" w:ascii="楷体" w:hAnsi="楷体" w:eastAsia="楷体" w:cs="宋体"/>
          <w:b w:val="0"/>
          <w:bCs/>
          <w:color w:val="auto"/>
          <w:sz w:val="28"/>
          <w:szCs w:val="28"/>
        </w:rPr>
        <w:t>依法定程序采购，协议主要条款内容与招投标文件的内容一致。</w:t>
      </w:r>
    </w:p>
    <w:p w14:paraId="77F6BCD6">
      <w:pPr>
        <w:snapToGrid w:val="0"/>
        <w:spacing w:before="312" w:beforeLines="100" w:after="156" w:afterLines="50" w:line="440" w:lineRule="exact"/>
        <w:ind w:firstLine="560" w:firstLineChars="200"/>
        <w:rPr>
          <w:rFonts w:hint="eastAsia" w:ascii="楷体" w:hAnsi="楷体" w:eastAsia="楷体" w:cs="宋体"/>
          <w:b w:val="0"/>
          <w:bCs/>
          <w:color w:val="auto"/>
          <w:sz w:val="28"/>
          <w:szCs w:val="28"/>
          <w:u w:val="single"/>
        </w:rPr>
      </w:pPr>
      <w:r>
        <w:rPr>
          <w:rFonts w:hint="eastAsia" w:ascii="楷体" w:hAnsi="楷体" w:eastAsia="楷体" w:cs="宋体"/>
          <w:b w:val="0"/>
          <w:bCs/>
          <w:color w:val="auto"/>
          <w:sz w:val="28"/>
          <w:szCs w:val="28"/>
        </w:rPr>
        <w:t>招标代理机构：</w:t>
      </w:r>
      <w:r>
        <w:rPr>
          <w:rFonts w:hint="eastAsia" w:ascii="楷体" w:hAnsi="楷体" w:eastAsia="楷体" w:cs="宋体"/>
          <w:b w:val="0"/>
          <w:bCs/>
          <w:color w:val="auto"/>
          <w:sz w:val="28"/>
          <w:szCs w:val="28"/>
          <w:u w:val="single"/>
          <w:lang w:eastAsia="zh-CN"/>
        </w:rPr>
        <w:t>海南政畅项目管理有限公司</w:t>
      </w:r>
      <w:r>
        <w:rPr>
          <w:rFonts w:hint="eastAsia" w:ascii="楷体" w:hAnsi="楷体" w:eastAsia="楷体" w:cs="宋体"/>
          <w:b w:val="0"/>
          <w:bCs/>
          <w:color w:val="auto"/>
          <w:sz w:val="28"/>
          <w:szCs w:val="28"/>
          <w:u w:val="single"/>
        </w:rPr>
        <w:t>（盖章）</w:t>
      </w:r>
    </w:p>
    <w:p w14:paraId="48B32823">
      <w:pPr>
        <w:snapToGrid w:val="0"/>
        <w:spacing w:before="156" w:beforeLines="50" w:after="156" w:afterLines="50" w:line="440" w:lineRule="exact"/>
        <w:ind w:firstLine="560" w:firstLineChars="200"/>
        <w:rPr>
          <w:rFonts w:hint="default" w:ascii="楷体" w:hAnsi="楷体" w:eastAsia="楷体" w:cs="宋体"/>
          <w:b w:val="0"/>
          <w:bCs/>
          <w:color w:val="auto"/>
          <w:sz w:val="28"/>
          <w:szCs w:val="28"/>
          <w:u w:val="single"/>
          <w:lang w:val="en-US" w:eastAsia="zh-CN"/>
        </w:rPr>
      </w:pPr>
      <w:r>
        <w:rPr>
          <w:rFonts w:hint="eastAsia" w:ascii="楷体" w:hAnsi="楷体" w:eastAsia="楷体" w:cs="宋体"/>
          <w:b w:val="0"/>
          <w:bCs/>
          <w:color w:val="auto"/>
          <w:sz w:val="28"/>
          <w:szCs w:val="28"/>
        </w:rPr>
        <w:t>地址：</w:t>
      </w:r>
      <w:r>
        <w:rPr>
          <w:rFonts w:hint="eastAsia" w:ascii="楷体" w:hAnsi="楷体" w:eastAsia="楷体" w:cs="宋体"/>
          <w:b w:val="0"/>
          <w:bCs/>
          <w:color w:val="auto"/>
          <w:sz w:val="28"/>
          <w:szCs w:val="28"/>
          <w:lang w:val="en-US" w:eastAsia="zh-CN"/>
        </w:rPr>
        <w:t>海南省海口市美兰区蓝天街道大英山西二街2号海航法苑里1号楼2单元202B室</w:t>
      </w:r>
    </w:p>
    <w:p w14:paraId="54D496AE">
      <w:pPr>
        <w:snapToGrid w:val="0"/>
        <w:spacing w:before="156" w:beforeLines="50" w:after="156" w:afterLines="50" w:line="440" w:lineRule="exact"/>
        <w:ind w:firstLine="560" w:firstLineChars="200"/>
        <w:rPr>
          <w:rFonts w:hint="eastAsia" w:ascii="楷体" w:hAnsi="楷体" w:eastAsia="楷体" w:cs="宋体"/>
          <w:b w:val="0"/>
          <w:bCs/>
          <w:sz w:val="28"/>
          <w:szCs w:val="28"/>
        </w:rPr>
      </w:pPr>
      <w:r>
        <w:rPr>
          <w:rFonts w:hint="eastAsia" w:ascii="楷体" w:hAnsi="楷体" w:eastAsia="楷体" w:cs="宋体"/>
          <w:b w:val="0"/>
          <w:bCs/>
          <w:color w:val="auto"/>
          <w:sz w:val="28"/>
          <w:szCs w:val="28"/>
        </w:rPr>
        <w:t>法定（授权）代表人：</w:t>
      </w:r>
      <w:r>
        <w:rPr>
          <w:rFonts w:hint="eastAsia" w:ascii="楷体" w:hAnsi="楷体" w:eastAsia="楷体" w:cs="宋体"/>
          <w:b w:val="0"/>
          <w:bCs/>
          <w:color w:val="auto"/>
          <w:sz w:val="28"/>
          <w:szCs w:val="28"/>
          <w:u w:val="single"/>
        </w:rPr>
        <w:t xml:space="preserve">        </w:t>
      </w:r>
      <w:r>
        <w:rPr>
          <w:rFonts w:hint="eastAsia" w:ascii="楷体" w:hAnsi="楷体" w:eastAsia="楷体" w:cs="宋体"/>
          <w:b w:val="0"/>
          <w:bCs/>
          <w:sz w:val="28"/>
          <w:szCs w:val="28"/>
          <w:u w:val="single"/>
        </w:rPr>
        <w:t xml:space="preserve">                （签章）</w:t>
      </w:r>
    </w:p>
    <w:p w14:paraId="7651FC61">
      <w:pPr>
        <w:spacing w:before="156" w:beforeLines="50" w:after="156" w:afterLines="50" w:line="440" w:lineRule="exact"/>
        <w:ind w:firstLine="560" w:firstLineChars="200"/>
        <w:outlineLvl w:val="0"/>
        <w:rPr>
          <w:rFonts w:ascii="楷体" w:hAnsi="楷体" w:eastAsia="楷体"/>
          <w:b w:val="0"/>
          <w:bCs/>
          <w:sz w:val="28"/>
          <w:szCs w:val="28"/>
        </w:rPr>
      </w:pPr>
      <w:r>
        <w:rPr>
          <w:rFonts w:hint="eastAsia" w:ascii="楷体" w:hAnsi="楷体" w:eastAsia="楷体" w:cs="宋体"/>
          <w:b w:val="0"/>
          <w:bCs/>
          <w:sz w:val="28"/>
          <w:szCs w:val="28"/>
        </w:rPr>
        <w:t>签订日期：</w:t>
      </w:r>
      <w:r>
        <w:rPr>
          <w:rFonts w:hint="eastAsia" w:ascii="楷体" w:hAnsi="楷体" w:eastAsia="楷体" w:cs="宋体"/>
          <w:b w:val="0"/>
          <w:bCs/>
          <w:sz w:val="28"/>
          <w:szCs w:val="28"/>
          <w:u w:val="single"/>
        </w:rPr>
        <w:t xml:space="preserve">      </w:t>
      </w:r>
      <w:r>
        <w:rPr>
          <w:rFonts w:hint="eastAsia" w:ascii="楷体" w:hAnsi="楷体" w:eastAsia="楷体" w:cs="宋体"/>
          <w:b w:val="0"/>
          <w:bCs/>
          <w:sz w:val="28"/>
          <w:szCs w:val="28"/>
        </w:rPr>
        <w:t>年</w:t>
      </w:r>
      <w:r>
        <w:rPr>
          <w:rFonts w:hint="eastAsia" w:ascii="楷体" w:hAnsi="楷体" w:eastAsia="楷体" w:cs="宋体"/>
          <w:b w:val="0"/>
          <w:bCs/>
          <w:sz w:val="28"/>
          <w:szCs w:val="28"/>
          <w:u w:val="single"/>
        </w:rPr>
        <w:t xml:space="preserve">    </w:t>
      </w:r>
      <w:r>
        <w:rPr>
          <w:rFonts w:hint="eastAsia" w:ascii="楷体" w:hAnsi="楷体" w:eastAsia="楷体" w:cs="宋体"/>
          <w:b w:val="0"/>
          <w:bCs/>
          <w:sz w:val="28"/>
          <w:szCs w:val="28"/>
        </w:rPr>
        <w:t>月</w:t>
      </w:r>
      <w:r>
        <w:rPr>
          <w:rFonts w:hint="eastAsia" w:ascii="楷体" w:hAnsi="楷体" w:eastAsia="楷体" w:cs="宋体"/>
          <w:b w:val="0"/>
          <w:bCs/>
          <w:sz w:val="28"/>
          <w:szCs w:val="28"/>
          <w:u w:val="single"/>
        </w:rPr>
        <w:t xml:space="preserve">    </w:t>
      </w:r>
      <w:r>
        <w:rPr>
          <w:rFonts w:hint="eastAsia" w:ascii="楷体" w:hAnsi="楷体" w:eastAsia="楷体" w:cs="宋体"/>
          <w:b w:val="0"/>
          <w:bCs/>
          <w:sz w:val="28"/>
          <w:szCs w:val="28"/>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157" w:left="1080" w:header="851" w:footer="505"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Arial Black">
    <w:panose1 w:val="020B0A04020102020204"/>
    <w:charset w:val="00"/>
    <w:family w:val="swiss"/>
    <w:pitch w:val="default"/>
    <w:sig w:usb0="A00002AF" w:usb1="400078FB" w:usb2="00000000" w:usb3="00000000" w:csb0="6000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4331E">
    <w:pPr>
      <w:wordWrap w:val="0"/>
      <w:ind w:firstLine="360"/>
      <w:jc w:val="right"/>
      <w:rPr>
        <w:rFonts w:hint="eastAsia" w:ascii="Arial Black" w:hAnsi="Arial Black"/>
        <w:color w:val="999999"/>
        <w:sz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4C90FA">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9</w:t>
                          </w:r>
                          <w:r>
                            <w:rPr>
                              <w:rFonts w:hint="eastAsia"/>
                              <w:sz w:val="18"/>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14:paraId="434C90FA">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9</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BFDF2">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1F2EA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v:fill on="f" focussize="0,0"/>
              <v:stroke on="f"/>
              <v:imagedata o:title=""/>
              <o:lock v:ext="edit" aspectratio="f"/>
              <v:textbox inset="0mm,0mm,0mm,0mm" style="mso-fit-shape-to-text:t;">
                <w:txbxContent>
                  <w:p w14:paraId="661F2EA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C8ACF">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A34BC4">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6O1skBAACZ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BPo7WyQEAAJkDAAAOAAAAAAAAAAEAIAAAAB4BAABkcnMvZTJvRG9j&#10;LnhtbFBLBQYAAAAABgAGAFkBAABZBQAAAAA=&#10;">
              <v:fill on="f" focussize="0,0"/>
              <v:stroke on="f"/>
              <v:imagedata o:title=""/>
              <o:lock v:ext="edit" aspectratio="f"/>
              <v:textbox inset="0mm,0mm,0mm,0mm" style="mso-fit-shape-to-text:t;">
                <w:txbxContent>
                  <w:p w14:paraId="73A34BC4">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A3AD4">
    <w:pPr>
      <w:pStyle w:val="7"/>
      <w:pBdr>
        <w:bottom w:val="none" w:color="auto" w:sz="0" w:space="1"/>
      </w:pBdr>
      <w:rPr>
        <w:rFonts w:hint="eastAsia" w:ascii="华文新魏" w:eastAsia="华文新魏"/>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86444">
    <w:pPr>
      <w:pStyle w:val="7"/>
      <w:pBdr>
        <w:bottom w:val="none" w:color="auto" w:sz="0" w:space="1"/>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9F798">
    <w:pPr>
      <w:pStyle w:val="7"/>
      <w:pBdr>
        <w:bottom w:val="single" w:color="auto" w:sz="4" w:space="1"/>
      </w:pBdr>
      <w:jc w:val="right"/>
    </w:pPr>
    <w:r>
      <w:rPr>
        <w:rFonts w:hint="eastAsia" w:ascii="华文新魏" w:eastAsia="华文新魏"/>
      </w:rPr>
      <w:drawing>
        <wp:inline distT="0" distB="0" distL="114300" distR="114300">
          <wp:extent cx="1623695" cy="306070"/>
          <wp:effectExtent l="0" t="0" r="14605" b="17780"/>
          <wp:docPr id="4" name="图片 7" descr="汇智LOGO(最后确定)_剪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汇智LOGO(最后确定)_剪切"/>
                  <pic:cNvPicPr>
                    <a:picLocks noChangeAspect="1"/>
                  </pic:cNvPicPr>
                </pic:nvPicPr>
                <pic:blipFill>
                  <a:blip r:embed="rId1"/>
                  <a:stretch>
                    <a:fillRect/>
                  </a:stretch>
                </pic:blipFill>
                <pic:spPr>
                  <a:xfrm>
                    <a:off x="0" y="0"/>
                    <a:ext cx="1623695" cy="3060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C416DF"/>
    <w:multiLevelType w:val="singleLevel"/>
    <w:tmpl w:val="9DC416DF"/>
    <w:lvl w:ilvl="0" w:tentative="0">
      <w:start w:val="1"/>
      <w:numFmt w:val="decimal"/>
      <w:suff w:val="nothing"/>
      <w:lvlText w:val="%1、"/>
      <w:lvlJc w:val="left"/>
    </w:lvl>
  </w:abstractNum>
  <w:abstractNum w:abstractNumId="1">
    <w:nsid w:val="AB7932D3"/>
    <w:multiLevelType w:val="singleLevel"/>
    <w:tmpl w:val="AB7932D3"/>
    <w:lvl w:ilvl="0" w:tentative="0">
      <w:start w:val="1"/>
      <w:numFmt w:val="decimal"/>
      <w:suff w:val="nothing"/>
      <w:lvlText w:val="%1、"/>
      <w:lvlJc w:val="left"/>
    </w:lvl>
  </w:abstractNum>
  <w:abstractNum w:abstractNumId="2">
    <w:nsid w:val="18184BCA"/>
    <w:multiLevelType w:val="singleLevel"/>
    <w:tmpl w:val="18184BCA"/>
    <w:lvl w:ilvl="0" w:tentative="0">
      <w:start w:val="1"/>
      <w:numFmt w:val="decimal"/>
      <w:suff w:val="nothing"/>
      <w:lvlText w:val="%1、"/>
      <w:lvlJc w:val="left"/>
      <w:rPr>
        <w:rFonts w:hint="default"/>
        <w:b w:val="0"/>
        <w:bCs w:val="0"/>
      </w:rPr>
    </w:lvl>
  </w:abstractNum>
  <w:abstractNum w:abstractNumId="3">
    <w:nsid w:val="5490FD1B"/>
    <w:multiLevelType w:val="singleLevel"/>
    <w:tmpl w:val="5490FD1B"/>
    <w:lvl w:ilvl="0" w:tentative="0">
      <w:start w:val="1"/>
      <w:numFmt w:val="decimal"/>
      <w:suff w:val="nothing"/>
      <w:lvlText w:val="%1、"/>
      <w:lvlJc w:val="left"/>
    </w:lvl>
  </w:abstractNum>
  <w:abstractNum w:abstractNumId="4">
    <w:nsid w:val="5B3D89B6"/>
    <w:multiLevelType w:val="singleLevel"/>
    <w:tmpl w:val="5B3D89B6"/>
    <w:lvl w:ilvl="0" w:tentative="0">
      <w:start w:val="1"/>
      <w:numFmt w:val="decimal"/>
      <w:suff w:val="nothing"/>
      <w:lvlText w:val="%1、"/>
      <w:lvlJc w:val="left"/>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NmMyZDdmZTEwYzJmMjQ5ZjcxN2MyYzQxNmQxMGMifQ=="/>
  </w:docVars>
  <w:rsids>
    <w:rsidRoot w:val="00172A27"/>
    <w:rsid w:val="00024C66"/>
    <w:rsid w:val="00054812"/>
    <w:rsid w:val="000821DC"/>
    <w:rsid w:val="000D2667"/>
    <w:rsid w:val="00170B94"/>
    <w:rsid w:val="001E073E"/>
    <w:rsid w:val="001E4BD0"/>
    <w:rsid w:val="002F007B"/>
    <w:rsid w:val="003044AE"/>
    <w:rsid w:val="00304C11"/>
    <w:rsid w:val="00342D1C"/>
    <w:rsid w:val="003529EC"/>
    <w:rsid w:val="003548E2"/>
    <w:rsid w:val="00361BCE"/>
    <w:rsid w:val="003A313F"/>
    <w:rsid w:val="003E4FE9"/>
    <w:rsid w:val="0048533A"/>
    <w:rsid w:val="004D3467"/>
    <w:rsid w:val="004E4AF3"/>
    <w:rsid w:val="0064768A"/>
    <w:rsid w:val="006902BE"/>
    <w:rsid w:val="006D0E60"/>
    <w:rsid w:val="006E57CB"/>
    <w:rsid w:val="006F1B1A"/>
    <w:rsid w:val="00701F4C"/>
    <w:rsid w:val="00704241"/>
    <w:rsid w:val="007B5685"/>
    <w:rsid w:val="00840C7B"/>
    <w:rsid w:val="00867988"/>
    <w:rsid w:val="008B685A"/>
    <w:rsid w:val="0097619E"/>
    <w:rsid w:val="009F0133"/>
    <w:rsid w:val="009F6910"/>
    <w:rsid w:val="00A26F29"/>
    <w:rsid w:val="00A368F5"/>
    <w:rsid w:val="00A70789"/>
    <w:rsid w:val="00AC6877"/>
    <w:rsid w:val="00AF68EA"/>
    <w:rsid w:val="00C36D1B"/>
    <w:rsid w:val="00C94DE1"/>
    <w:rsid w:val="00CF66D8"/>
    <w:rsid w:val="00D72690"/>
    <w:rsid w:val="00DE0943"/>
    <w:rsid w:val="00DF39B9"/>
    <w:rsid w:val="00E33931"/>
    <w:rsid w:val="00E37DC1"/>
    <w:rsid w:val="00EA0ABE"/>
    <w:rsid w:val="00F31342"/>
    <w:rsid w:val="00F90F6B"/>
    <w:rsid w:val="00FB3895"/>
    <w:rsid w:val="00FC7738"/>
    <w:rsid w:val="00FE5619"/>
    <w:rsid w:val="00FF5115"/>
    <w:rsid w:val="048209F9"/>
    <w:rsid w:val="04EA2009"/>
    <w:rsid w:val="094D1A16"/>
    <w:rsid w:val="09824BF9"/>
    <w:rsid w:val="09B80FE5"/>
    <w:rsid w:val="0B641219"/>
    <w:rsid w:val="0C9C3EB0"/>
    <w:rsid w:val="0DA02A9D"/>
    <w:rsid w:val="0DFFDA64"/>
    <w:rsid w:val="106C1D5D"/>
    <w:rsid w:val="10FFCD97"/>
    <w:rsid w:val="113E6F91"/>
    <w:rsid w:val="118E133E"/>
    <w:rsid w:val="11CB4676"/>
    <w:rsid w:val="12371157"/>
    <w:rsid w:val="13B168F2"/>
    <w:rsid w:val="15F71C66"/>
    <w:rsid w:val="18B172B4"/>
    <w:rsid w:val="194B680A"/>
    <w:rsid w:val="1A190E04"/>
    <w:rsid w:val="1BB74772"/>
    <w:rsid w:val="20B1471C"/>
    <w:rsid w:val="21DC2927"/>
    <w:rsid w:val="25AD6CC2"/>
    <w:rsid w:val="2868217C"/>
    <w:rsid w:val="28DC3A53"/>
    <w:rsid w:val="2AA46E02"/>
    <w:rsid w:val="2D0B3746"/>
    <w:rsid w:val="2EDC950E"/>
    <w:rsid w:val="30C901A3"/>
    <w:rsid w:val="343E6AE4"/>
    <w:rsid w:val="3659703F"/>
    <w:rsid w:val="36BF3D52"/>
    <w:rsid w:val="37401B9D"/>
    <w:rsid w:val="3857626D"/>
    <w:rsid w:val="387235AF"/>
    <w:rsid w:val="3B9E08A3"/>
    <w:rsid w:val="3BB33036"/>
    <w:rsid w:val="3BB4E2D8"/>
    <w:rsid w:val="3D8612B8"/>
    <w:rsid w:val="3DFF04E0"/>
    <w:rsid w:val="3EFFBE0B"/>
    <w:rsid w:val="3F6A7D3E"/>
    <w:rsid w:val="3F76C2F2"/>
    <w:rsid w:val="3FC590BF"/>
    <w:rsid w:val="3FF55A6E"/>
    <w:rsid w:val="3FFF671B"/>
    <w:rsid w:val="48233EE8"/>
    <w:rsid w:val="49DA06F0"/>
    <w:rsid w:val="4B9C6B98"/>
    <w:rsid w:val="4D18605D"/>
    <w:rsid w:val="50140DB1"/>
    <w:rsid w:val="518346CB"/>
    <w:rsid w:val="53D8D88A"/>
    <w:rsid w:val="541976B9"/>
    <w:rsid w:val="55675515"/>
    <w:rsid w:val="55EF11C7"/>
    <w:rsid w:val="565A3CB0"/>
    <w:rsid w:val="56933917"/>
    <w:rsid w:val="59BA1ED4"/>
    <w:rsid w:val="5A5C174F"/>
    <w:rsid w:val="5D1828BF"/>
    <w:rsid w:val="5D964362"/>
    <w:rsid w:val="5EFEF0DA"/>
    <w:rsid w:val="5F314811"/>
    <w:rsid w:val="5FAF72B1"/>
    <w:rsid w:val="60C33327"/>
    <w:rsid w:val="60ED614A"/>
    <w:rsid w:val="61A01AB1"/>
    <w:rsid w:val="62F95B60"/>
    <w:rsid w:val="63985F1D"/>
    <w:rsid w:val="68717FBE"/>
    <w:rsid w:val="689114F6"/>
    <w:rsid w:val="68FB9115"/>
    <w:rsid w:val="690F784A"/>
    <w:rsid w:val="6ACD74DE"/>
    <w:rsid w:val="6B596BBE"/>
    <w:rsid w:val="6BB7442D"/>
    <w:rsid w:val="6BFF71F7"/>
    <w:rsid w:val="6C6F349C"/>
    <w:rsid w:val="6CEA0DBE"/>
    <w:rsid w:val="6E0815D6"/>
    <w:rsid w:val="6E5DC7E0"/>
    <w:rsid w:val="6F303E8F"/>
    <w:rsid w:val="6FC67979"/>
    <w:rsid w:val="71964182"/>
    <w:rsid w:val="73FB6D9C"/>
    <w:rsid w:val="74B44154"/>
    <w:rsid w:val="750B5422"/>
    <w:rsid w:val="75D94B83"/>
    <w:rsid w:val="77FEEB75"/>
    <w:rsid w:val="785C5051"/>
    <w:rsid w:val="78ED742E"/>
    <w:rsid w:val="79774F81"/>
    <w:rsid w:val="7A7C4705"/>
    <w:rsid w:val="7AEB63A2"/>
    <w:rsid w:val="7B7F9F27"/>
    <w:rsid w:val="7BB26499"/>
    <w:rsid w:val="7D1172F8"/>
    <w:rsid w:val="7D3FBED7"/>
    <w:rsid w:val="7DBFF4D7"/>
    <w:rsid w:val="7DE21C14"/>
    <w:rsid w:val="7DEB9B71"/>
    <w:rsid w:val="7DFED8BC"/>
    <w:rsid w:val="7EFA3073"/>
    <w:rsid w:val="7F161F49"/>
    <w:rsid w:val="7FFF99CA"/>
    <w:rsid w:val="A7FB329A"/>
    <w:rsid w:val="BD77EE8B"/>
    <w:rsid w:val="BFA22E70"/>
    <w:rsid w:val="CFEFE8A8"/>
    <w:rsid w:val="CFFF6AA3"/>
    <w:rsid w:val="DBF7377B"/>
    <w:rsid w:val="DFEF88FD"/>
    <w:rsid w:val="E1EFFC1F"/>
    <w:rsid w:val="E8B51F5A"/>
    <w:rsid w:val="EBB2D74B"/>
    <w:rsid w:val="EDFAA00A"/>
    <w:rsid w:val="EF7B8CFC"/>
    <w:rsid w:val="F75FFB9E"/>
    <w:rsid w:val="F779DDB4"/>
    <w:rsid w:val="F7FB31C4"/>
    <w:rsid w:val="F9E468F7"/>
    <w:rsid w:val="F9E7D2A3"/>
    <w:rsid w:val="F9F9D677"/>
    <w:rsid w:val="FB6FC415"/>
    <w:rsid w:val="FBDF7406"/>
    <w:rsid w:val="FED7012E"/>
    <w:rsid w:val="FFBB8810"/>
    <w:rsid w:val="FFBF7DF5"/>
    <w:rsid w:val="FFDE1348"/>
    <w:rsid w:val="FFEEB15D"/>
    <w:rsid w:val="FFF5DDC5"/>
    <w:rsid w:val="FFF66C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8">
    <w:name w:val="Normal Table"/>
    <w:unhideWhenUsed/>
    <w:uiPriority w:val="99"/>
    <w:tblPr>
      <w:tblStyle w:val="8"/>
      <w:tblCellMar>
        <w:top w:w="0" w:type="dxa"/>
        <w:left w:w="108" w:type="dxa"/>
        <w:bottom w:w="0" w:type="dxa"/>
        <w:right w:w="108" w:type="dxa"/>
      </w:tblCellMar>
    </w:tblPr>
  </w:style>
  <w:style w:type="paragraph" w:styleId="3">
    <w:name w:val="Body Text Indent"/>
    <w:basedOn w:val="1"/>
    <w:uiPriority w:val="0"/>
    <w:pPr>
      <w:spacing w:after="120" w:afterLines="0"/>
      <w:ind w:left="420" w:leftChars="200"/>
    </w:pPr>
  </w:style>
  <w:style w:type="paragraph" w:styleId="4">
    <w:name w:val="Plain Text"/>
    <w:basedOn w:val="1"/>
    <w:link w:val="12"/>
    <w:qFormat/>
    <w:uiPriority w:val="0"/>
    <w:rPr>
      <w:rFonts w:ascii="宋体" w:hAnsi="Courier New"/>
      <w:sz w:val="24"/>
    </w:rPr>
  </w:style>
  <w:style w:type="paragraph" w:styleId="5">
    <w:name w:val="Balloon Text"/>
    <w:basedOn w:val="1"/>
    <w:semiHidden/>
    <w:uiPriority w:val="0"/>
    <w:rPr>
      <w:sz w:val="18"/>
      <w:szCs w:val="18"/>
    </w:rPr>
  </w:style>
  <w:style w:type="paragraph" w:styleId="6">
    <w:name w:val="footer"/>
    <w:basedOn w:val="1"/>
    <w:link w:val="13"/>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unhideWhenUsed/>
    <w:uiPriority w:val="99"/>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uiPriority w:val="0"/>
  </w:style>
  <w:style w:type="character" w:customStyle="1" w:styleId="12">
    <w:name w:val="纯文本 字符"/>
    <w:link w:val="4"/>
    <w:qFormat/>
    <w:uiPriority w:val="0"/>
    <w:rPr>
      <w:rFonts w:ascii="宋体" w:hAnsi="Courier New"/>
      <w:kern w:val="2"/>
      <w:sz w:val="24"/>
      <w:szCs w:val="24"/>
    </w:rPr>
  </w:style>
  <w:style w:type="character" w:customStyle="1" w:styleId="13">
    <w:name w:val="页脚 字符"/>
    <w:link w:val="6"/>
    <w:uiPriority w:val="0"/>
    <w:rPr>
      <w:kern w:val="2"/>
      <w:sz w:val="18"/>
      <w:szCs w:val="18"/>
    </w:rPr>
  </w:style>
  <w:style w:type="paragraph" w:customStyle="1" w:styleId="14">
    <w:name w:val="表格文字"/>
    <w:basedOn w:val="1"/>
    <w:qFormat/>
    <w:uiPriority w:val="0"/>
    <w:pPr>
      <w:spacing w:before="25" w:beforeLines="0" w:after="25" w:afterLines="0"/>
      <w:jc w:val="left"/>
    </w:pPr>
    <w:rPr>
      <w:bCs/>
      <w:spacing w:val="1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6613</Words>
  <Characters>6755</Characters>
  <Lines>51</Lines>
  <Paragraphs>14</Paragraphs>
  <TotalTime>3</TotalTime>
  <ScaleCrop>false</ScaleCrop>
  <LinksUpToDate>false</LinksUpToDate>
  <CharactersWithSpaces>7039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2021-09-18T20:20:00Z</dcterms:created>
  <dc:creator>kcjun</dc:creator>
  <cp:lastModifiedBy>WPS_1670294638</cp:lastModifiedBy>
  <cp:lastPrinted>2022-10-30T23:31:37Z</cp:lastPrinted>
  <dcterms:modified xsi:type="dcterms:W3CDTF">2025-08-27T02:50:11Z</dcterms:modified>
  <dc:title>劳务派遣协议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F0C3FEE183764F4A9C0819CF069F39D8_13</vt:lpwstr>
  </property>
  <property fmtid="{D5CDD505-2E9C-101B-9397-08002B2CF9AE}" pid="4" name="KSOTemplateDocerSaveRecord">
    <vt:lpwstr>eyJoZGlkIjoiNGZhYzg5ODllYTBmMWU0YjE1YmE5YmI3Y2EyOTJlNTUiLCJ1c2VySWQiOiIxNDQ2NTQzNjM3In0=</vt:lpwstr>
  </property>
</Properties>
</file>