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2"/>
        <w:gridCol w:w="6247"/>
        <w:gridCol w:w="1001"/>
        <w:gridCol w:w="680"/>
      </w:tblGrid>
      <w:tr w14:paraId="3BBCF7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jc w:val="center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5B3B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bookmarkStart w:id="0" w:name="_GoBack"/>
            <w:r>
              <w:rPr>
                <w:rFonts w:hint="eastAsia" w:ascii="Times New Roman" w:hAnsi="Times New Roman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人民调解工作考核表</w:t>
            </w:r>
            <w:bookmarkEnd w:id="0"/>
          </w:p>
        </w:tc>
      </w:tr>
      <w:tr w14:paraId="585068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16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7A70B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评估项目</w:t>
            </w:r>
          </w:p>
        </w:tc>
        <w:tc>
          <w:tcPr>
            <w:tcW w:w="624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4EE4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评估内容</w:t>
            </w:r>
          </w:p>
        </w:tc>
        <w:tc>
          <w:tcPr>
            <w:tcW w:w="10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7431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标准分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D85F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 w14:paraId="247189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  <w:jc w:val="center"/>
        </w:trPr>
        <w:tc>
          <w:tcPr>
            <w:tcW w:w="1692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30E81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纠纷调解服务</w:t>
            </w:r>
          </w:p>
          <w:p w14:paraId="5B3EAB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（72分）</w:t>
            </w:r>
          </w:p>
        </w:tc>
        <w:tc>
          <w:tcPr>
            <w:tcW w:w="62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CFA52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成功率，指调解成功案件占受理案件的比例。成功率≥</w:t>
            </w:r>
            <w:r>
              <w:rPr>
                <w:rFonts w:hint="eastAsia" w:ascii="Times New Roman" w:hAnsi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%，得20分；9</w:t>
            </w:r>
            <w:r>
              <w:rPr>
                <w:rFonts w:hint="eastAsia" w:ascii="Times New Roman" w:hAnsi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%&gt;成功率≥8</w:t>
            </w:r>
            <w:r>
              <w:rPr>
                <w:rFonts w:hint="eastAsia" w:ascii="Times New Roman" w:hAnsi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%，得15分；</w:t>
            </w:r>
            <w:r>
              <w:rPr>
                <w:rFonts w:hint="eastAsia" w:ascii="Times New Roman" w:hAnsi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%&gt;成功率≥</w:t>
            </w:r>
            <w:r>
              <w:rPr>
                <w:rFonts w:hint="eastAsia" w:ascii="Times New Roman" w:hAnsi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%，得1</w:t>
            </w:r>
            <w:r>
              <w:rPr>
                <w:rFonts w:hint="eastAsia" w:ascii="Times New Roman" w:hAnsi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</w:t>
            </w:r>
            <w:r>
              <w:rPr>
                <w:rFonts w:hint="eastAsia" w:ascii="Times New Roman" w:hAnsi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；70</w:t>
            </w: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%&gt;成功率≥</w:t>
            </w:r>
            <w:r>
              <w:rPr>
                <w:rFonts w:hint="eastAsia" w:ascii="Times New Roman" w:hAnsi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%，得</w:t>
            </w:r>
            <w:r>
              <w:rPr>
                <w:rFonts w:hint="eastAsia" w:ascii="Times New Roman" w:hAnsi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</w:t>
            </w:r>
            <w:r>
              <w:rPr>
                <w:rFonts w:hint="eastAsia" w:ascii="Times New Roman" w:hAnsi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；成功率</w:t>
            </w: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&lt;</w:t>
            </w:r>
            <w:r>
              <w:rPr>
                <w:rFonts w:hint="eastAsia" w:ascii="Times New Roman" w:hAnsi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  <w:r>
              <w:rPr>
                <w:rFonts w:hint="eastAsia" w:ascii="Times New Roman" w:hAnsi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，得0分。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80C9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0-20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A527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85EEE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  <w:jc w:val="center"/>
        </w:trPr>
        <w:tc>
          <w:tcPr>
            <w:tcW w:w="169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277B9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6EC8C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满意率，指当事人对纠纷调解的满意率。采购方按5%的比例随机抽选调解成功的纠纷进行回访。满意率≥95%，得6分；95%&gt;满意率≥85%，得1分；满意率&lt;85%，得0分。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8CA7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0-6</w:t>
            </w:r>
          </w:p>
        </w:tc>
        <w:tc>
          <w:tcPr>
            <w:tcW w:w="6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4A76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3895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  <w:jc w:val="center"/>
        </w:trPr>
        <w:tc>
          <w:tcPr>
            <w:tcW w:w="169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37D40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47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8C506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投诉率，指当事人对调解员投诉件数占全部调解案件的比例。采购方根据投诉案件进行统计。投诉率≥1%的，得0分；投诉率&lt;1%的，得6分。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2DBF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0-6</w:t>
            </w:r>
          </w:p>
        </w:tc>
        <w:tc>
          <w:tcPr>
            <w:tcW w:w="6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702B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690E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169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25132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4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1D1CB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按以下流程完成调解工作：</w:t>
            </w:r>
          </w:p>
        </w:tc>
        <w:tc>
          <w:tcPr>
            <w:tcW w:w="1001" w:type="dxa"/>
            <w:vMerge w:val="restart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C4F7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0-20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0BAC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6E4C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169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84CDC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4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75307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（1）接案。有关部门委托移送或当事人申请。</w:t>
            </w:r>
          </w:p>
        </w:tc>
        <w:tc>
          <w:tcPr>
            <w:tcW w:w="1001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E02B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DBA1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3D7B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169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31BC3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4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C2E4E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（2）受理。</w:t>
            </w:r>
          </w:p>
        </w:tc>
        <w:tc>
          <w:tcPr>
            <w:tcW w:w="1001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60FD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90C9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0A18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jc w:val="center"/>
        </w:trPr>
        <w:tc>
          <w:tcPr>
            <w:tcW w:w="169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B74EF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4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E6887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①了解案情。查阅卷宗细致、根据卷宗内容初步分析纠纷发生情况；</w:t>
            </w:r>
          </w:p>
        </w:tc>
        <w:tc>
          <w:tcPr>
            <w:tcW w:w="1001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01F8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69CE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3F22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jc w:val="center"/>
        </w:trPr>
        <w:tc>
          <w:tcPr>
            <w:tcW w:w="169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F0545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4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74A56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②及时告知纠纷当事人进入调解程序，了解是否愿意接受调解；</w:t>
            </w:r>
          </w:p>
        </w:tc>
        <w:tc>
          <w:tcPr>
            <w:tcW w:w="1001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9B49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477E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DC7B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169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016CD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4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F3D8E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③核实纠纷当事人或委托人信息资料。</w:t>
            </w:r>
          </w:p>
        </w:tc>
        <w:tc>
          <w:tcPr>
            <w:tcW w:w="1001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B8E5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04F6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F5EFC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jc w:val="center"/>
        </w:trPr>
        <w:tc>
          <w:tcPr>
            <w:tcW w:w="169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1C931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4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8D500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（3）调查。向纠纷当事双方了解纠纷发生的具体情况，并要求双方主动提供证据材料。</w:t>
            </w:r>
          </w:p>
        </w:tc>
        <w:tc>
          <w:tcPr>
            <w:tcW w:w="1001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4AE1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7620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10CC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169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A5280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4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4D6A3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（4）调解。</w:t>
            </w:r>
          </w:p>
        </w:tc>
        <w:tc>
          <w:tcPr>
            <w:tcW w:w="1001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2151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0ACB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8F16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169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7F77A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4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77FB4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①根据调查情况拟制调解方案；</w:t>
            </w:r>
          </w:p>
        </w:tc>
        <w:tc>
          <w:tcPr>
            <w:tcW w:w="1001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89FB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2D75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7788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  <w:jc w:val="center"/>
        </w:trPr>
        <w:tc>
          <w:tcPr>
            <w:tcW w:w="169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E3B27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4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96718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②与纠纷当事双方进行电话调解或面对面调解，始终以第三方立场公正公平调解纠纷，不偏袒任何一方；</w:t>
            </w:r>
          </w:p>
        </w:tc>
        <w:tc>
          <w:tcPr>
            <w:tcW w:w="1001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C725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9812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F4A38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1" w:hRule="atLeast"/>
          <w:jc w:val="center"/>
        </w:trPr>
        <w:tc>
          <w:tcPr>
            <w:tcW w:w="169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45AF7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06CD2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③根据调解结果制作调解文书。调解成功后，需制作协议书的，由当事人及相关人员签名确认，无需制作协议书的，调解员应在调解笔录中详细记录口头协议内容；调解不成功，出具书面终止通知书或在调解笔录中将口头通知情况详细记录，并引导告知可通过其他途径解决纠纷；</w:t>
            </w:r>
          </w:p>
        </w:tc>
        <w:tc>
          <w:tcPr>
            <w:tcW w:w="10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1906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8B38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1F6D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jc w:val="center"/>
        </w:trPr>
        <w:tc>
          <w:tcPr>
            <w:tcW w:w="169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F4FAA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47" w:type="dxa"/>
            <w:tcBorders>
              <w:top w:val="single" w:color="auto" w:sz="4" w:space="0"/>
              <w:left w:val="single" w:color="auto" w:sz="4" w:space="0"/>
              <w:bottom w:val="nil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3BAC9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④调解结束后，及时对纠纷调解协议履行情况回访并记录。</w:t>
            </w: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2709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nil"/>
              <w:bottom w:val="single" w:color="000000" w:sz="8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9A60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21AF1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jc w:val="center"/>
        </w:trPr>
        <w:tc>
          <w:tcPr>
            <w:tcW w:w="169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93720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4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AC9BE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（5）结案。调解结束后，及时将调解信息录入信息系统，并装订卷宗归档。</w:t>
            </w:r>
          </w:p>
        </w:tc>
        <w:tc>
          <w:tcPr>
            <w:tcW w:w="1001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851C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89B3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EB73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1" w:hRule="atLeast"/>
          <w:jc w:val="center"/>
        </w:trPr>
        <w:tc>
          <w:tcPr>
            <w:tcW w:w="169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377D1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47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B576E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调解结束后，应当制定卷宗，卷宗一般包括下列内容：1、卷宗目录；2、卷内目录；3、</w:t>
            </w:r>
            <w:r>
              <w:rPr>
                <w:rFonts w:hint="eastAsia" w:ascii="Times New Roman" w:hAnsi="Times New Roman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市场监督管理部门</w:t>
            </w: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交的工单；4、当事人或委托人的身份证明；5、当事人委托代理人的委托证明材料；6、代理人的身份证明；7、当事人提供的有关证明材料；8、人民调解员调查取得的有关证明材料；9、调解记录；10、调查记录；11、人民调解协议书或纠纷调解终止通知书；12、委托调解成功/不成功复函；13、司法确认书（经司法确认的）、14、回访记录；15、封底。按照调解文书装订要求，将调解文书逐项按先后顺序编号装订成册。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63D7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C247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592D6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  <w:jc w:val="center"/>
        </w:trPr>
        <w:tc>
          <w:tcPr>
            <w:tcW w:w="1692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40DC2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调解辅助性工作</w:t>
            </w:r>
          </w:p>
          <w:p w14:paraId="63EFD6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（28分）</w:t>
            </w:r>
          </w:p>
        </w:tc>
        <w:tc>
          <w:tcPr>
            <w:tcW w:w="6247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61B52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提供人民调解政策、纠纷争议解决咨询服务；按要求开展宣传活动；按要求填报报表，录入人民调解员基本信息，制作花名册。</w:t>
            </w: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6CA8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0-3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F864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E5245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1" w:hRule="atLeast"/>
          <w:jc w:val="center"/>
        </w:trPr>
        <w:tc>
          <w:tcPr>
            <w:tcW w:w="169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93028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7CBD9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每月对调解案件的调解成功率、协议履行情况进行评估，对调解失败的重点案例进行分析研究，总结调解失败、协议未能履行的原因，提出改正措施，每月提交至少1份分析报告。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FA30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E1C6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7510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  <w:jc w:val="center"/>
        </w:trPr>
        <w:tc>
          <w:tcPr>
            <w:tcW w:w="169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1DD33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D7C66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一年编写调解案例不少于72篇，每月不少于6篇。少于2篇得0分，2篇得2分，3篇得4分，4篇得6分，5篇得8分，6篇以上得10分。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87FE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0-10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2E04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024E8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  <w:jc w:val="center"/>
        </w:trPr>
        <w:tc>
          <w:tcPr>
            <w:tcW w:w="169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4DCCF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E2690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一年撰写不少于120篇工作信息，每月不少于10篇。少于5篇得0分，6篇得2分，7篇得4分，8篇得6分，9篇得8分，10篇以上得10分。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1C94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0-10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9874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6A85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jc w:val="center"/>
        </w:trPr>
        <w:tc>
          <w:tcPr>
            <w:tcW w:w="169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A716C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6F6FE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团队管理：1、办公秩序井然；2、人员管理严格，无脱岗漏岗现象；3、调解纠纷无侵占当事人利益。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0D0F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6F57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8F5A5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16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63CF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7248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E7AD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注：80-100分为合格；79分以下为不合格。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026A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4D2EB8CE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145455"/>
    <w:rsid w:val="1AB723E0"/>
    <w:rsid w:val="71145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2025-08-26T10:35:00Z</dcterms:created>
  <dc:creator>WPS_1670294638</dc:creator>
  <cp:lastModifiedBy>WPS_1670294638</cp:lastModifiedBy>
  <dcterms:modified xsi:type="dcterms:W3CDTF">2025-08-26T10:46:41Z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7ED5C9E63D9546B0858AD168FE0BA665_11</vt:lpwstr>
  </property>
  <property fmtid="{D5CDD505-2E9C-101B-9397-08002B2CF9AE}" pid="4" name="KSOTemplateDocerSaveRecord">
    <vt:lpwstr>eyJoZGlkIjoiNGZhYzg5ODllYTBmMWU0YjE1YmE5YmI3Y2EyOTJlNTUiLCJ1c2VySWQiOiIxNDQ2NTQzNjM3In0=</vt:lpwstr>
  </property>
</Properties>
</file>