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4ABE325">
      <w:pPr>
        <w:keepNext w:val="0"/>
        <w:keepLines w:val="0"/>
        <w:pageBreakBefore w:val="0"/>
        <w:widowControl w:val="0"/>
        <w:shd w:val="clear"/>
        <w:kinsoku/>
        <w:wordWrap/>
        <w:overflowPunct/>
        <w:topLinePunct w:val="0"/>
        <w:autoSpaceDE/>
        <w:autoSpaceDN/>
        <w:bidi w:val="0"/>
        <w:adjustRightInd/>
        <w:snapToGrid/>
        <w:spacing w:after="646" w:afterLines="200" w:line="360" w:lineRule="auto"/>
        <w:jc w:val="center"/>
        <w:textAlignment w:val="auto"/>
        <w:rPr>
          <w:rFonts w:hint="eastAsia" w:ascii="仿宋" w:hAnsi="仿宋" w:eastAsia="仿宋" w:cs="仿宋"/>
          <w:b/>
          <w:color w:val="auto"/>
          <w:sz w:val="44"/>
          <w:szCs w:val="44"/>
          <w:highlight w:val="none"/>
          <w:lang w:bidi="ar"/>
        </w:rPr>
      </w:pPr>
      <w:r>
        <w:rPr>
          <w:rFonts w:hint="eastAsia" w:ascii="仿宋" w:hAnsi="仿宋" w:eastAsia="仿宋" w:cs="仿宋"/>
          <w:b/>
          <w:color w:val="auto"/>
          <w:sz w:val="44"/>
          <w:szCs w:val="44"/>
          <w:highlight w:val="none"/>
          <w:lang w:val="en-US" w:eastAsia="zh-CN" w:bidi="ar"/>
        </w:rPr>
        <w:t>技术响应</w:t>
      </w:r>
      <w:r>
        <w:rPr>
          <w:rFonts w:hint="eastAsia" w:ascii="仿宋" w:hAnsi="仿宋" w:eastAsia="仿宋" w:cs="仿宋"/>
          <w:b/>
          <w:color w:val="auto"/>
          <w:sz w:val="44"/>
          <w:szCs w:val="44"/>
          <w:highlight w:val="none"/>
          <w:lang w:bidi="ar"/>
        </w:rPr>
        <w:t>表</w:t>
      </w:r>
    </w:p>
    <w:p w14:paraId="37206503">
      <w:pPr>
        <w:widowControl/>
        <w:shd w:val="clear"/>
        <w:spacing w:line="360" w:lineRule="auto"/>
        <w:jc w:val="left"/>
        <w:rPr>
          <w:rFonts w:hint="eastAsia" w:ascii="仿宋" w:hAnsi="仿宋" w:eastAsia="仿宋" w:cs="仿宋"/>
          <w:color w:val="auto"/>
          <w:kern w:val="0"/>
          <w:sz w:val="24"/>
          <w:highlight w:val="none"/>
          <w:lang w:eastAsia="zh-CN" w:bidi="ar"/>
        </w:rPr>
      </w:pPr>
      <w:r>
        <w:rPr>
          <w:rFonts w:hint="eastAsia" w:ascii="仿宋" w:hAnsi="仿宋" w:eastAsia="仿宋" w:cs="仿宋"/>
          <w:color w:val="auto"/>
          <w:kern w:val="0"/>
          <w:sz w:val="24"/>
          <w:highlight w:val="none"/>
          <w:lang w:bidi="ar"/>
        </w:rPr>
        <w:t>项目名称：</w:t>
      </w:r>
      <w:r>
        <w:rPr>
          <w:rFonts w:hint="eastAsia" w:ascii="仿宋" w:hAnsi="仿宋" w:eastAsia="仿宋" w:cs="仿宋"/>
          <w:color w:val="auto"/>
          <w:kern w:val="0"/>
          <w:sz w:val="24"/>
          <w:highlight w:val="none"/>
          <w:lang w:eastAsia="zh-CN" w:bidi="ar"/>
        </w:rPr>
        <w:t>三亚砂质海岸保护修复工程监测与评估项目</w:t>
      </w:r>
    </w:p>
    <w:p w14:paraId="7D4E8985">
      <w:pPr>
        <w:widowControl/>
        <w:shd w:val="clear"/>
        <w:spacing w:line="360" w:lineRule="auto"/>
        <w:jc w:val="left"/>
        <w:rPr>
          <w:rFonts w:hint="eastAsia" w:ascii="仿宋" w:hAnsi="仿宋" w:eastAsia="仿宋" w:cs="仿宋"/>
          <w:color w:val="auto"/>
          <w:kern w:val="0"/>
          <w:sz w:val="24"/>
          <w:highlight w:val="none"/>
          <w:lang w:eastAsia="zh-CN" w:bidi="ar"/>
        </w:rPr>
      </w:pPr>
      <w:bookmarkStart w:id="2" w:name="_GoBack"/>
      <w:r>
        <w:rPr>
          <w:rFonts w:hint="eastAsia" w:ascii="仿宋" w:hAnsi="仿宋" w:eastAsia="仿宋" w:cs="仿宋"/>
          <w:color w:val="auto"/>
          <w:kern w:val="0"/>
          <w:sz w:val="24"/>
          <w:highlight w:val="none"/>
          <w:lang w:eastAsia="zh-CN" w:bidi="ar"/>
        </w:rPr>
        <w:t>项目编号：[HNSS]20250800003[CS]</w:t>
      </w:r>
    </w:p>
    <w:bookmarkEnd w:id="2"/>
    <w:tbl>
      <w:tblPr>
        <w:tblStyle w:val="12"/>
        <w:tblW w:w="1424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32"/>
        <w:gridCol w:w="9442"/>
        <w:gridCol w:w="2872"/>
        <w:gridCol w:w="825"/>
        <w:gridCol w:w="675"/>
      </w:tblGrid>
      <w:tr w14:paraId="4A4442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trPr>
        <w:tc>
          <w:tcPr>
            <w:tcW w:w="432" w:type="dxa"/>
            <w:tcBorders>
              <w:top w:val="single" w:color="auto" w:sz="4" w:space="0"/>
              <w:left w:val="single" w:color="auto" w:sz="4" w:space="0"/>
              <w:bottom w:val="single" w:color="auto" w:sz="4" w:space="0"/>
              <w:right w:val="single" w:color="auto" w:sz="4" w:space="0"/>
            </w:tcBorders>
            <w:vAlign w:val="center"/>
          </w:tcPr>
          <w:p w14:paraId="58455F5D">
            <w:pPr>
              <w:widowControl/>
              <w:shd w:val="clear"/>
              <w:spacing w:line="240" w:lineRule="auto"/>
              <w:jc w:val="center"/>
              <w:rPr>
                <w:rFonts w:hint="eastAsia" w:ascii="仿宋" w:hAnsi="仿宋" w:eastAsia="仿宋" w:cs="仿宋"/>
                <w:b/>
                <w:color w:val="auto"/>
                <w:sz w:val="24"/>
                <w:szCs w:val="24"/>
                <w:highlight w:val="none"/>
                <w:u w:val="single"/>
              </w:rPr>
            </w:pPr>
            <w:r>
              <w:rPr>
                <w:rFonts w:hint="eastAsia" w:ascii="仿宋" w:hAnsi="仿宋" w:eastAsia="仿宋" w:cs="仿宋"/>
                <w:color w:val="auto"/>
                <w:kern w:val="0"/>
                <w:sz w:val="24"/>
                <w:szCs w:val="24"/>
                <w:highlight w:val="none"/>
                <w:lang w:bidi="ar"/>
              </w:rPr>
              <w:t>序号</w:t>
            </w:r>
          </w:p>
        </w:tc>
        <w:tc>
          <w:tcPr>
            <w:tcW w:w="9442" w:type="dxa"/>
            <w:tcBorders>
              <w:top w:val="single" w:color="auto" w:sz="4" w:space="0"/>
              <w:left w:val="single" w:color="auto" w:sz="4" w:space="0"/>
              <w:bottom w:val="single" w:color="auto" w:sz="4" w:space="0"/>
              <w:right w:val="single" w:color="auto" w:sz="4" w:space="0"/>
            </w:tcBorders>
            <w:vAlign w:val="center"/>
          </w:tcPr>
          <w:p w14:paraId="7868614D">
            <w:pPr>
              <w:widowControl/>
              <w:shd w:val="clear"/>
              <w:spacing w:line="240" w:lineRule="auto"/>
              <w:jc w:val="center"/>
              <w:rPr>
                <w:rFonts w:hint="eastAsia" w:ascii="仿宋" w:hAnsi="仿宋" w:eastAsia="仿宋" w:cs="仿宋"/>
                <w:b/>
                <w:color w:val="auto"/>
                <w:sz w:val="24"/>
                <w:szCs w:val="24"/>
                <w:highlight w:val="none"/>
                <w:u w:val="single"/>
              </w:rPr>
            </w:pPr>
            <w:r>
              <w:rPr>
                <w:rFonts w:hint="eastAsia" w:ascii="仿宋" w:hAnsi="仿宋" w:eastAsia="仿宋" w:cs="仿宋"/>
                <w:color w:val="auto"/>
                <w:kern w:val="0"/>
                <w:sz w:val="24"/>
                <w:szCs w:val="24"/>
                <w:highlight w:val="none"/>
                <w:lang w:val="en-US" w:eastAsia="zh-CN" w:bidi="ar"/>
              </w:rPr>
              <w:t>招标</w:t>
            </w:r>
            <w:r>
              <w:rPr>
                <w:rFonts w:hint="eastAsia" w:ascii="仿宋" w:hAnsi="仿宋" w:eastAsia="仿宋" w:cs="仿宋"/>
                <w:color w:val="auto"/>
                <w:kern w:val="0"/>
                <w:sz w:val="24"/>
                <w:szCs w:val="24"/>
                <w:highlight w:val="none"/>
                <w:lang w:bidi="ar"/>
              </w:rPr>
              <w:t>文件要求</w:t>
            </w:r>
          </w:p>
        </w:tc>
        <w:tc>
          <w:tcPr>
            <w:tcW w:w="2872" w:type="dxa"/>
            <w:tcBorders>
              <w:top w:val="single" w:color="auto" w:sz="4" w:space="0"/>
              <w:left w:val="single" w:color="auto" w:sz="4" w:space="0"/>
              <w:bottom w:val="single" w:color="auto" w:sz="4" w:space="0"/>
              <w:right w:val="single" w:color="auto" w:sz="4" w:space="0"/>
            </w:tcBorders>
            <w:vAlign w:val="center"/>
          </w:tcPr>
          <w:p w14:paraId="5769C41A">
            <w:pPr>
              <w:widowControl/>
              <w:shd w:val="clear"/>
              <w:spacing w:line="240" w:lineRule="auto"/>
              <w:jc w:val="center"/>
              <w:rPr>
                <w:rFonts w:hint="eastAsia" w:ascii="仿宋" w:hAnsi="仿宋" w:eastAsia="仿宋" w:cs="仿宋"/>
                <w:b/>
                <w:color w:val="auto"/>
                <w:sz w:val="24"/>
                <w:szCs w:val="24"/>
                <w:highlight w:val="none"/>
                <w:u w:val="single"/>
              </w:rPr>
            </w:pPr>
            <w:r>
              <w:rPr>
                <w:rFonts w:hint="eastAsia" w:ascii="仿宋" w:hAnsi="仿宋" w:eastAsia="仿宋" w:cs="仿宋"/>
                <w:color w:val="auto"/>
                <w:kern w:val="0"/>
                <w:sz w:val="24"/>
                <w:szCs w:val="24"/>
                <w:highlight w:val="none"/>
                <w:lang w:bidi="ar"/>
              </w:rPr>
              <w:t>投标响应内容</w:t>
            </w:r>
          </w:p>
        </w:tc>
        <w:tc>
          <w:tcPr>
            <w:tcW w:w="825" w:type="dxa"/>
            <w:tcBorders>
              <w:top w:val="single" w:color="auto" w:sz="4" w:space="0"/>
              <w:left w:val="single" w:color="auto" w:sz="4" w:space="0"/>
              <w:bottom w:val="single" w:color="auto" w:sz="4" w:space="0"/>
              <w:right w:val="single" w:color="auto" w:sz="4" w:space="0"/>
            </w:tcBorders>
            <w:vAlign w:val="center"/>
          </w:tcPr>
          <w:p w14:paraId="0F95007A">
            <w:pPr>
              <w:widowControl/>
              <w:shd w:val="clear"/>
              <w:spacing w:line="240" w:lineRule="auto"/>
              <w:jc w:val="center"/>
              <w:rPr>
                <w:rFonts w:hint="eastAsia" w:ascii="仿宋" w:hAnsi="仿宋" w:eastAsia="仿宋" w:cs="仿宋"/>
                <w:b/>
                <w:color w:val="auto"/>
                <w:sz w:val="24"/>
                <w:szCs w:val="24"/>
                <w:highlight w:val="none"/>
                <w:u w:val="single"/>
              </w:rPr>
            </w:pPr>
            <w:r>
              <w:rPr>
                <w:rFonts w:hint="eastAsia" w:ascii="仿宋" w:hAnsi="仿宋" w:eastAsia="仿宋" w:cs="仿宋"/>
                <w:color w:val="auto"/>
                <w:kern w:val="0"/>
                <w:sz w:val="24"/>
                <w:szCs w:val="24"/>
                <w:highlight w:val="none"/>
                <w:lang w:bidi="ar"/>
              </w:rPr>
              <w:t>偏离情况</w:t>
            </w:r>
          </w:p>
        </w:tc>
        <w:tc>
          <w:tcPr>
            <w:tcW w:w="675" w:type="dxa"/>
            <w:tcBorders>
              <w:top w:val="single" w:color="auto" w:sz="4" w:space="0"/>
              <w:left w:val="single" w:color="auto" w:sz="4" w:space="0"/>
              <w:bottom w:val="single" w:color="auto" w:sz="4" w:space="0"/>
              <w:right w:val="single" w:color="auto" w:sz="4" w:space="0"/>
            </w:tcBorders>
            <w:vAlign w:val="center"/>
          </w:tcPr>
          <w:p w14:paraId="623FF26E">
            <w:pPr>
              <w:widowControl/>
              <w:shd w:val="clear"/>
              <w:spacing w:line="240" w:lineRule="auto"/>
              <w:jc w:val="center"/>
              <w:rPr>
                <w:rFonts w:hint="eastAsia" w:ascii="仿宋" w:hAnsi="仿宋" w:eastAsia="仿宋" w:cs="仿宋"/>
                <w:b/>
                <w:color w:val="auto"/>
                <w:sz w:val="24"/>
                <w:szCs w:val="24"/>
                <w:highlight w:val="none"/>
                <w:u w:val="single"/>
              </w:rPr>
            </w:pPr>
            <w:r>
              <w:rPr>
                <w:rFonts w:hint="eastAsia" w:ascii="仿宋" w:hAnsi="仿宋" w:eastAsia="仿宋" w:cs="仿宋"/>
                <w:color w:val="auto"/>
                <w:kern w:val="0"/>
                <w:sz w:val="24"/>
                <w:szCs w:val="24"/>
                <w:highlight w:val="none"/>
                <w:lang w:bidi="ar"/>
              </w:rPr>
              <w:t>说明</w:t>
            </w:r>
          </w:p>
        </w:tc>
      </w:tr>
      <w:tr w14:paraId="394E8F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32" w:type="dxa"/>
            <w:tcBorders>
              <w:top w:val="single" w:color="auto" w:sz="4" w:space="0"/>
              <w:left w:val="single" w:color="auto" w:sz="4" w:space="0"/>
              <w:bottom w:val="single" w:color="auto" w:sz="4" w:space="0"/>
              <w:right w:val="single" w:color="auto" w:sz="4" w:space="0"/>
            </w:tcBorders>
            <w:vAlign w:val="center"/>
          </w:tcPr>
          <w:p w14:paraId="37C927B7">
            <w:pPr>
              <w:pStyle w:val="9"/>
              <w:widowControl w:val="0"/>
              <w:shd w:val="clear"/>
              <w:spacing w:before="0" w:beforeAutospacing="0" w:after="0" w:afterAutospacing="0" w:line="240" w:lineRule="auto"/>
              <w:jc w:val="center"/>
              <w:rPr>
                <w:rFonts w:hint="eastAsia" w:ascii="仿宋" w:hAnsi="仿宋" w:eastAsia="仿宋" w:cs="仿宋"/>
                <w:bCs/>
                <w:color w:val="auto"/>
                <w:kern w:val="2"/>
                <w:sz w:val="24"/>
                <w:szCs w:val="24"/>
                <w:highlight w:val="none"/>
              </w:rPr>
            </w:pPr>
            <w:r>
              <w:rPr>
                <w:rFonts w:hint="eastAsia" w:ascii="仿宋" w:hAnsi="仿宋" w:eastAsia="仿宋" w:cs="仿宋"/>
                <w:bCs/>
                <w:color w:val="auto"/>
                <w:kern w:val="2"/>
                <w:sz w:val="24"/>
                <w:szCs w:val="24"/>
                <w:highlight w:val="none"/>
              </w:rPr>
              <w:t>1</w:t>
            </w:r>
          </w:p>
        </w:tc>
        <w:tc>
          <w:tcPr>
            <w:tcW w:w="9442" w:type="dxa"/>
            <w:tcBorders>
              <w:top w:val="single" w:color="auto" w:sz="4" w:space="0"/>
              <w:left w:val="single" w:color="auto" w:sz="4" w:space="0"/>
              <w:bottom w:val="single" w:color="auto" w:sz="4" w:space="0"/>
              <w:right w:val="single" w:color="auto" w:sz="4" w:space="0"/>
            </w:tcBorders>
            <w:vAlign w:val="center"/>
          </w:tcPr>
          <w:p w14:paraId="3A837C61">
            <w:pPr>
              <w:pStyle w:val="5"/>
              <w:spacing w:line="360" w:lineRule="auto"/>
              <w:ind w:firstLine="640"/>
              <w:rPr>
                <w:rFonts w:hint="eastAsia" w:ascii="仿宋_GB2312" w:hAnsi="仿宋_GB2312" w:eastAsia="仿宋_GB2312" w:cs="仿宋_GB2312"/>
                <w:b/>
                <w:bCs/>
                <w:sz w:val="24"/>
                <w:szCs w:val="24"/>
                <w:u w:val="none" w:color="auto"/>
              </w:rPr>
            </w:pPr>
            <w:r>
              <w:rPr>
                <w:rFonts w:hint="eastAsia" w:ascii="仿宋_GB2312" w:hAnsi="仿宋_GB2312" w:eastAsia="仿宋_GB2312" w:cs="仿宋_GB2312"/>
                <w:b/>
                <w:bCs/>
                <w:sz w:val="24"/>
                <w:szCs w:val="24"/>
                <w:u w:val="none" w:color="auto"/>
                <w:lang w:val="en-US" w:eastAsia="zh-CN"/>
              </w:rPr>
              <w:t>一</w:t>
            </w:r>
            <w:r>
              <w:rPr>
                <w:rFonts w:hint="eastAsia" w:ascii="仿宋_GB2312" w:hAnsi="仿宋_GB2312" w:eastAsia="仿宋_GB2312" w:cs="仿宋_GB2312"/>
                <w:b/>
                <w:bCs/>
                <w:sz w:val="24"/>
                <w:szCs w:val="24"/>
                <w:u w:val="none" w:color="auto"/>
              </w:rPr>
              <w:t>、服务范围与内容​</w:t>
            </w:r>
          </w:p>
          <w:p w14:paraId="10C890EE">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为实现监测资料的连贯性和可比性，本次调查的内容和站位将与三亚湾生态保护修复、亚龙湾砂质海岸生态减灾修复项目的前期调查及修复效果评估保持一致，以此形成系统、完整的监测数据序列，为科学评估修复工程长期成效提供可靠依据。</w:t>
            </w:r>
          </w:p>
          <w:p w14:paraId="285BE2CA">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（一）监测站位布设</w:t>
            </w:r>
          </w:p>
          <w:p w14:paraId="68382601">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在三亚湾西段沙滩修复区海域布设 12个环境要素监测站、6个潮间带断面；在亚龙湾东段沙滩修复海域布设 6个环境要素监测站、3个潮间带断面；在三亚湾修复区砂质海岸布设20条地形监测剖面，在亚龙湾东段修复区砂质海岸布设10条地形监测剖面，各每条剖面在沙丘、滩肩等代表性位置设表层沉积物采样点（具体站位根据现场情况定）；在三亚湾修复区砂质海岸布设10个后滨植被监测样方。</w:t>
            </w:r>
          </w:p>
          <w:p w14:paraId="7D6D08FB">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drawing>
                <wp:inline distT="0" distB="0" distL="114300" distR="114300">
                  <wp:extent cx="5039995" cy="3630295"/>
                  <wp:effectExtent l="0" t="0" r="8255"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4"/>
                          <a:srcRect l="6322" t="7945" r="6181" b="8026"/>
                          <a:stretch>
                            <a:fillRect/>
                          </a:stretch>
                        </pic:blipFill>
                        <pic:spPr>
                          <a:xfrm>
                            <a:off x="0" y="0"/>
                            <a:ext cx="5039995" cy="3630295"/>
                          </a:xfrm>
                          <a:prstGeom prst="rect">
                            <a:avLst/>
                          </a:prstGeom>
                          <a:noFill/>
                          <a:ln>
                            <a:noFill/>
                          </a:ln>
                        </pic:spPr>
                      </pic:pic>
                    </a:graphicData>
                  </a:graphic>
                </wp:inline>
              </w:drawing>
            </w:r>
          </w:p>
          <w:p w14:paraId="36729BDA">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图1 三亚湾砂质海岸环境要素和潮间带调查站位示意图</w:t>
            </w:r>
          </w:p>
          <w:p w14:paraId="29AFE3FC">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drawing>
                <wp:inline distT="0" distB="0" distL="114300" distR="114300">
                  <wp:extent cx="5039995" cy="3590290"/>
                  <wp:effectExtent l="0" t="0" r="8255" b="1016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5"/>
                          <a:srcRect l="6500" t="8667" r="6543" b="8742"/>
                          <a:stretch>
                            <a:fillRect/>
                          </a:stretch>
                        </pic:blipFill>
                        <pic:spPr>
                          <a:xfrm>
                            <a:off x="0" y="0"/>
                            <a:ext cx="5039995" cy="3590290"/>
                          </a:xfrm>
                          <a:prstGeom prst="rect">
                            <a:avLst/>
                          </a:prstGeom>
                          <a:noFill/>
                          <a:ln>
                            <a:noFill/>
                          </a:ln>
                        </pic:spPr>
                      </pic:pic>
                    </a:graphicData>
                  </a:graphic>
                </wp:inline>
              </w:drawing>
            </w:r>
          </w:p>
          <w:p w14:paraId="3031446C">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图2 亚龙湾砂质海岸环境要素和潮间带调查站位示意图</w:t>
            </w:r>
          </w:p>
          <w:p w14:paraId="65932883">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drawing>
                <wp:inline distT="0" distB="0" distL="114300" distR="114300">
                  <wp:extent cx="5039995" cy="3561080"/>
                  <wp:effectExtent l="0" t="0" r="8255" b="1270"/>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6"/>
                          <a:srcRect l="3259" t="5402" r="70"/>
                          <a:stretch>
                            <a:fillRect/>
                          </a:stretch>
                        </pic:blipFill>
                        <pic:spPr>
                          <a:xfrm>
                            <a:off x="0" y="0"/>
                            <a:ext cx="5039995" cy="3561080"/>
                          </a:xfrm>
                          <a:prstGeom prst="rect">
                            <a:avLst/>
                          </a:prstGeom>
                          <a:noFill/>
                          <a:ln>
                            <a:noFill/>
                          </a:ln>
                        </pic:spPr>
                      </pic:pic>
                    </a:graphicData>
                  </a:graphic>
                </wp:inline>
              </w:drawing>
            </w:r>
          </w:p>
          <w:p w14:paraId="47D733B2">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图3 三亚湾砂质海岸地形剖面调查位置示意图</w:t>
            </w:r>
          </w:p>
          <w:p w14:paraId="2B97038F">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drawing>
                <wp:inline distT="0" distB="0" distL="114300" distR="114300">
                  <wp:extent cx="5039995" cy="3540125"/>
                  <wp:effectExtent l="0" t="0" r="8255" b="3175"/>
                  <wp:docPr id="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9"/>
                          <pic:cNvPicPr>
                            <a:picLocks noChangeAspect="1"/>
                          </pic:cNvPicPr>
                        </pic:nvPicPr>
                        <pic:blipFill>
                          <a:blip r:embed="rId7"/>
                          <a:srcRect l="1675" r="1314"/>
                          <a:stretch>
                            <a:fillRect/>
                          </a:stretch>
                        </pic:blipFill>
                        <pic:spPr>
                          <a:xfrm>
                            <a:off x="0" y="0"/>
                            <a:ext cx="5039995" cy="3540125"/>
                          </a:xfrm>
                          <a:prstGeom prst="rect">
                            <a:avLst/>
                          </a:prstGeom>
                          <a:noFill/>
                          <a:ln>
                            <a:noFill/>
                          </a:ln>
                        </pic:spPr>
                      </pic:pic>
                    </a:graphicData>
                  </a:graphic>
                </wp:inline>
              </w:drawing>
            </w:r>
          </w:p>
          <w:p w14:paraId="7C420BC1">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图4 亚龙湾东段砂质海岸地形剖面调查位置示意图</w:t>
            </w:r>
          </w:p>
          <w:p w14:paraId="38A7B831">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drawing>
                <wp:inline distT="0" distB="0" distL="114300" distR="114300">
                  <wp:extent cx="5039995" cy="3540125"/>
                  <wp:effectExtent l="0" t="0" r="8255" b="3175"/>
                  <wp:docPr id="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0"/>
                          <pic:cNvPicPr>
                            <a:picLocks noChangeAspect="1"/>
                          </pic:cNvPicPr>
                        </pic:nvPicPr>
                        <pic:blipFill>
                          <a:blip r:embed="rId8"/>
                          <a:srcRect l="7227" t="9750" r="7420" b="10306"/>
                          <a:stretch>
                            <a:fillRect/>
                          </a:stretch>
                        </pic:blipFill>
                        <pic:spPr>
                          <a:xfrm>
                            <a:off x="0" y="0"/>
                            <a:ext cx="5039995" cy="3540125"/>
                          </a:xfrm>
                          <a:prstGeom prst="rect">
                            <a:avLst/>
                          </a:prstGeom>
                          <a:noFill/>
                          <a:ln>
                            <a:noFill/>
                          </a:ln>
                        </pic:spPr>
                      </pic:pic>
                    </a:graphicData>
                  </a:graphic>
                </wp:inline>
              </w:drawing>
            </w:r>
          </w:p>
          <w:p w14:paraId="67FF06BA">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图5 三亚湾砂质海岸后滨植被调查范围示意图</w:t>
            </w:r>
          </w:p>
          <w:p w14:paraId="65466463">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（二）调查内容</w:t>
            </w:r>
          </w:p>
          <w:p w14:paraId="018BD193">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海滩特征</w:t>
            </w:r>
          </w:p>
          <w:p w14:paraId="42A4D5ED">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岸线：监测和收集现状与历史岸线的位置、长度。</w:t>
            </w:r>
          </w:p>
          <w:p w14:paraId="6F0C4FF0">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地形：测量后滨、前滨、内滨剖面地形。</w:t>
            </w:r>
          </w:p>
          <w:p w14:paraId="6CA97834">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海滩地貌：监测记录滩肩、侵蚀陡坎、沙波纹、水下沙坝等的分布。</w:t>
            </w:r>
          </w:p>
          <w:p w14:paraId="7C4AEA95">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沉积物：砂质沉积物粒度参数和砾石形态参数。</w:t>
            </w:r>
          </w:p>
          <w:p w14:paraId="472FA1CB">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近岸动力环境：监测波浪、海流、悬沙、潮位、风、区域海平面等要素。</w:t>
            </w:r>
          </w:p>
          <w:p w14:paraId="3A6DDC2F">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生物群落</w:t>
            </w:r>
          </w:p>
          <w:p w14:paraId="366D6311">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潮间带生物：调查潮间带生物类型、数量及分布特征。</w:t>
            </w:r>
          </w:p>
          <w:p w14:paraId="04AE61B3">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后滨植被：调查植被类型、植物种类、面积、株数、株高、胸径、冠幅、盖度等指标。</w:t>
            </w:r>
          </w:p>
          <w:p w14:paraId="0D97BE84">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环境要素</w:t>
            </w:r>
          </w:p>
          <w:p w14:paraId="1219C42B">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水环境：监测近岸海水水质，监测项目包括粪大肠菌群、水色、水温、盐度、透明度、pH值、油类、溶解氧等。</w:t>
            </w:r>
          </w:p>
          <w:p w14:paraId="3C84F825">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底质环境：监测潮间带沉积物质量，监测项目包括粪大肠菌群、油类、有机碳、硫化物等。</w:t>
            </w:r>
          </w:p>
          <w:p w14:paraId="553A1C24">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威胁因素</w:t>
            </w:r>
          </w:p>
          <w:p w14:paraId="15C0C47E">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自然因素：记录台风、风暴潮等自然因素影响。</w:t>
            </w:r>
          </w:p>
          <w:p w14:paraId="209031D1">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人为因素：排查海岸构筑物、海水污染、采捕养殖、人工采砂、滥砍乱伐、森林灾害、海滩垃圾等人为因素干扰。</w:t>
            </w:r>
          </w:p>
          <w:p w14:paraId="743CE99C">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（三）调查方式</w:t>
            </w:r>
          </w:p>
          <w:p w14:paraId="087FFC62">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各项调查内容的调查要素和调查方式见下表。</w:t>
            </w:r>
          </w:p>
          <w:p w14:paraId="3457D633">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表1 砂质海岸生态系统调查内容与方式</w:t>
            </w:r>
          </w:p>
          <w:tbl>
            <w:tblPr>
              <w:tblStyle w:val="1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3"/>
              <w:gridCol w:w="4536"/>
              <w:gridCol w:w="2074"/>
            </w:tblGrid>
            <w:tr w14:paraId="75AE50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413" w:type="dxa"/>
                  <w:noWrap w:val="0"/>
                  <w:vAlign w:val="center"/>
                </w:tcPr>
                <w:p w14:paraId="319587D9">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调查内容</w:t>
                  </w:r>
                </w:p>
              </w:tc>
              <w:tc>
                <w:tcPr>
                  <w:tcW w:w="4536" w:type="dxa"/>
                  <w:noWrap w:val="0"/>
                  <w:vAlign w:val="center"/>
                </w:tcPr>
                <w:p w14:paraId="526ADBCD">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调查要素</w:t>
                  </w:r>
                </w:p>
              </w:tc>
              <w:tc>
                <w:tcPr>
                  <w:tcW w:w="2074" w:type="dxa"/>
                  <w:noWrap w:val="0"/>
                  <w:vAlign w:val="center"/>
                </w:tcPr>
                <w:p w14:paraId="4ABC4A34">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调查方式</w:t>
                  </w:r>
                </w:p>
              </w:tc>
            </w:tr>
            <w:tr w14:paraId="0A10E6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restart"/>
                  <w:noWrap w:val="0"/>
                  <w:vAlign w:val="center"/>
                </w:tcPr>
                <w:p w14:paraId="6FE25A8D">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海滩特征</w:t>
                  </w:r>
                </w:p>
              </w:tc>
              <w:tc>
                <w:tcPr>
                  <w:tcW w:w="4536" w:type="dxa"/>
                  <w:noWrap w:val="0"/>
                  <w:vAlign w:val="center"/>
                </w:tcPr>
                <w:p w14:paraId="7661987D">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岸线:现状与历史岸线的位置、长度</w:t>
                  </w:r>
                </w:p>
              </w:tc>
              <w:tc>
                <w:tcPr>
                  <w:tcW w:w="2074" w:type="dxa"/>
                  <w:noWrap w:val="0"/>
                  <w:vAlign w:val="center"/>
                </w:tcPr>
                <w:p w14:paraId="6CD0DEB8">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现场调查、遥感调查</w:t>
                  </w:r>
                </w:p>
              </w:tc>
            </w:tr>
            <w:tr w14:paraId="560642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continue"/>
                  <w:noWrap w:val="0"/>
                  <w:vAlign w:val="center"/>
                </w:tcPr>
                <w:p w14:paraId="4F22C2E8">
                  <w:pPr>
                    <w:pStyle w:val="5"/>
                    <w:spacing w:line="360" w:lineRule="auto"/>
                    <w:ind w:firstLine="640"/>
                    <w:rPr>
                      <w:rFonts w:hint="eastAsia" w:ascii="仿宋_GB2312" w:hAnsi="仿宋_GB2312" w:eastAsia="仿宋_GB2312" w:cs="仿宋_GB2312"/>
                      <w:sz w:val="24"/>
                      <w:szCs w:val="24"/>
                      <w:u w:val="none" w:color="auto"/>
                    </w:rPr>
                  </w:pPr>
                </w:p>
              </w:tc>
              <w:tc>
                <w:tcPr>
                  <w:tcW w:w="4536" w:type="dxa"/>
                  <w:noWrap w:val="0"/>
                  <w:vAlign w:val="center"/>
                </w:tcPr>
                <w:p w14:paraId="021F7FBC">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地形:后滨、前滨、内滨剖面地形</w:t>
                  </w:r>
                </w:p>
              </w:tc>
              <w:tc>
                <w:tcPr>
                  <w:tcW w:w="2074" w:type="dxa"/>
                  <w:noWrap w:val="0"/>
                  <w:vAlign w:val="center"/>
                </w:tcPr>
                <w:p w14:paraId="4A960934">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现场调查</w:t>
                  </w:r>
                </w:p>
              </w:tc>
            </w:tr>
            <w:tr w14:paraId="1311E7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continue"/>
                  <w:noWrap w:val="0"/>
                  <w:vAlign w:val="center"/>
                </w:tcPr>
                <w:p w14:paraId="2BAD8218">
                  <w:pPr>
                    <w:pStyle w:val="5"/>
                    <w:spacing w:line="360" w:lineRule="auto"/>
                    <w:ind w:firstLine="640"/>
                    <w:rPr>
                      <w:rFonts w:hint="eastAsia" w:ascii="仿宋_GB2312" w:hAnsi="仿宋_GB2312" w:eastAsia="仿宋_GB2312" w:cs="仿宋_GB2312"/>
                      <w:sz w:val="24"/>
                      <w:szCs w:val="24"/>
                      <w:u w:val="none" w:color="auto"/>
                    </w:rPr>
                  </w:pPr>
                </w:p>
              </w:tc>
              <w:tc>
                <w:tcPr>
                  <w:tcW w:w="4536" w:type="dxa"/>
                  <w:noWrap w:val="0"/>
                  <w:vAlign w:val="center"/>
                </w:tcPr>
                <w:p w14:paraId="421B8845">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海滩地貌:沙丘、滩肩、滩角、侵蚀陡坎、水下沙坝等分布</w:t>
                  </w:r>
                </w:p>
              </w:tc>
              <w:tc>
                <w:tcPr>
                  <w:tcW w:w="2074" w:type="dxa"/>
                  <w:noWrap w:val="0"/>
                  <w:vAlign w:val="center"/>
                </w:tcPr>
                <w:p w14:paraId="7ACB6650">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现场调查</w:t>
                  </w:r>
                </w:p>
              </w:tc>
            </w:tr>
            <w:tr w14:paraId="4DFCBD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continue"/>
                  <w:noWrap w:val="0"/>
                  <w:vAlign w:val="center"/>
                </w:tcPr>
                <w:p w14:paraId="50B9C5EC">
                  <w:pPr>
                    <w:pStyle w:val="5"/>
                    <w:spacing w:line="360" w:lineRule="auto"/>
                    <w:ind w:firstLine="640"/>
                    <w:rPr>
                      <w:rFonts w:hint="eastAsia" w:ascii="仿宋_GB2312" w:hAnsi="仿宋_GB2312" w:eastAsia="仿宋_GB2312" w:cs="仿宋_GB2312"/>
                      <w:sz w:val="24"/>
                      <w:szCs w:val="24"/>
                      <w:u w:val="none" w:color="auto"/>
                    </w:rPr>
                  </w:pPr>
                </w:p>
              </w:tc>
              <w:tc>
                <w:tcPr>
                  <w:tcW w:w="4536" w:type="dxa"/>
                  <w:noWrap w:val="0"/>
                  <w:vAlign w:val="center"/>
                </w:tcPr>
                <w:p w14:paraId="5730754D">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沉积物:砂质沉积物粒度参数、砾石形态参数</w:t>
                  </w:r>
                </w:p>
              </w:tc>
              <w:tc>
                <w:tcPr>
                  <w:tcW w:w="2074" w:type="dxa"/>
                  <w:noWrap w:val="0"/>
                  <w:vAlign w:val="center"/>
                </w:tcPr>
                <w:p w14:paraId="4A9D7D56">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现场调查</w:t>
                  </w:r>
                </w:p>
              </w:tc>
            </w:tr>
            <w:tr w14:paraId="03C76E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continue"/>
                  <w:noWrap w:val="0"/>
                  <w:vAlign w:val="center"/>
                </w:tcPr>
                <w:p w14:paraId="08896BC7">
                  <w:pPr>
                    <w:pStyle w:val="5"/>
                    <w:spacing w:line="360" w:lineRule="auto"/>
                    <w:ind w:firstLine="640"/>
                    <w:rPr>
                      <w:rFonts w:hint="eastAsia" w:ascii="仿宋_GB2312" w:hAnsi="仿宋_GB2312" w:eastAsia="仿宋_GB2312" w:cs="仿宋_GB2312"/>
                      <w:sz w:val="24"/>
                      <w:szCs w:val="24"/>
                      <w:u w:val="none" w:color="auto"/>
                    </w:rPr>
                  </w:pPr>
                </w:p>
              </w:tc>
              <w:tc>
                <w:tcPr>
                  <w:tcW w:w="4536" w:type="dxa"/>
                  <w:noWrap w:val="0"/>
                  <w:vAlign w:val="center"/>
                </w:tcPr>
                <w:p w14:paraId="1B152058">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近岸动力环境:波浪、海流、悬沙、潮位、风、区域海平面</w:t>
                  </w:r>
                </w:p>
              </w:tc>
              <w:tc>
                <w:tcPr>
                  <w:tcW w:w="2074" w:type="dxa"/>
                  <w:noWrap w:val="0"/>
                  <w:vAlign w:val="center"/>
                </w:tcPr>
                <w:p w14:paraId="3BB24A4D">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资料收集</w:t>
                  </w:r>
                </w:p>
              </w:tc>
            </w:tr>
            <w:tr w14:paraId="7219D0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restart"/>
                  <w:noWrap w:val="0"/>
                  <w:vAlign w:val="center"/>
                </w:tcPr>
                <w:p w14:paraId="21345695">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生物群落</w:t>
                  </w:r>
                </w:p>
              </w:tc>
              <w:tc>
                <w:tcPr>
                  <w:tcW w:w="4536" w:type="dxa"/>
                  <w:noWrap w:val="0"/>
                  <w:vAlign w:val="center"/>
                </w:tcPr>
                <w:p w14:paraId="12C31F20">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潮间带生物:类型、数量及分布特征</w:t>
                  </w:r>
                </w:p>
              </w:tc>
              <w:tc>
                <w:tcPr>
                  <w:tcW w:w="2074" w:type="dxa"/>
                  <w:noWrap w:val="0"/>
                  <w:vAlign w:val="center"/>
                </w:tcPr>
                <w:p w14:paraId="479B80E4">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现场调查</w:t>
                  </w:r>
                </w:p>
              </w:tc>
            </w:tr>
            <w:tr w14:paraId="08443F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continue"/>
                  <w:noWrap w:val="0"/>
                  <w:vAlign w:val="center"/>
                </w:tcPr>
                <w:p w14:paraId="4141CBE6">
                  <w:pPr>
                    <w:pStyle w:val="5"/>
                    <w:spacing w:line="360" w:lineRule="auto"/>
                    <w:ind w:firstLine="640"/>
                    <w:rPr>
                      <w:rFonts w:hint="eastAsia" w:ascii="仿宋_GB2312" w:hAnsi="仿宋_GB2312" w:eastAsia="仿宋_GB2312" w:cs="仿宋_GB2312"/>
                      <w:sz w:val="24"/>
                      <w:szCs w:val="24"/>
                      <w:u w:val="none" w:color="auto"/>
                    </w:rPr>
                  </w:pPr>
                </w:p>
              </w:tc>
              <w:tc>
                <w:tcPr>
                  <w:tcW w:w="4536" w:type="dxa"/>
                  <w:noWrap w:val="0"/>
                  <w:vAlign w:val="center"/>
                </w:tcPr>
                <w:p w14:paraId="59773B16">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后滨植被:植被类型、植物种类、面积、密度、株高、胸径、冠幅、盖度等</w:t>
                  </w:r>
                </w:p>
              </w:tc>
              <w:tc>
                <w:tcPr>
                  <w:tcW w:w="2074" w:type="dxa"/>
                  <w:noWrap w:val="0"/>
                  <w:vAlign w:val="center"/>
                </w:tcPr>
                <w:p w14:paraId="52F632AF">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资料收集、遥感调查现场调查</w:t>
                  </w:r>
                </w:p>
              </w:tc>
            </w:tr>
            <w:tr w14:paraId="65BA2E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restart"/>
                  <w:noWrap w:val="0"/>
                  <w:vAlign w:val="center"/>
                </w:tcPr>
                <w:p w14:paraId="46CB004A">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环境要素</w:t>
                  </w:r>
                </w:p>
              </w:tc>
              <w:tc>
                <w:tcPr>
                  <w:tcW w:w="4536" w:type="dxa"/>
                  <w:noWrap w:val="0"/>
                  <w:vAlign w:val="center"/>
                </w:tcPr>
                <w:p w14:paraId="3F02914C">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水环境:近岸海水水质(粪大肠菌群、水色、水温、盐度</w:t>
                  </w:r>
                  <w:r>
                    <w:rPr>
                      <w:rFonts w:hint="eastAsia" w:ascii="仿宋_GB2312" w:hAnsi="仿宋_GB2312" w:eastAsia="仿宋_GB2312" w:cs="仿宋_GB2312"/>
                      <w:sz w:val="24"/>
                      <w:szCs w:val="24"/>
                      <w:u w:val="none" w:color="auto"/>
                      <w:lang w:eastAsia="zh-CN"/>
                    </w:rPr>
                    <w:t>、</w:t>
                  </w:r>
                  <w:r>
                    <w:rPr>
                      <w:rFonts w:hint="eastAsia" w:ascii="仿宋_GB2312" w:hAnsi="仿宋_GB2312" w:eastAsia="仿宋_GB2312" w:cs="仿宋_GB2312"/>
                      <w:sz w:val="24"/>
                      <w:szCs w:val="24"/>
                      <w:u w:val="none" w:color="auto"/>
                    </w:rPr>
                    <w:t>透明度、pH 值、石油类、溶解氧)</w:t>
                  </w:r>
                </w:p>
              </w:tc>
              <w:tc>
                <w:tcPr>
                  <w:tcW w:w="2074" w:type="dxa"/>
                  <w:vMerge w:val="restart"/>
                  <w:noWrap w:val="0"/>
                  <w:vAlign w:val="center"/>
                </w:tcPr>
                <w:p w14:paraId="04EBF723">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现场调查、资料收集</w:t>
                  </w:r>
                </w:p>
              </w:tc>
            </w:tr>
            <w:tr w14:paraId="13C684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continue"/>
                  <w:noWrap w:val="0"/>
                  <w:vAlign w:val="center"/>
                </w:tcPr>
                <w:p w14:paraId="45B4D763">
                  <w:pPr>
                    <w:pStyle w:val="5"/>
                    <w:spacing w:line="360" w:lineRule="auto"/>
                    <w:ind w:firstLine="640"/>
                    <w:rPr>
                      <w:rFonts w:hint="eastAsia" w:ascii="仿宋_GB2312" w:hAnsi="仿宋_GB2312" w:eastAsia="仿宋_GB2312" w:cs="仿宋_GB2312"/>
                      <w:sz w:val="24"/>
                      <w:szCs w:val="24"/>
                      <w:u w:val="none" w:color="auto"/>
                    </w:rPr>
                  </w:pPr>
                </w:p>
              </w:tc>
              <w:tc>
                <w:tcPr>
                  <w:tcW w:w="4536" w:type="dxa"/>
                  <w:noWrap w:val="0"/>
                  <w:vAlign w:val="center"/>
                </w:tcPr>
                <w:p w14:paraId="48FCF016">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底质环境:潮间带沉积物质量(</w:t>
                  </w:r>
                  <w:r>
                    <w:rPr>
                      <w:rFonts w:hint="eastAsia" w:ascii="仿宋_GB2312" w:hAnsi="仿宋_GB2312" w:eastAsia="仿宋_GB2312" w:cs="仿宋_GB2312"/>
                      <w:sz w:val="24"/>
                      <w:szCs w:val="24"/>
                      <w:u w:val="none" w:color="auto"/>
                      <w:lang w:val="en-US" w:eastAsia="zh-CN"/>
                    </w:rPr>
                    <w:t>粪</w:t>
                  </w:r>
                  <w:r>
                    <w:rPr>
                      <w:rFonts w:hint="eastAsia" w:ascii="仿宋_GB2312" w:hAnsi="仿宋_GB2312" w:eastAsia="仿宋_GB2312" w:cs="仿宋_GB2312"/>
                      <w:sz w:val="24"/>
                      <w:szCs w:val="24"/>
                      <w:u w:val="none" w:color="auto"/>
                    </w:rPr>
                    <w:t>大肠菌群、石油类、有机碳、硫化物)</w:t>
                  </w:r>
                </w:p>
              </w:tc>
              <w:tc>
                <w:tcPr>
                  <w:tcW w:w="2074" w:type="dxa"/>
                  <w:vMerge w:val="continue"/>
                  <w:noWrap w:val="0"/>
                  <w:vAlign w:val="center"/>
                </w:tcPr>
                <w:p w14:paraId="1A686E87">
                  <w:pPr>
                    <w:pStyle w:val="5"/>
                    <w:spacing w:line="360" w:lineRule="auto"/>
                    <w:ind w:firstLine="640"/>
                    <w:rPr>
                      <w:rFonts w:hint="eastAsia" w:ascii="仿宋_GB2312" w:hAnsi="仿宋_GB2312" w:eastAsia="仿宋_GB2312" w:cs="仿宋_GB2312"/>
                      <w:sz w:val="24"/>
                      <w:szCs w:val="24"/>
                      <w:u w:val="none" w:color="auto"/>
                    </w:rPr>
                  </w:pPr>
                </w:p>
              </w:tc>
            </w:tr>
            <w:tr w14:paraId="1247F6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restart"/>
                  <w:noWrap w:val="0"/>
                  <w:vAlign w:val="center"/>
                </w:tcPr>
                <w:p w14:paraId="0088F347">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威胁因素</w:t>
                  </w:r>
                </w:p>
              </w:tc>
              <w:tc>
                <w:tcPr>
                  <w:tcW w:w="4536" w:type="dxa"/>
                  <w:noWrap w:val="0"/>
                  <w:vAlign w:val="center"/>
                </w:tcPr>
                <w:p w14:paraId="2EFEE93B">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自然因素:台风、风暴潮</w:t>
                  </w:r>
                </w:p>
              </w:tc>
              <w:tc>
                <w:tcPr>
                  <w:tcW w:w="2074" w:type="dxa"/>
                  <w:vMerge w:val="restart"/>
                  <w:noWrap w:val="0"/>
                  <w:vAlign w:val="center"/>
                </w:tcPr>
                <w:p w14:paraId="51E2441B">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资料收集、现场调查社会调查</w:t>
                  </w:r>
                </w:p>
              </w:tc>
            </w:tr>
            <w:tr w14:paraId="6556E7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continue"/>
                  <w:noWrap w:val="0"/>
                  <w:vAlign w:val="center"/>
                </w:tcPr>
                <w:p w14:paraId="317811E8">
                  <w:pPr>
                    <w:pStyle w:val="5"/>
                    <w:spacing w:line="360" w:lineRule="auto"/>
                    <w:ind w:firstLine="640"/>
                    <w:rPr>
                      <w:rFonts w:hint="eastAsia" w:ascii="仿宋_GB2312" w:hAnsi="仿宋_GB2312" w:eastAsia="仿宋_GB2312" w:cs="仿宋_GB2312"/>
                      <w:sz w:val="24"/>
                      <w:szCs w:val="24"/>
                      <w:u w:val="none" w:color="auto"/>
                    </w:rPr>
                  </w:pPr>
                </w:p>
              </w:tc>
              <w:tc>
                <w:tcPr>
                  <w:tcW w:w="4536" w:type="dxa"/>
                  <w:noWrap w:val="0"/>
                  <w:vAlign w:val="center"/>
                </w:tcPr>
                <w:p w14:paraId="218F6C61">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人为因素:海岸构筑物、海水污染、采捕养殖、人工采砂、森林灾害、海滩垃圾等</w:t>
                  </w:r>
                </w:p>
              </w:tc>
              <w:tc>
                <w:tcPr>
                  <w:tcW w:w="2074" w:type="dxa"/>
                  <w:vMerge w:val="continue"/>
                  <w:noWrap w:val="0"/>
                  <w:vAlign w:val="center"/>
                </w:tcPr>
                <w:p w14:paraId="161224C7">
                  <w:pPr>
                    <w:pStyle w:val="5"/>
                    <w:spacing w:line="360" w:lineRule="auto"/>
                    <w:ind w:firstLine="640"/>
                    <w:rPr>
                      <w:rFonts w:hint="eastAsia" w:ascii="仿宋_GB2312" w:hAnsi="仿宋_GB2312" w:eastAsia="仿宋_GB2312" w:cs="仿宋_GB2312"/>
                      <w:sz w:val="24"/>
                      <w:szCs w:val="24"/>
                      <w:u w:val="none" w:color="auto"/>
                    </w:rPr>
                  </w:pPr>
                </w:p>
              </w:tc>
            </w:tr>
          </w:tbl>
          <w:p w14:paraId="2111BB3A">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b/>
                <w:bCs/>
                <w:sz w:val="24"/>
                <w:szCs w:val="24"/>
                <w:u w:val="none" w:color="auto"/>
                <w:lang w:val="en-US" w:eastAsia="zh-CN"/>
              </w:rPr>
              <w:t>二</w:t>
            </w:r>
            <w:r>
              <w:rPr>
                <w:rFonts w:hint="eastAsia" w:ascii="仿宋_GB2312" w:hAnsi="仿宋_GB2312" w:eastAsia="仿宋_GB2312" w:cs="仿宋_GB2312"/>
                <w:b/>
                <w:bCs/>
                <w:sz w:val="24"/>
                <w:szCs w:val="24"/>
                <w:u w:val="none" w:color="auto"/>
              </w:rPr>
              <w:t>、技术要求与标准</w:t>
            </w:r>
            <w:r>
              <w:rPr>
                <w:rFonts w:hint="eastAsia" w:ascii="仿宋_GB2312" w:hAnsi="仿宋_GB2312" w:eastAsia="仿宋_GB2312" w:cs="仿宋_GB2312"/>
                <w:sz w:val="24"/>
                <w:szCs w:val="24"/>
                <w:u w:val="none" w:color="auto"/>
              </w:rPr>
              <w:t>​</w:t>
            </w:r>
          </w:p>
          <w:p w14:paraId="04C54CA9">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（一）执行规范与标准</w:t>
            </w:r>
          </w:p>
          <w:p w14:paraId="418B8F1F">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（1）《海洋监测规范》（GB17378-2007）；</w:t>
            </w:r>
          </w:p>
          <w:p w14:paraId="16A5A544">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（2）《海洋调查规范》（GB/T12763-2007）；</w:t>
            </w:r>
          </w:p>
          <w:p w14:paraId="46BA36DA">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（3）《海水水质标准》（GB 3097－1997）；</w:t>
            </w:r>
          </w:p>
          <w:p w14:paraId="4FF5DA2B">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（4）《海洋沉积物质量》（GB 18668－2002）；</w:t>
            </w:r>
          </w:p>
          <w:p w14:paraId="150B4A3E">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（5）《海洋生物质量》（GB 18421－2001）；</w:t>
            </w:r>
          </w:p>
          <w:p w14:paraId="7C532EFA">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（6）《建设项目海洋环境影响跟踪监测技术规程》（国家海洋局，2002 年 4 月）；</w:t>
            </w:r>
          </w:p>
          <w:p w14:paraId="10085ED7">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（7）《全国海岸带和海涂资源综合调查简明规程》（1986 年）；</w:t>
            </w:r>
          </w:p>
          <w:p w14:paraId="6F238541">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（8）《海岸带生态系统现状调查与评估技术导则 第8部分：砂质海岸》（T/CAOE 2</w:t>
            </w:r>
            <w:r>
              <w:rPr>
                <w:rFonts w:hint="eastAsia" w:ascii="仿宋_GB2312" w:hAnsi="仿宋_GB2312" w:eastAsia="仿宋_GB2312" w:cs="仿宋_GB2312"/>
                <w:sz w:val="24"/>
                <w:szCs w:val="24"/>
                <w:u w:val="none" w:color="auto"/>
                <w:lang w:val="en-US" w:eastAsia="zh-CN"/>
              </w:rPr>
              <w:t>0</w:t>
            </w:r>
            <w:r>
              <w:rPr>
                <w:rFonts w:hint="eastAsia" w:ascii="仿宋_GB2312" w:hAnsi="仿宋_GB2312" w:eastAsia="仿宋_GB2312" w:cs="仿宋_GB2312"/>
                <w:sz w:val="24"/>
                <w:szCs w:val="24"/>
                <w:u w:val="none" w:color="auto"/>
              </w:rPr>
              <w:t>.</w:t>
            </w:r>
            <w:r>
              <w:rPr>
                <w:rFonts w:hint="eastAsia" w:ascii="仿宋_GB2312" w:hAnsi="仿宋_GB2312" w:eastAsia="仿宋_GB2312" w:cs="仿宋_GB2312"/>
                <w:sz w:val="24"/>
                <w:szCs w:val="24"/>
                <w:u w:val="none" w:color="auto"/>
                <w:lang w:val="en-US" w:eastAsia="zh-CN"/>
              </w:rPr>
              <w:t>8</w:t>
            </w:r>
            <w:r>
              <w:rPr>
                <w:rFonts w:hint="eastAsia" w:ascii="仿宋_GB2312" w:hAnsi="仿宋_GB2312" w:eastAsia="仿宋_GB2312" w:cs="仿宋_GB2312"/>
                <w:sz w:val="24"/>
                <w:szCs w:val="24"/>
                <w:u w:val="none" w:color="auto"/>
              </w:rPr>
              <w:t>-2020）；</w:t>
            </w:r>
          </w:p>
          <w:p w14:paraId="3BC35F4C">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（9）《海岸带保护修复工程项目后评价指南（试行）》</w:t>
            </w:r>
            <w:bookmarkStart w:id="0" w:name="OLE_LINK4"/>
            <w:bookmarkStart w:id="1" w:name="OLE_LINK3"/>
            <w:r>
              <w:rPr>
                <w:rFonts w:hint="eastAsia" w:ascii="仿宋_GB2312" w:hAnsi="仿宋_GB2312" w:eastAsia="仿宋_GB2312" w:cs="仿宋_GB2312"/>
                <w:sz w:val="24"/>
                <w:szCs w:val="24"/>
                <w:u w:val="none" w:color="auto"/>
              </w:rPr>
              <w:t>；</w:t>
            </w:r>
          </w:p>
          <w:p w14:paraId="3B2CC383">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（10）《砂质海岸生态减灾修复手册试行》</w:t>
            </w:r>
            <w:bookmarkEnd w:id="0"/>
            <w:bookmarkEnd w:id="1"/>
            <w:r>
              <w:rPr>
                <w:rFonts w:hint="eastAsia" w:ascii="仿宋_GB2312" w:hAnsi="仿宋_GB2312" w:eastAsia="仿宋_GB2312" w:cs="仿宋_GB2312"/>
                <w:sz w:val="24"/>
                <w:szCs w:val="24"/>
                <w:u w:val="none" w:color="auto"/>
              </w:rPr>
              <w:t>；</w:t>
            </w:r>
          </w:p>
          <w:p w14:paraId="14838F62">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（11）《海岸带生态减灾修复技术导则第7部分：砂质海岸》（T/CAOE 21.7-2020）；</w:t>
            </w:r>
          </w:p>
          <w:p w14:paraId="6F46324E">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（12）《海岸带生态监测减灾技术导则 第11部分：监管监测》（T/CAOE 21.11-2020）；</w:t>
            </w:r>
          </w:p>
          <w:p w14:paraId="6F1F585E">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（13）《海滩养护与修复技术指南》（HY/T255-2018）</w:t>
            </w:r>
          </w:p>
          <w:p w14:paraId="310B3859">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（14）《野生植物资源调查技术规程》（LY/T 1820-2009）。</w:t>
            </w:r>
          </w:p>
          <w:p w14:paraId="13081C2B">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​（二）技术要求</w:t>
            </w:r>
          </w:p>
          <w:p w14:paraId="73CF2912">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剖面地形地貌测量</w:t>
            </w:r>
          </w:p>
          <w:p w14:paraId="2C975524">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①后滨与前滨调查比例尺不低于 1:500，平面定位亚米级，高程精度厘米级，其他符合 GB/T 17501-2017 中第 10 章规定；</w:t>
            </w:r>
          </w:p>
          <w:p w14:paraId="7552271D">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②内滨调查比例尺不低于 1:2000，水深测量准确度优于 0.3m，其他符合 GB/T 12763.10-2007 中第 5 章规定；</w:t>
            </w:r>
          </w:p>
          <w:p w14:paraId="528795FE">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③增加三亚湾生态浮标观测数据。</w:t>
            </w:r>
          </w:p>
          <w:p w14:paraId="554C0DE1">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 xml:space="preserve">    （2）沙滩沉积物采样分析</w:t>
            </w:r>
          </w:p>
          <w:p w14:paraId="3FBEB9D5">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取样深度为表层5cm～20cm，每个样品不少于500g。沉积物粒度分析按照GB/T12763.8-2007中6.3要求进行。</w:t>
            </w:r>
          </w:p>
          <w:p w14:paraId="2A912534">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 xml:space="preserve">    （3）后滨植被调查</w:t>
            </w:r>
          </w:p>
          <w:p w14:paraId="73887B15">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① 样线设置的要求</w:t>
            </w:r>
          </w:p>
          <w:p w14:paraId="782C41C4">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——调查线路设立应注意代表性、随机性、整体性和可达性相结合；</w:t>
            </w:r>
          </w:p>
          <w:p w14:paraId="69F3F8C5">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——样线的布局尽可能全面，分布在整个调查区域内的各代表性地段，避免在一些地区产生漏空，并用GPS记录路线。</w:t>
            </w:r>
          </w:p>
          <w:p w14:paraId="739AE1A3">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 xml:space="preserve">② 调查样地及样方设置的要求 </w:t>
            </w:r>
          </w:p>
          <w:p w14:paraId="58831B6A">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——乔木树种及大灌木主样方面积为100m2 (10m×10m)。主样方通常设置为正方形，特殊情况下也可设置为长方形，但其最短边不小于5m；</w:t>
            </w:r>
          </w:p>
          <w:p w14:paraId="08EA37D2">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——灌木植物及高大草本主样方面积为25m2 (5m×5m)；</w:t>
            </w:r>
          </w:p>
          <w:p w14:paraId="41790FB4">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——草本植物主样方面积为1m2 (1m×1m)；</w:t>
            </w:r>
          </w:p>
          <w:p w14:paraId="73975FED">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——藤本植物：生长在乔木林总的主样方面积为100m2 (10m×10m)；生长在灌木丛中的主样方面积为25m2 (5m×5m)；</w:t>
            </w:r>
          </w:p>
          <w:p w14:paraId="06342EC1">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——为保证调查所需精度，两个样地之间的距离不小于100m，各植物群落至少1个样地。</w:t>
            </w:r>
          </w:p>
          <w:p w14:paraId="163F2742">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③ 技术要求</w:t>
            </w:r>
          </w:p>
          <w:p w14:paraId="7EC16FFC">
            <w:pPr>
              <w:pStyle w:val="5"/>
              <w:spacing w:line="360" w:lineRule="auto"/>
              <w:ind w:firstLine="640"/>
              <w:rPr>
                <w:rFonts w:hint="eastAsia" w:ascii="仿宋_GB2312" w:hAnsi="仿宋_GB2312" w:eastAsia="仿宋_GB2312" w:cs="仿宋_GB2312"/>
                <w:sz w:val="24"/>
                <w:szCs w:val="24"/>
                <w:u w:val="none" w:color="auto"/>
              </w:rPr>
            </w:pPr>
            <w:r>
              <w:rPr>
                <w:rFonts w:hint="eastAsia" w:ascii="仿宋_GB2312" w:hAnsi="仿宋_GB2312" w:eastAsia="仿宋_GB2312" w:cs="仿宋_GB2312"/>
                <w:sz w:val="24"/>
                <w:szCs w:val="24"/>
                <w:u w:val="none" w:color="auto"/>
              </w:rPr>
              <w:t>胸径≥5cm的乔木、小乔木树种要求每木检尺；灌木树种及草本以丛或株为单位调查记载，填写植物资源记录表，见《海岸带生态系统现状调查与评估技术导则 第8部分：砂质海岸技术导则》(T/CAOE 20.8-2020)附录G表G.1；其他记录可按照《野生植物资源调查技术规程》（LY/T 1820-2009）中附录B的规定执行。</w:t>
            </w:r>
          </w:p>
          <w:p w14:paraId="3857EA24">
            <w:pPr>
              <w:pStyle w:val="15"/>
              <w:widowControl w:val="0"/>
              <w:spacing w:line="360" w:lineRule="auto"/>
              <w:jc w:val="left"/>
              <w:rPr>
                <w:rFonts w:hint="eastAsia" w:ascii="仿宋" w:hAnsi="仿宋" w:eastAsia="仿宋" w:cs="仿宋"/>
                <w:b w:val="0"/>
                <w:bCs/>
                <w:color w:val="auto"/>
                <w:sz w:val="24"/>
                <w:szCs w:val="24"/>
                <w:highlight w:val="none"/>
                <w:lang w:val="en-US" w:eastAsia="zh-CN"/>
              </w:rPr>
            </w:pPr>
            <w:r>
              <w:rPr>
                <w:rFonts w:hint="eastAsia" w:ascii="仿宋_GB2312" w:hAnsi="仿宋_GB2312" w:eastAsia="仿宋_GB2312" w:cs="仿宋_GB2312"/>
                <w:sz w:val="24"/>
                <w:szCs w:val="24"/>
                <w:u w:val="none" w:color="auto"/>
              </w:rPr>
              <w:t>通过卫星遥感影像解译获取后滨植被面积，遥感影像分辨率应不低于0.6m，成图比例尺精度不小于1:5000；通过无人机遥感影像解译获取后滨植被面积，遥感影像分辨率应不低于0.3m，成图比例尺精度不小于1:3000。</w:t>
            </w:r>
          </w:p>
        </w:tc>
        <w:tc>
          <w:tcPr>
            <w:tcW w:w="2872" w:type="dxa"/>
            <w:tcBorders>
              <w:top w:val="single" w:color="auto" w:sz="4" w:space="0"/>
              <w:left w:val="single" w:color="auto" w:sz="4" w:space="0"/>
              <w:bottom w:val="single" w:color="auto" w:sz="4" w:space="0"/>
              <w:right w:val="single" w:color="auto" w:sz="4" w:space="0"/>
            </w:tcBorders>
            <w:vAlign w:val="center"/>
          </w:tcPr>
          <w:p w14:paraId="08828BDD">
            <w:pPr>
              <w:pStyle w:val="9"/>
              <w:widowControl w:val="0"/>
              <w:shd w:val="clear"/>
              <w:spacing w:before="0" w:beforeAutospacing="0" w:after="0" w:afterAutospacing="0" w:line="240" w:lineRule="auto"/>
              <w:jc w:val="center"/>
              <w:rPr>
                <w:rFonts w:hint="eastAsia" w:ascii="仿宋" w:hAnsi="仿宋" w:eastAsia="仿宋" w:cs="仿宋"/>
                <w:bCs/>
                <w:color w:val="auto"/>
                <w:kern w:val="2"/>
                <w:sz w:val="24"/>
                <w:szCs w:val="24"/>
                <w:highlight w:val="none"/>
              </w:rPr>
            </w:pPr>
          </w:p>
        </w:tc>
        <w:tc>
          <w:tcPr>
            <w:tcW w:w="825" w:type="dxa"/>
            <w:tcBorders>
              <w:top w:val="single" w:color="auto" w:sz="4" w:space="0"/>
              <w:left w:val="single" w:color="auto" w:sz="4" w:space="0"/>
              <w:bottom w:val="single" w:color="auto" w:sz="4" w:space="0"/>
              <w:right w:val="single" w:color="auto" w:sz="4" w:space="0"/>
            </w:tcBorders>
            <w:vAlign w:val="center"/>
          </w:tcPr>
          <w:p w14:paraId="133C59C1">
            <w:pPr>
              <w:pStyle w:val="9"/>
              <w:widowControl w:val="0"/>
              <w:shd w:val="clear"/>
              <w:spacing w:before="0" w:beforeAutospacing="0" w:after="0" w:afterAutospacing="0" w:line="240" w:lineRule="auto"/>
              <w:jc w:val="center"/>
              <w:rPr>
                <w:rFonts w:hint="eastAsia" w:ascii="仿宋" w:hAnsi="仿宋" w:eastAsia="仿宋" w:cs="仿宋"/>
                <w:bCs/>
                <w:color w:val="auto"/>
                <w:kern w:val="2"/>
                <w:sz w:val="24"/>
                <w:szCs w:val="24"/>
                <w:highlight w:val="none"/>
              </w:rPr>
            </w:pPr>
          </w:p>
        </w:tc>
        <w:tc>
          <w:tcPr>
            <w:tcW w:w="675" w:type="dxa"/>
            <w:tcBorders>
              <w:top w:val="single" w:color="auto" w:sz="4" w:space="0"/>
              <w:left w:val="single" w:color="auto" w:sz="4" w:space="0"/>
              <w:bottom w:val="single" w:color="auto" w:sz="4" w:space="0"/>
              <w:right w:val="single" w:color="auto" w:sz="4" w:space="0"/>
            </w:tcBorders>
            <w:vAlign w:val="center"/>
          </w:tcPr>
          <w:p w14:paraId="0D4C0AFF">
            <w:pPr>
              <w:pStyle w:val="9"/>
              <w:widowControl w:val="0"/>
              <w:shd w:val="clear"/>
              <w:spacing w:before="0" w:beforeAutospacing="0" w:after="0" w:afterAutospacing="0" w:line="240" w:lineRule="auto"/>
              <w:jc w:val="center"/>
              <w:rPr>
                <w:rFonts w:hint="eastAsia" w:ascii="仿宋" w:hAnsi="仿宋" w:eastAsia="仿宋" w:cs="仿宋"/>
                <w:bCs/>
                <w:color w:val="auto"/>
                <w:kern w:val="2"/>
                <w:sz w:val="24"/>
                <w:szCs w:val="24"/>
                <w:highlight w:val="none"/>
              </w:rPr>
            </w:pPr>
          </w:p>
        </w:tc>
      </w:tr>
    </w:tbl>
    <w:p w14:paraId="6C46BFDA">
      <w:pPr>
        <w:pStyle w:val="9"/>
        <w:shd w:val="clear"/>
        <w:spacing w:before="0" w:beforeAutospacing="0" w:after="0" w:afterAutospacing="0"/>
        <w:rPr>
          <w:rFonts w:hint="eastAsia" w:ascii="仿宋" w:hAnsi="仿宋" w:eastAsia="仿宋" w:cs="仿宋"/>
          <w:b/>
          <w:color w:val="auto"/>
          <w:kern w:val="2"/>
          <w:sz w:val="21"/>
          <w:szCs w:val="21"/>
          <w:highlight w:val="none"/>
          <w:u w:val="single"/>
        </w:rPr>
      </w:pPr>
    </w:p>
    <w:p w14:paraId="3289C3FD">
      <w:pPr>
        <w:widowControl/>
        <w:shd w:val="clear"/>
        <w:spacing w:line="360" w:lineRule="auto"/>
        <w:jc w:val="left"/>
        <w:rPr>
          <w:rFonts w:hint="eastAsia" w:ascii="仿宋" w:hAnsi="仿宋" w:eastAsia="仿宋" w:cs="仿宋"/>
          <w:color w:val="auto"/>
          <w:kern w:val="0"/>
          <w:sz w:val="24"/>
          <w:highlight w:val="none"/>
          <w:lang w:bidi="ar"/>
        </w:rPr>
      </w:pPr>
      <w:r>
        <w:rPr>
          <w:rFonts w:hint="eastAsia" w:ascii="仿宋" w:hAnsi="仿宋" w:eastAsia="仿宋" w:cs="仿宋"/>
          <w:color w:val="auto"/>
          <w:kern w:val="0"/>
          <w:sz w:val="24"/>
          <w:highlight w:val="none"/>
          <w:lang w:bidi="ar"/>
        </w:rPr>
        <w:t>注：1.对</w:t>
      </w:r>
      <w:r>
        <w:rPr>
          <w:rFonts w:hint="eastAsia" w:ascii="仿宋" w:hAnsi="仿宋" w:eastAsia="仿宋" w:cs="仿宋"/>
          <w:color w:val="auto"/>
          <w:kern w:val="0"/>
          <w:sz w:val="24"/>
          <w:highlight w:val="none"/>
          <w:lang w:eastAsia="zh-CN" w:bidi="ar"/>
        </w:rPr>
        <w:t>竞争性磋商</w:t>
      </w:r>
      <w:r>
        <w:rPr>
          <w:rFonts w:hint="eastAsia" w:ascii="仿宋" w:hAnsi="仿宋" w:eastAsia="仿宋" w:cs="仿宋"/>
          <w:color w:val="auto"/>
          <w:kern w:val="0"/>
          <w:sz w:val="24"/>
          <w:highlight w:val="none"/>
          <w:lang w:bidi="ar"/>
        </w:rPr>
        <w:t>文件中的所有技术要求，除本表所列明的所有偏离外，均视作</w:t>
      </w:r>
      <w:r>
        <w:rPr>
          <w:rFonts w:hint="eastAsia" w:ascii="仿宋" w:hAnsi="仿宋" w:eastAsia="仿宋" w:cs="仿宋"/>
          <w:color w:val="auto"/>
          <w:kern w:val="0"/>
          <w:sz w:val="24"/>
          <w:highlight w:val="none"/>
          <w:lang w:val="en-US" w:eastAsia="zh-CN" w:bidi="ar"/>
        </w:rPr>
        <w:t>供应商</w:t>
      </w:r>
      <w:r>
        <w:rPr>
          <w:rFonts w:hint="eastAsia" w:ascii="仿宋" w:hAnsi="仿宋" w:eastAsia="仿宋" w:cs="仿宋"/>
          <w:color w:val="auto"/>
          <w:kern w:val="0"/>
          <w:sz w:val="24"/>
          <w:highlight w:val="none"/>
          <w:lang w:bidi="ar"/>
        </w:rPr>
        <w:t>已对之理解和响应。此表中若无任何文字说明，内容为空白的，</w:t>
      </w:r>
      <w:r>
        <w:rPr>
          <w:rFonts w:hint="eastAsia" w:ascii="仿宋" w:hAnsi="仿宋" w:eastAsia="仿宋" w:cs="仿宋"/>
          <w:b/>
          <w:bCs/>
          <w:color w:val="auto"/>
          <w:kern w:val="0"/>
          <w:sz w:val="24"/>
          <w:highlight w:val="none"/>
          <w:lang w:val="en-US" w:eastAsia="zh-CN" w:bidi="ar"/>
        </w:rPr>
        <w:t>响应</w:t>
      </w:r>
      <w:r>
        <w:rPr>
          <w:rFonts w:hint="eastAsia" w:ascii="仿宋" w:hAnsi="仿宋" w:eastAsia="仿宋" w:cs="仿宋"/>
          <w:b/>
          <w:bCs/>
          <w:color w:val="auto"/>
          <w:kern w:val="0"/>
          <w:sz w:val="24"/>
          <w:highlight w:val="none"/>
          <w:lang w:bidi="ar"/>
        </w:rPr>
        <w:t>无效</w:t>
      </w:r>
      <w:r>
        <w:rPr>
          <w:rFonts w:hint="eastAsia" w:ascii="仿宋" w:hAnsi="仿宋" w:eastAsia="仿宋" w:cs="仿宋"/>
          <w:color w:val="auto"/>
          <w:kern w:val="0"/>
          <w:sz w:val="24"/>
          <w:highlight w:val="none"/>
          <w:lang w:bidi="ar"/>
        </w:rPr>
        <w:t>。</w:t>
      </w:r>
    </w:p>
    <w:p w14:paraId="5ACAC846">
      <w:pPr>
        <w:widowControl/>
        <w:numPr>
          <w:ilvl w:val="0"/>
          <w:numId w:val="0"/>
        </w:numPr>
        <w:shd w:val="clear"/>
        <w:spacing w:line="360" w:lineRule="auto"/>
        <w:jc w:val="left"/>
        <w:rPr>
          <w:rFonts w:hint="eastAsia" w:ascii="仿宋" w:hAnsi="仿宋" w:eastAsia="仿宋" w:cs="仿宋"/>
          <w:color w:val="auto"/>
          <w:kern w:val="0"/>
          <w:sz w:val="24"/>
          <w:highlight w:val="none"/>
          <w:lang w:eastAsia="zh-CN" w:bidi="ar"/>
        </w:rPr>
      </w:pPr>
      <w:r>
        <w:rPr>
          <w:rFonts w:hint="eastAsia" w:ascii="仿宋" w:hAnsi="仿宋" w:eastAsia="仿宋" w:cs="仿宋"/>
          <w:color w:val="auto"/>
          <w:kern w:val="0"/>
          <w:sz w:val="24"/>
          <w:szCs w:val="24"/>
          <w:lang w:val="en-US" w:eastAsia="zh-CN" w:bidi="ar"/>
        </w:rPr>
        <w:t>2.</w:t>
      </w:r>
      <w:r>
        <w:rPr>
          <w:rFonts w:hint="eastAsia" w:ascii="仿宋" w:hAnsi="仿宋" w:eastAsia="仿宋" w:cs="仿宋"/>
          <w:color w:val="auto"/>
          <w:kern w:val="0"/>
          <w:sz w:val="24"/>
          <w:highlight w:val="none"/>
          <w:lang w:bidi="ar"/>
        </w:rPr>
        <w:t>“偏离情况”列应据实填写“无偏离”、“正偏离”或“负偏离”</w:t>
      </w:r>
      <w:r>
        <w:rPr>
          <w:rFonts w:hint="eastAsia" w:ascii="仿宋" w:hAnsi="仿宋" w:eastAsia="仿宋" w:cs="仿宋"/>
          <w:color w:val="auto"/>
          <w:kern w:val="0"/>
          <w:sz w:val="24"/>
          <w:highlight w:val="none"/>
          <w:lang w:eastAsia="zh-CN" w:bidi="ar"/>
        </w:rPr>
        <w:t>。</w:t>
      </w:r>
    </w:p>
    <w:p w14:paraId="2EE0B555">
      <w:pPr>
        <w:widowControl/>
        <w:numPr>
          <w:ilvl w:val="0"/>
          <w:numId w:val="0"/>
        </w:numPr>
        <w:shd w:val="clear"/>
        <w:spacing w:line="360" w:lineRule="auto"/>
        <w:jc w:val="left"/>
        <w:rPr>
          <w:rFonts w:hint="eastAsia" w:ascii="仿宋" w:hAnsi="仿宋" w:eastAsia="仿宋" w:cs="仿宋"/>
          <w:color w:val="auto"/>
          <w:kern w:val="0"/>
          <w:sz w:val="24"/>
          <w:highlight w:val="none"/>
          <w:lang w:bidi="ar"/>
        </w:rPr>
      </w:pPr>
      <w:r>
        <w:rPr>
          <w:rFonts w:hint="eastAsia" w:ascii="仿宋" w:hAnsi="仿宋" w:eastAsia="仿宋" w:cs="仿宋"/>
          <w:color w:val="auto"/>
          <w:kern w:val="0"/>
          <w:sz w:val="24"/>
          <w:szCs w:val="24"/>
          <w:lang w:val="en-US" w:eastAsia="zh-CN" w:bidi="ar"/>
        </w:rPr>
        <w:t>3.</w:t>
      </w:r>
      <w:r>
        <w:rPr>
          <w:rFonts w:hint="eastAsia" w:ascii="仿宋" w:hAnsi="仿宋" w:eastAsia="仿宋" w:cs="仿宋"/>
          <w:color w:val="auto"/>
          <w:kern w:val="0"/>
          <w:sz w:val="24"/>
          <w:highlight w:val="none"/>
          <w:lang w:bidi="ar"/>
        </w:rPr>
        <w:t>表格长度可根据需要自行调整。</w:t>
      </w:r>
    </w:p>
    <w:p w14:paraId="3EEE2A0A">
      <w:pPr>
        <w:widowControl/>
        <w:shd w:val="clear"/>
        <w:spacing w:line="360" w:lineRule="auto"/>
        <w:jc w:val="left"/>
        <w:rPr>
          <w:rFonts w:hint="eastAsia" w:ascii="仿宋" w:hAnsi="仿宋" w:eastAsia="仿宋" w:cs="仿宋"/>
          <w:color w:val="auto"/>
          <w:kern w:val="0"/>
          <w:sz w:val="24"/>
          <w:highlight w:val="none"/>
          <w:lang w:bidi="ar"/>
        </w:rPr>
      </w:pPr>
    </w:p>
    <w:p w14:paraId="2B4C5CD8">
      <w:pPr>
        <w:widowControl/>
        <w:shd w:val="clear"/>
        <w:spacing w:line="360" w:lineRule="auto"/>
        <w:jc w:val="left"/>
        <w:rPr>
          <w:rFonts w:hint="eastAsia" w:ascii="仿宋" w:hAnsi="仿宋" w:eastAsia="仿宋" w:cs="仿宋"/>
          <w:color w:val="auto"/>
          <w:sz w:val="24"/>
          <w:highlight w:val="none"/>
        </w:rPr>
      </w:pPr>
      <w:r>
        <w:rPr>
          <w:rFonts w:hint="eastAsia" w:ascii="仿宋" w:hAnsi="仿宋" w:eastAsia="仿宋" w:cs="仿宋"/>
          <w:color w:val="auto"/>
          <w:kern w:val="0"/>
          <w:sz w:val="24"/>
          <w:highlight w:val="none"/>
          <w:lang w:eastAsia="zh-CN" w:bidi="ar"/>
        </w:rPr>
        <w:t>供应商</w:t>
      </w:r>
      <w:r>
        <w:rPr>
          <w:rFonts w:hint="eastAsia" w:ascii="仿宋" w:hAnsi="仿宋" w:eastAsia="仿宋" w:cs="仿宋"/>
          <w:color w:val="auto"/>
          <w:kern w:val="0"/>
          <w:sz w:val="24"/>
          <w:highlight w:val="none"/>
          <w:lang w:bidi="ar"/>
        </w:rPr>
        <w:t>名称（加盖公章）：</w:t>
      </w:r>
    </w:p>
    <w:p w14:paraId="2B928C7B">
      <w:pPr>
        <w:widowControl/>
        <w:shd w:val="clear"/>
        <w:spacing w:line="360" w:lineRule="auto"/>
        <w:jc w:val="left"/>
        <w:rPr>
          <w:rFonts w:hint="eastAsia" w:ascii="仿宋" w:hAnsi="仿宋" w:eastAsia="仿宋" w:cs="仿宋"/>
          <w:color w:val="auto"/>
          <w:sz w:val="24"/>
          <w:highlight w:val="none"/>
        </w:rPr>
      </w:pPr>
      <w:r>
        <w:rPr>
          <w:rFonts w:hint="eastAsia" w:ascii="仿宋" w:hAnsi="仿宋" w:eastAsia="仿宋" w:cs="仿宋"/>
          <w:color w:val="auto"/>
          <w:kern w:val="0"/>
          <w:sz w:val="24"/>
          <w:highlight w:val="none"/>
          <w:lang w:bidi="ar"/>
        </w:rPr>
        <w:t>日期：    年    月    日</w:t>
      </w:r>
    </w:p>
    <w:p w14:paraId="3AD55221"/>
    <w:sectPr>
      <w:pgSz w:w="16838" w:h="11906" w:orient="landscape"/>
      <w:pgMar w:top="1440" w:right="1440" w:bottom="144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34"/>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_GB2312">
    <w:panose1 w:val="02010609030101010101"/>
    <w:charset w:val="86"/>
    <w:family w:val="modern"/>
    <w:pitch w:val="default"/>
    <w:sig w:usb0="00000001" w:usb1="080E0000" w:usb2="00000000" w:usb3="00000000" w:csb0="00040000" w:csb1="00000000"/>
  </w:font>
  <w:font w:name="Cambria">
    <w:panose1 w:val="02040503050406030204"/>
    <w:charset w:val="00"/>
    <w:family w:val="roman"/>
    <w:pitch w:val="default"/>
    <w:sig w:usb0="E00006FF" w:usb1="420024FF" w:usb2="02000000" w:usb3="00000000" w:csb0="2000019F" w:csb1="00000000"/>
  </w:font>
  <w:font w:name="DFKai-SB">
    <w:altName w:val="Microsoft JhengHei Light"/>
    <w:panose1 w:val="03000509000000000000"/>
    <w:charset w:val="88"/>
    <w:family w:val="script"/>
    <w:pitch w:val="default"/>
    <w:sig w:usb0="00000000" w:usb1="00000000" w:usb2="00000016" w:usb3="00000000" w:csb0="00100001" w:csb1="00000000"/>
  </w:font>
  <w:font w:name="Microsoft JhengHei Light">
    <w:panose1 w:val="020B0304030504040204"/>
    <w:charset w:val="88"/>
    <w:family w:val="auto"/>
    <w:pitch w:val="default"/>
    <w:sig w:usb0="800002A7" w:usb1="28CF4400" w:usb2="00000016" w:usb3="00000000" w:csb0="00100009" w:csb1="00000000"/>
  </w:font>
  <w:font w:name="仿宋">
    <w:panose1 w:val="02010609060101010101"/>
    <w:charset w:val="86"/>
    <w:family w:val="modern"/>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1336A1D"/>
    <w:rsid w:val="04AE21FF"/>
    <w:rsid w:val="090415BD"/>
    <w:rsid w:val="0A726EFC"/>
    <w:rsid w:val="10A952BC"/>
    <w:rsid w:val="114C04A7"/>
    <w:rsid w:val="1165406E"/>
    <w:rsid w:val="1171428F"/>
    <w:rsid w:val="129B5D84"/>
    <w:rsid w:val="185904A1"/>
    <w:rsid w:val="18CA14A4"/>
    <w:rsid w:val="1A772A39"/>
    <w:rsid w:val="1D377B7C"/>
    <w:rsid w:val="1EE61CE1"/>
    <w:rsid w:val="2B6E5779"/>
    <w:rsid w:val="2F2B3D4C"/>
    <w:rsid w:val="2FD875A5"/>
    <w:rsid w:val="31CF3C88"/>
    <w:rsid w:val="32833432"/>
    <w:rsid w:val="37A27B7B"/>
    <w:rsid w:val="39281DF4"/>
    <w:rsid w:val="432602A9"/>
    <w:rsid w:val="4852762D"/>
    <w:rsid w:val="486C64B8"/>
    <w:rsid w:val="48DB1820"/>
    <w:rsid w:val="49DB5E2A"/>
    <w:rsid w:val="4A436C34"/>
    <w:rsid w:val="4FD9094C"/>
    <w:rsid w:val="509001A0"/>
    <w:rsid w:val="51E43809"/>
    <w:rsid w:val="524953D2"/>
    <w:rsid w:val="5CE87462"/>
    <w:rsid w:val="5D1D06D5"/>
    <w:rsid w:val="60C767CF"/>
    <w:rsid w:val="60FD1A75"/>
    <w:rsid w:val="61747CA3"/>
    <w:rsid w:val="66097A86"/>
    <w:rsid w:val="668F2719"/>
    <w:rsid w:val="6A283B1A"/>
    <w:rsid w:val="6B436D9B"/>
    <w:rsid w:val="6D8B6DD7"/>
    <w:rsid w:val="750E6C6B"/>
    <w:rsid w:val="76C269AB"/>
    <w:rsid w:val="79101319"/>
    <w:rsid w:val="7A1551D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1" w:semiHidden="0" w:name="heading 1"/>
    <w:lsdException w:qFormat="1" w:unhideWhenUsed="0" w:uiPriority="9" w:semiHidden="0" w:name="heading 2"/>
    <w:lsdException w:qFormat="1" w:uiPriority="1"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99"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nhideWhenUsed="0"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1"/>
    <w:pPr>
      <w:keepNext/>
      <w:keepLines/>
      <w:spacing w:before="200" w:after="200"/>
      <w:outlineLvl w:val="0"/>
    </w:pPr>
    <w:rPr>
      <w:rFonts w:eastAsia="黑体"/>
      <w:b/>
      <w:bCs/>
      <w:kern w:val="44"/>
      <w:sz w:val="32"/>
      <w:szCs w:val="44"/>
    </w:rPr>
  </w:style>
  <w:style w:type="paragraph" w:styleId="3">
    <w:name w:val="heading 2"/>
    <w:basedOn w:val="1"/>
    <w:next w:val="1"/>
    <w:qFormat/>
    <w:uiPriority w:val="9"/>
    <w:pPr>
      <w:keepNext/>
      <w:keepLines/>
      <w:spacing w:before="100" w:beforeLines="0" w:beforeAutospacing="1" w:after="100" w:afterLines="0" w:afterAutospacing="1" w:line="360" w:lineRule="auto"/>
      <w:outlineLvl w:val="1"/>
    </w:pPr>
    <w:rPr>
      <w:rFonts w:ascii="Arial" w:hAnsi="Arial" w:eastAsia="黑体"/>
      <w:b/>
      <w:bCs/>
      <w:sz w:val="36"/>
      <w:szCs w:val="32"/>
    </w:rPr>
  </w:style>
  <w:style w:type="paragraph" w:styleId="4">
    <w:name w:val="heading 3"/>
    <w:basedOn w:val="1"/>
    <w:next w:val="1"/>
    <w:unhideWhenUsed/>
    <w:qFormat/>
    <w:uiPriority w:val="1"/>
    <w:pPr>
      <w:outlineLvl w:val="2"/>
    </w:pPr>
    <w:rPr>
      <w:b/>
      <w:bCs/>
      <w:szCs w:val="32"/>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5">
    <w:name w:val="Normal Indent"/>
    <w:basedOn w:val="1"/>
    <w:unhideWhenUsed/>
    <w:qFormat/>
    <w:uiPriority w:val="99"/>
    <w:pPr>
      <w:adjustRightInd w:val="0"/>
      <w:ind w:firstLine="420"/>
      <w:jc w:val="left"/>
      <w:textAlignment w:val="baseline"/>
    </w:pPr>
    <w:rPr>
      <w:rFonts w:eastAsia="楷体_GB2312"/>
      <w:sz w:val="24"/>
      <w:szCs w:val="20"/>
    </w:rPr>
  </w:style>
  <w:style w:type="paragraph" w:styleId="6">
    <w:name w:val="caption"/>
    <w:basedOn w:val="1"/>
    <w:next w:val="1"/>
    <w:qFormat/>
    <w:uiPriority w:val="0"/>
    <w:pPr>
      <w:widowControl w:val="0"/>
      <w:spacing w:line="360" w:lineRule="auto"/>
      <w:jc w:val="center"/>
    </w:pPr>
    <w:rPr>
      <w:rFonts w:ascii="Cambria" w:hAnsi="Cambria" w:eastAsia="黑体" w:cs="Times New Roman"/>
      <w:kern w:val="2"/>
      <w:sz w:val="24"/>
      <w:szCs w:val="24"/>
      <w:lang w:val="en-US" w:eastAsia="zh-CN" w:bidi="ar-SA"/>
    </w:rPr>
  </w:style>
  <w:style w:type="paragraph" w:styleId="7">
    <w:name w:val="Body Text Indent"/>
    <w:basedOn w:val="1"/>
    <w:qFormat/>
    <w:uiPriority w:val="99"/>
    <w:pPr>
      <w:autoSpaceDE w:val="0"/>
      <w:autoSpaceDN w:val="0"/>
      <w:ind w:left="181" w:firstLine="539"/>
    </w:pPr>
  </w:style>
  <w:style w:type="paragraph" w:styleId="8">
    <w:name w:val="header"/>
    <w:basedOn w:val="1"/>
    <w:next w:val="6"/>
    <w:qFormat/>
    <w:uiPriority w:val="0"/>
    <w:pPr>
      <w:widowControl w:val="0"/>
      <w:pBdr>
        <w:top w:val="none" w:color="auto" w:sz="0" w:space="1"/>
        <w:left w:val="none" w:color="auto" w:sz="0" w:space="4"/>
        <w:bottom w:val="none" w:color="auto" w:sz="0" w:space="1"/>
        <w:right w:val="none" w:color="auto" w:sz="0" w:space="4"/>
      </w:pBdr>
      <w:tabs>
        <w:tab w:val="center" w:pos="4153"/>
        <w:tab w:val="right" w:pos="8306"/>
      </w:tabs>
      <w:snapToGrid w:val="0"/>
      <w:jc w:val="both"/>
    </w:pPr>
    <w:rPr>
      <w:rFonts w:ascii="Times New Roman" w:hAnsi="Times New Roman" w:eastAsia="宋体" w:cs="Times New Roman"/>
      <w:kern w:val="2"/>
      <w:sz w:val="18"/>
      <w:szCs w:val="24"/>
      <w:lang w:val="en-US" w:eastAsia="zh-CN" w:bidi="ar-SA"/>
    </w:rPr>
  </w:style>
  <w:style w:type="paragraph" w:styleId="9">
    <w:name w:val="Normal (Web)"/>
    <w:basedOn w:val="1"/>
    <w:qFormat/>
    <w:uiPriority w:val="0"/>
    <w:pPr>
      <w:widowControl/>
      <w:spacing w:before="100" w:beforeAutospacing="1" w:after="100" w:afterAutospacing="1" w:line="320" w:lineRule="atLeast"/>
      <w:jc w:val="left"/>
    </w:pPr>
    <w:rPr>
      <w:rFonts w:ascii="宋体" w:hAnsi="宋体"/>
      <w:kern w:val="0"/>
      <w:sz w:val="18"/>
      <w:szCs w:val="18"/>
    </w:rPr>
  </w:style>
  <w:style w:type="paragraph" w:styleId="10">
    <w:name w:val="Body Text First Indent 2"/>
    <w:basedOn w:val="7"/>
    <w:qFormat/>
    <w:uiPriority w:val="99"/>
    <w:pPr>
      <w:autoSpaceDE/>
      <w:autoSpaceDN/>
      <w:spacing w:after="120" w:line="240" w:lineRule="auto"/>
      <w:ind w:left="480" w:leftChars="200" w:firstLine="210" w:firstLineChars="100"/>
      <w:jc w:val="left"/>
    </w:pPr>
    <w:rPr>
      <w:rFonts w:ascii="DFKai-SB" w:eastAsia="DFKai-SB"/>
      <w:kern w:val="0"/>
      <w:sz w:val="28"/>
      <w:szCs w:val="24"/>
      <w:lang w:eastAsia="zh-TW"/>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4">
    <w:name w:val="无间隔1"/>
    <w:qFormat/>
    <w:uiPriority w:val="99"/>
    <w:rPr>
      <w:rFonts w:ascii="Calibri" w:hAnsi="Calibri" w:eastAsia="宋体" w:cs="Times New Roman"/>
      <w:kern w:val="2"/>
      <w:sz w:val="21"/>
      <w:szCs w:val="22"/>
      <w:lang w:val="en-US" w:eastAsia="zh-CN" w:bidi="ar-SA"/>
    </w:rPr>
  </w:style>
  <w:style w:type="paragraph" w:customStyle="1" w:styleId="15">
    <w:name w:val="null3"/>
    <w:qFormat/>
    <w:uiPriority w:val="0"/>
    <w:rPr>
      <w:rFonts w:hint="eastAsia" w:ascii="Calibri" w:hAnsi="Calibri" w:eastAsia="宋体" w:cs="黑体"/>
      <w:lang w:val="en-US" w:eastAsia="zh-CN" w:bidi="ar-SA"/>
    </w:rPr>
  </w:style>
  <w:style w:type="paragraph" w:customStyle="1" w:styleId="16">
    <w:name w:val="表格内容"/>
    <w:qFormat/>
    <w:uiPriority w:val="0"/>
    <w:pPr>
      <w:adjustRightInd w:val="0"/>
      <w:snapToGrid w:val="0"/>
      <w:jc w:val="center"/>
      <w:textAlignment w:val="center"/>
    </w:pPr>
    <w:rPr>
      <w:rFonts w:ascii="Times New Roman" w:hAnsi="Times New Roman" w:eastAsia="宋体" w:cs="Times New Roman"/>
      <w:kern w:val="2"/>
      <w:sz w:val="21"/>
      <w:szCs w:val="21"/>
      <w:lang w:val="en-US" w:eastAsia="zh-CN" w:bidi="ar-SA"/>
    </w:rPr>
  </w:style>
  <w:style w:type="paragraph" w:customStyle="1" w:styleId="17">
    <w:name w:val="表格"/>
    <w:qFormat/>
    <w:uiPriority w:val="0"/>
    <w:pPr>
      <w:adjustRightInd w:val="0"/>
      <w:snapToGrid w:val="0"/>
      <w:spacing w:line="240" w:lineRule="atLeast"/>
      <w:jc w:val="center"/>
    </w:pPr>
    <w:rPr>
      <w:rFonts w:ascii="Times New Roman" w:hAnsi="Times New Roman" w:eastAsia="宋体" w:cs="Times New Roman"/>
      <w:sz w:val="24"/>
      <w:lang w:val="en-US" w:eastAsia="zh-CN" w:bidi="ar-SA"/>
    </w:rPr>
  </w:style>
  <w:style w:type="character" w:customStyle="1" w:styleId="18">
    <w:name w:val="fontstyle01"/>
    <w:basedOn w:val="13"/>
    <w:qFormat/>
    <w:uiPriority w:val="0"/>
    <w:rPr>
      <w:rFonts w:hint="default" w:ascii="仿宋" w:hAnsi="仿宋"/>
      <w:color w:val="000000"/>
      <w:sz w:val="28"/>
      <w:szCs w:val="28"/>
    </w:rPr>
  </w:style>
  <w:style w:type="paragraph" w:styleId="19">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12</Pages>
  <Words>2407</Words>
  <Characters>2694</Characters>
  <Lines>0</Lines>
  <Paragraphs>0</Paragraphs>
  <TotalTime>2</TotalTime>
  <ScaleCrop>false</ScaleCrop>
  <LinksUpToDate>false</LinksUpToDate>
  <CharactersWithSpaces>2761</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2025-02-14T07:54:00Z</dcterms:created>
  <dc:creator>JIJUN</dc:creator>
  <cp:lastModifiedBy>123</cp:lastModifiedBy>
  <dcterms:modified xsi:type="dcterms:W3CDTF">2025-08-20T02:58:49Z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KSOTemplateDocerSaveRecord">
    <vt:lpwstr>eyJoZGlkIjoiMDlmY2JkMDU5ZTYyMzg5Mzk4NmNmNGJmZjc0MmRjOTMiLCJ1c2VySWQiOiIyNzQzNjA2MjIifQ==</vt:lpwstr>
  </property>
  <property fmtid="{D5CDD505-2E9C-101B-9397-08002B2CF9AE}" pid="4" name="ICV">
    <vt:lpwstr>F3ECF173148E42AAB28812997EA6F82D_12</vt:lpwstr>
  </property>
</Properties>
</file>