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E13EDE">
      <w:pPr>
        <w:keepNext w:val="0"/>
        <w:keepLines w:val="0"/>
        <w:pageBreakBefore w:val="0"/>
        <w:kinsoku/>
        <w:wordWrap/>
        <w:overflowPunct/>
        <w:topLinePunct w:val="0"/>
        <w:bidi w:val="0"/>
        <w:snapToGrid/>
        <w:spacing w:beforeAutospacing="0" w:afterAutospacing="0" w:line="360" w:lineRule="auto"/>
        <w:jc w:val="center"/>
        <w:rPr>
          <w:rFonts w:hint="eastAsia" w:ascii="仿宋_GB2312" w:hAnsi="仿宋_GB2312" w:eastAsia="仿宋_GB2312" w:cs="仿宋_GB2312"/>
          <w:b/>
          <w:bCs/>
          <w:color w:val="auto"/>
          <w:sz w:val="40"/>
          <w:szCs w:val="40"/>
          <w:highlight w:val="none"/>
        </w:rPr>
      </w:pPr>
    </w:p>
    <w:p w14:paraId="0634E3D3">
      <w:pPr>
        <w:keepNext w:val="0"/>
        <w:keepLines w:val="0"/>
        <w:pageBreakBefore w:val="0"/>
        <w:kinsoku/>
        <w:wordWrap/>
        <w:overflowPunct/>
        <w:topLinePunct w:val="0"/>
        <w:bidi w:val="0"/>
        <w:snapToGrid/>
        <w:spacing w:beforeAutospacing="0" w:afterAutospacing="0" w:line="360" w:lineRule="auto"/>
        <w:jc w:val="center"/>
        <w:rPr>
          <w:rFonts w:hint="eastAsia" w:ascii="仿宋_GB2312" w:hAnsi="仿宋_GB2312" w:eastAsia="仿宋_GB2312" w:cs="仿宋_GB2312"/>
          <w:b/>
          <w:bCs/>
          <w:color w:val="auto"/>
          <w:sz w:val="40"/>
          <w:szCs w:val="40"/>
          <w:highlight w:val="none"/>
        </w:rPr>
      </w:pPr>
    </w:p>
    <w:p w14:paraId="5967DD22">
      <w:pPr>
        <w:keepNext w:val="0"/>
        <w:keepLines w:val="0"/>
        <w:pageBreakBefore w:val="0"/>
        <w:kinsoku/>
        <w:wordWrap/>
        <w:overflowPunct/>
        <w:topLinePunct w:val="0"/>
        <w:bidi w:val="0"/>
        <w:snapToGrid/>
        <w:spacing w:beforeAutospacing="0" w:afterAutospacing="0" w:line="360" w:lineRule="auto"/>
        <w:jc w:val="center"/>
        <w:rPr>
          <w:rFonts w:hint="eastAsia" w:ascii="仿宋_GB2312" w:hAnsi="仿宋_GB2312" w:eastAsia="仿宋_GB2312" w:cs="仿宋_GB2312"/>
          <w:b/>
          <w:bCs/>
          <w:color w:val="auto"/>
          <w:sz w:val="40"/>
          <w:szCs w:val="40"/>
          <w:highlight w:val="none"/>
        </w:rPr>
      </w:pPr>
    </w:p>
    <w:p w14:paraId="71755533">
      <w:pPr>
        <w:keepNext w:val="0"/>
        <w:keepLines w:val="0"/>
        <w:pageBreakBefore w:val="0"/>
        <w:kinsoku/>
        <w:wordWrap/>
        <w:overflowPunct/>
        <w:topLinePunct w:val="0"/>
        <w:bidi w:val="0"/>
        <w:snapToGrid/>
        <w:spacing w:beforeAutospacing="0" w:afterAutospacing="0" w:line="360" w:lineRule="auto"/>
        <w:jc w:val="center"/>
        <w:rPr>
          <w:rFonts w:hint="eastAsia" w:ascii="仿宋_GB2312" w:hAnsi="仿宋_GB2312" w:eastAsia="仿宋_GB2312" w:cs="仿宋_GB2312"/>
          <w:b/>
          <w:bCs/>
          <w:color w:val="auto"/>
          <w:sz w:val="48"/>
          <w:szCs w:val="48"/>
          <w:highlight w:val="none"/>
        </w:rPr>
      </w:pPr>
    </w:p>
    <w:p w14:paraId="2A75B12F">
      <w:pPr>
        <w:keepNext w:val="0"/>
        <w:keepLines w:val="0"/>
        <w:pageBreakBefore w:val="0"/>
        <w:kinsoku/>
        <w:wordWrap/>
        <w:overflowPunct/>
        <w:topLinePunct w:val="0"/>
        <w:bidi w:val="0"/>
        <w:snapToGrid/>
        <w:spacing w:beforeAutospacing="0" w:afterAutospacing="0" w:line="360" w:lineRule="auto"/>
        <w:jc w:val="center"/>
        <w:rPr>
          <w:rFonts w:hint="eastAsia" w:ascii="仿宋_GB2312" w:hAnsi="仿宋_GB2312" w:eastAsia="仿宋_GB2312" w:cs="仿宋_GB2312"/>
          <w:b/>
          <w:bCs/>
          <w:color w:val="auto"/>
          <w:sz w:val="48"/>
          <w:szCs w:val="48"/>
          <w:highlight w:val="none"/>
        </w:rPr>
      </w:pPr>
      <w:r>
        <w:rPr>
          <w:rFonts w:hint="eastAsia" w:ascii="仿宋_GB2312" w:hAnsi="仿宋_GB2312" w:eastAsia="仿宋_GB2312" w:cs="仿宋_GB2312"/>
          <w:b/>
          <w:bCs/>
          <w:color w:val="auto"/>
          <w:sz w:val="48"/>
          <w:szCs w:val="48"/>
          <w:highlight w:val="none"/>
        </w:rPr>
        <w:t>三亚砂质海岸保护修复工程监测与评估项目</w:t>
      </w:r>
    </w:p>
    <w:p w14:paraId="047AC5DD">
      <w:pPr>
        <w:keepNext w:val="0"/>
        <w:keepLines w:val="0"/>
        <w:pageBreakBefore w:val="0"/>
        <w:kinsoku/>
        <w:wordWrap/>
        <w:overflowPunct/>
        <w:topLinePunct w:val="0"/>
        <w:bidi w:val="0"/>
        <w:snapToGrid/>
        <w:spacing w:beforeAutospacing="0" w:afterAutospacing="0" w:line="360" w:lineRule="auto"/>
        <w:jc w:val="center"/>
        <w:rPr>
          <w:rFonts w:hint="eastAsia" w:ascii="仿宋_GB2312" w:hAnsi="仿宋_GB2312" w:eastAsia="仿宋_GB2312" w:cs="仿宋_GB2312"/>
          <w:b/>
          <w:bCs/>
          <w:color w:val="auto"/>
          <w:sz w:val="48"/>
          <w:szCs w:val="48"/>
          <w:highlight w:val="none"/>
          <w:lang w:val="en-US" w:eastAsia="zh-CN"/>
        </w:rPr>
      </w:pPr>
      <w:r>
        <w:rPr>
          <w:rFonts w:hint="eastAsia" w:ascii="仿宋_GB2312" w:hAnsi="仿宋_GB2312" w:eastAsia="仿宋_GB2312" w:cs="仿宋_GB2312"/>
          <w:b/>
          <w:bCs/>
          <w:color w:val="auto"/>
          <w:sz w:val="48"/>
          <w:szCs w:val="48"/>
          <w:highlight w:val="none"/>
        </w:rPr>
        <w:t>服务</w:t>
      </w:r>
      <w:r>
        <w:rPr>
          <w:rFonts w:hint="eastAsia" w:ascii="仿宋_GB2312" w:hAnsi="仿宋_GB2312" w:eastAsia="仿宋_GB2312" w:cs="仿宋_GB2312"/>
          <w:b/>
          <w:bCs/>
          <w:color w:val="auto"/>
          <w:sz w:val="48"/>
          <w:szCs w:val="48"/>
          <w:highlight w:val="none"/>
          <w:lang w:val="en-US" w:eastAsia="zh-CN"/>
        </w:rPr>
        <w:t>技术合同</w:t>
      </w:r>
    </w:p>
    <w:p w14:paraId="4CB3D95F">
      <w:pPr>
        <w:keepNext w:val="0"/>
        <w:keepLines w:val="0"/>
        <w:pageBreakBefore w:val="0"/>
        <w:kinsoku/>
        <w:wordWrap/>
        <w:overflowPunct/>
        <w:topLinePunct w:val="0"/>
        <w:bidi w:val="0"/>
        <w:snapToGrid/>
        <w:spacing w:beforeAutospacing="0" w:afterAutospacing="0" w:line="360" w:lineRule="auto"/>
        <w:jc w:val="center"/>
        <w:rPr>
          <w:rFonts w:hint="eastAsia" w:ascii="仿宋_GB2312" w:hAnsi="仿宋_GB2312" w:eastAsia="仿宋_GB2312" w:cs="仿宋_GB2312"/>
          <w:color w:val="auto"/>
          <w:sz w:val="28"/>
          <w:szCs w:val="28"/>
          <w:highlight w:val="none"/>
        </w:rPr>
      </w:pPr>
    </w:p>
    <w:p w14:paraId="47376CB9">
      <w:pPr>
        <w:keepNext w:val="0"/>
        <w:keepLines w:val="0"/>
        <w:pageBreakBefore w:val="0"/>
        <w:kinsoku/>
        <w:wordWrap/>
        <w:overflowPunct/>
        <w:topLinePunct w:val="0"/>
        <w:bidi w:val="0"/>
        <w:snapToGrid/>
        <w:spacing w:beforeAutospacing="0" w:afterAutospacing="0" w:line="360" w:lineRule="auto"/>
        <w:jc w:val="both"/>
        <w:rPr>
          <w:rFonts w:hint="eastAsia" w:ascii="仿宋_GB2312" w:hAnsi="仿宋_GB2312" w:eastAsia="仿宋_GB2312" w:cs="仿宋_GB2312"/>
          <w:color w:val="auto"/>
          <w:sz w:val="28"/>
          <w:szCs w:val="28"/>
          <w:highlight w:val="none"/>
        </w:rPr>
      </w:pPr>
    </w:p>
    <w:p w14:paraId="2C13D2E3">
      <w:pPr>
        <w:keepNext w:val="0"/>
        <w:keepLines w:val="0"/>
        <w:pageBreakBefore w:val="0"/>
        <w:kinsoku/>
        <w:wordWrap/>
        <w:overflowPunct/>
        <w:topLinePunct w:val="0"/>
        <w:bidi w:val="0"/>
        <w:snapToGrid/>
        <w:spacing w:beforeAutospacing="0" w:afterAutospacing="0" w:line="360" w:lineRule="auto"/>
        <w:jc w:val="center"/>
        <w:rPr>
          <w:rFonts w:hint="eastAsia" w:ascii="仿宋_GB2312" w:hAnsi="仿宋_GB2312" w:eastAsia="仿宋_GB2312" w:cs="仿宋_GB2312"/>
          <w:color w:val="auto"/>
          <w:sz w:val="28"/>
          <w:szCs w:val="28"/>
          <w:highlight w:val="none"/>
        </w:rPr>
      </w:pPr>
    </w:p>
    <w:p w14:paraId="6DBCA3F2">
      <w:pPr>
        <w:keepNext w:val="0"/>
        <w:keepLines w:val="0"/>
        <w:pageBreakBefore w:val="0"/>
        <w:kinsoku/>
        <w:wordWrap/>
        <w:overflowPunct/>
        <w:topLinePunct w:val="0"/>
        <w:bidi w:val="0"/>
        <w:snapToGrid/>
        <w:spacing w:beforeAutospacing="0" w:afterAutospacing="0" w:line="360" w:lineRule="auto"/>
        <w:ind w:left="0" w:leftChars="0" w:firstLine="2460" w:firstLineChars="875"/>
        <w:jc w:val="left"/>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委托方（甲方）：</w:t>
      </w:r>
    </w:p>
    <w:p w14:paraId="6AA4A3F0">
      <w:pPr>
        <w:keepNext w:val="0"/>
        <w:keepLines w:val="0"/>
        <w:pageBreakBefore w:val="0"/>
        <w:kinsoku/>
        <w:wordWrap/>
        <w:overflowPunct/>
        <w:topLinePunct w:val="0"/>
        <w:bidi w:val="0"/>
        <w:snapToGrid/>
        <w:spacing w:beforeAutospacing="0" w:afterAutospacing="0" w:line="360" w:lineRule="auto"/>
        <w:ind w:left="0" w:leftChars="0" w:firstLine="2460" w:firstLineChars="875"/>
        <w:jc w:val="left"/>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受托方（乙方）：</w:t>
      </w:r>
    </w:p>
    <w:p w14:paraId="7E432960">
      <w:pPr>
        <w:keepNext w:val="0"/>
        <w:keepLines w:val="0"/>
        <w:pageBreakBefore w:val="0"/>
        <w:kinsoku/>
        <w:wordWrap/>
        <w:overflowPunct/>
        <w:topLinePunct w:val="0"/>
        <w:bidi w:val="0"/>
        <w:snapToGrid/>
        <w:spacing w:beforeAutospacing="0" w:afterAutospacing="0" w:line="360" w:lineRule="auto"/>
        <w:ind w:left="0" w:leftChars="0" w:firstLine="2460" w:firstLineChars="875"/>
        <w:jc w:val="left"/>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签订时间：     年   月   日</w:t>
      </w:r>
    </w:p>
    <w:p w14:paraId="4C735A62">
      <w:pPr>
        <w:keepNext w:val="0"/>
        <w:keepLines w:val="0"/>
        <w:pageBreakBefore w:val="0"/>
        <w:kinsoku/>
        <w:wordWrap/>
        <w:overflowPunct/>
        <w:topLinePunct w:val="0"/>
        <w:bidi w:val="0"/>
        <w:snapToGrid/>
        <w:spacing w:beforeAutospacing="0" w:afterAutospacing="0" w:line="360" w:lineRule="auto"/>
        <w:ind w:left="0" w:leftChars="0" w:firstLine="2460" w:firstLineChars="875"/>
        <w:jc w:val="left"/>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签订地点：</w:t>
      </w:r>
    </w:p>
    <w:p w14:paraId="065E40CF">
      <w:pPr>
        <w:keepNext w:val="0"/>
        <w:keepLines w:val="0"/>
        <w:pageBreakBefore w:val="0"/>
        <w:kinsoku/>
        <w:wordWrap/>
        <w:overflowPunct/>
        <w:topLinePunct w:val="0"/>
        <w:bidi w:val="0"/>
        <w:snapToGrid/>
        <w:spacing w:beforeAutospacing="0" w:afterAutospacing="0" w:line="36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br w:type="page"/>
      </w:r>
    </w:p>
    <w:p w14:paraId="276BF8D0">
      <w:pPr>
        <w:keepNext w:val="0"/>
        <w:keepLines w:val="0"/>
        <w:pageBreakBefore w:val="0"/>
        <w:kinsoku/>
        <w:wordWrap/>
        <w:overflowPunct/>
        <w:topLinePunct w:val="0"/>
        <w:bidi w:val="0"/>
        <w:snapToGrid/>
        <w:spacing w:beforeAutospacing="0" w:afterAutospacing="0" w:line="360" w:lineRule="auto"/>
        <w:ind w:firstLine="560" w:firstLineChars="200"/>
        <w:jc w:val="left"/>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根据《中华人民共和国环境影响评价法》《建设项目环境保护管理条例》要求，对三亚砂质海岸保护修复工程监测与评估。经</w:t>
      </w:r>
      <w:r>
        <w:rPr>
          <w:rFonts w:hint="eastAsia" w:ascii="仿宋_GB2312" w:hAnsi="仿宋_GB2312" w:eastAsia="仿宋_GB2312" w:cs="仿宋_GB2312"/>
          <w:bCs/>
          <w:color w:val="auto"/>
          <w:sz w:val="28"/>
          <w:szCs w:val="28"/>
          <w:highlight w:val="none"/>
          <w:lang w:eastAsia="zh-CN"/>
        </w:rPr>
        <w:t>竞争性磋商</w:t>
      </w:r>
      <w:r>
        <w:rPr>
          <w:rFonts w:hint="eastAsia" w:ascii="仿宋_GB2312" w:hAnsi="仿宋_GB2312" w:eastAsia="仿宋_GB2312" w:cs="仿宋_GB2312"/>
          <w:bCs/>
          <w:color w:val="auto"/>
          <w:sz w:val="28"/>
          <w:szCs w:val="28"/>
          <w:highlight w:val="none"/>
        </w:rPr>
        <w:t>结果，甲乙双方平等协商，在真实、充分地表达各自意愿的基础上，根据《中华人民共和国民法典》的规定，达成如下协议，并由双方共同恪守。</w:t>
      </w:r>
    </w:p>
    <w:p w14:paraId="7B27673F">
      <w:pPr>
        <w:spacing w:line="360" w:lineRule="auto"/>
        <w:ind w:left="0" w:leftChars="0" w:firstLine="641" w:firstLineChars="228"/>
        <w:rPr>
          <w:rFonts w:hint="eastAsia" w:ascii="仿宋_GB2312" w:hAnsi="仿宋_GB2312" w:eastAsia="仿宋_GB2312" w:cs="仿宋_GB2312"/>
          <w:b/>
          <w:bCs/>
          <w:color w:val="auto"/>
          <w:sz w:val="28"/>
          <w:szCs w:val="28"/>
          <w:highlight w:val="none"/>
        </w:rPr>
      </w:pPr>
      <w:bookmarkStart w:id="0" w:name="_Toc5263"/>
      <w:r>
        <w:rPr>
          <w:rFonts w:hint="eastAsia" w:ascii="仿宋_GB2312" w:hAnsi="仿宋_GB2312" w:eastAsia="仿宋_GB2312" w:cs="仿宋_GB2312"/>
          <w:b/>
          <w:bCs/>
          <w:color w:val="auto"/>
          <w:sz w:val="28"/>
          <w:szCs w:val="28"/>
          <w:highlight w:val="none"/>
        </w:rPr>
        <w:t>第一条 项目内容</w:t>
      </w:r>
    </w:p>
    <w:p w14:paraId="539D332F">
      <w:pPr>
        <w:spacing w:line="360" w:lineRule="auto"/>
        <w:ind w:left="0" w:leftChars="0" w:firstLine="638" w:firstLineChars="228"/>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（一）项目服务期限：</w:t>
      </w:r>
      <w:r>
        <w:rPr>
          <w:rFonts w:hint="eastAsia" w:ascii="仿宋_GB2312" w:hAnsi="仿宋_GB2312" w:eastAsia="仿宋_GB2312" w:cs="仿宋_GB2312"/>
          <w:color w:val="auto"/>
          <w:sz w:val="28"/>
          <w:szCs w:val="28"/>
          <w:highlight w:val="none"/>
          <w:u w:val="single"/>
          <w:lang w:eastAsia="zh-CN"/>
        </w:rPr>
        <w:t>两年（</w:t>
      </w:r>
      <w:r>
        <w:rPr>
          <w:rFonts w:hint="eastAsia" w:ascii="仿宋_GB2312" w:hAnsi="仿宋_GB2312" w:eastAsia="仿宋_GB2312" w:cs="仿宋_GB2312"/>
          <w:color w:val="auto"/>
          <w:sz w:val="28"/>
          <w:szCs w:val="28"/>
          <w:highlight w:val="none"/>
          <w:u w:val="single"/>
          <w:lang w:val="en-US" w:eastAsia="zh-CN"/>
        </w:rPr>
        <w:t>自确定中标单位后，2025年下半年-2026年上半年期间完成第一年度监测任务，2026年下半年-2027年上半年期间完成第二年度监测任务</w:t>
      </w:r>
      <w:r>
        <w:rPr>
          <w:rFonts w:hint="eastAsia" w:ascii="仿宋_GB2312" w:hAnsi="仿宋_GB2312" w:eastAsia="仿宋_GB2312" w:cs="仿宋_GB2312"/>
          <w:color w:val="auto"/>
          <w:sz w:val="28"/>
          <w:szCs w:val="28"/>
          <w:highlight w:val="none"/>
          <w:u w:val="single"/>
          <w:lang w:eastAsia="zh-CN"/>
        </w:rPr>
        <w:t>，后续根据甲方或专家验收要求继续对报告修改完善）</w:t>
      </w:r>
      <w:r>
        <w:rPr>
          <w:rFonts w:hint="eastAsia" w:ascii="仿宋_GB2312" w:hAnsi="仿宋_GB2312" w:eastAsia="仿宋_GB2312" w:cs="仿宋_GB2312"/>
          <w:color w:val="auto"/>
          <w:sz w:val="28"/>
          <w:szCs w:val="28"/>
          <w:highlight w:val="none"/>
          <w:u w:val="single"/>
        </w:rPr>
        <w:t>。</w:t>
      </w:r>
    </w:p>
    <w:p w14:paraId="2DFD23CB">
      <w:pPr>
        <w:widowControl/>
        <w:ind w:left="0" w:leftChars="0" w:firstLine="638" w:firstLineChars="228"/>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rPr>
        <w:t>（二）技术服务的内容：</w:t>
      </w:r>
      <w:r>
        <w:rPr>
          <w:rFonts w:hint="eastAsia" w:ascii="仿宋_GB2312" w:hAnsi="仿宋_GB2312" w:eastAsia="仿宋_GB2312" w:cs="仿宋_GB2312"/>
          <w:color w:val="auto"/>
          <w:sz w:val="28"/>
          <w:szCs w:val="28"/>
          <w:highlight w:val="none"/>
          <w:u w:val="single"/>
          <w:lang w:eastAsia="zh-CN"/>
        </w:rPr>
        <w:t>乙方至少应该提供</w:t>
      </w:r>
      <w:r>
        <w:rPr>
          <w:rFonts w:hint="eastAsia" w:ascii="仿宋_GB2312" w:hAnsi="仿宋_GB2312" w:eastAsia="仿宋_GB2312" w:cs="仿宋_GB2312"/>
          <w:color w:val="auto"/>
          <w:sz w:val="28"/>
          <w:szCs w:val="28"/>
          <w:highlight w:val="none"/>
          <w:u w:val="single"/>
          <w:lang w:val="en-US" w:eastAsia="zh-CN"/>
        </w:rPr>
        <w:t>4次监测及每年度效果评估监测、评估报告给甲方，具体监测时间以甲方另行通知为准。</w:t>
      </w:r>
    </w:p>
    <w:p w14:paraId="5F9E2E46">
      <w:pPr>
        <w:spacing w:line="360" w:lineRule="auto"/>
        <w:ind w:left="0" w:leftChars="0" w:firstLine="641" w:firstLineChars="228"/>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第二条 技术服务要求</w:t>
      </w:r>
    </w:p>
    <w:p w14:paraId="66BAA605">
      <w:pPr>
        <w:spacing w:after="120"/>
        <w:ind w:left="0" w:leftChars="0" w:firstLine="638" w:firstLineChars="228"/>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rPr>
        <w:t>（一）技术服务进度：</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w:t>
      </w:r>
    </w:p>
    <w:p w14:paraId="13B59463">
      <w:pPr>
        <w:spacing w:line="360" w:lineRule="auto"/>
        <w:ind w:left="0" w:leftChars="0" w:firstLine="638" w:firstLineChars="228"/>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二</w:t>
      </w:r>
      <w:r>
        <w:rPr>
          <w:rFonts w:hint="eastAsia" w:ascii="仿宋_GB2312" w:hAnsi="仿宋_GB2312" w:eastAsia="仿宋_GB2312" w:cs="仿宋_GB2312"/>
          <w:color w:val="auto"/>
          <w:sz w:val="28"/>
          <w:szCs w:val="28"/>
          <w:highlight w:val="none"/>
        </w:rPr>
        <w:t>）验收的时间、地点：</w:t>
      </w:r>
      <w:r>
        <w:rPr>
          <w:rFonts w:hint="eastAsia" w:ascii="仿宋_GB2312" w:hAnsi="仿宋_GB2312" w:eastAsia="仿宋_GB2312" w:cs="仿宋_GB2312"/>
          <w:color w:val="auto"/>
          <w:sz w:val="28"/>
          <w:szCs w:val="28"/>
          <w:highlight w:val="none"/>
          <w:u w:val="single"/>
        </w:rPr>
        <w:t>由甲方指定时间、地点，并提前通知乙方。</w:t>
      </w:r>
    </w:p>
    <w:bookmarkEnd w:id="0"/>
    <w:p w14:paraId="122A42FE">
      <w:pPr>
        <w:keepNext w:val="0"/>
        <w:keepLines w:val="0"/>
        <w:pageBreakBefore w:val="0"/>
        <w:kinsoku/>
        <w:wordWrap/>
        <w:overflowPunct/>
        <w:topLinePunct w:val="0"/>
        <w:bidi w:val="0"/>
        <w:snapToGrid/>
        <w:spacing w:beforeAutospacing="0" w:afterAutospacing="0" w:line="360" w:lineRule="auto"/>
        <w:ind w:left="0" w:leftChars="0" w:firstLine="641" w:firstLineChars="228"/>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 xml:space="preserve">第三条  </w:t>
      </w:r>
      <w:r>
        <w:rPr>
          <w:rFonts w:hint="eastAsia" w:ascii="仿宋_GB2312" w:hAnsi="仿宋_GB2312" w:eastAsia="仿宋_GB2312" w:cs="仿宋_GB2312"/>
          <w:color w:val="auto"/>
          <w:sz w:val="28"/>
          <w:szCs w:val="28"/>
          <w:highlight w:val="none"/>
        </w:rPr>
        <w:t>为保证乙方有效进行技术服务工作，甲方应当向乙方提供下列项目背景资料和协作事项：</w:t>
      </w:r>
    </w:p>
    <w:p w14:paraId="77928416">
      <w:pPr>
        <w:keepNext w:val="0"/>
        <w:keepLines w:val="0"/>
        <w:pageBreakBefore w:val="0"/>
        <w:kinsoku/>
        <w:wordWrap/>
        <w:overflowPunct/>
        <w:topLinePunct w:val="0"/>
        <w:bidi w:val="0"/>
        <w:snapToGrid/>
        <w:spacing w:beforeAutospacing="0" w:afterAutospacing="0" w:line="360" w:lineRule="auto"/>
        <w:ind w:left="0" w:leftChars="0" w:firstLine="638" w:firstLineChars="228"/>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甲方提供已开展的生态修复相关资料，且保证提供给乙方的全部资料及文件均为真实、合法、准确</w:t>
      </w:r>
      <w:r>
        <w:rPr>
          <w:rFonts w:hint="eastAsia" w:ascii="仿宋_GB2312" w:hAnsi="仿宋_GB2312" w:eastAsia="仿宋_GB2312" w:cs="仿宋_GB2312"/>
          <w:color w:val="auto"/>
          <w:sz w:val="28"/>
          <w:szCs w:val="28"/>
          <w:highlight w:val="none"/>
          <w:lang w:eastAsia="zh-CN"/>
        </w:rPr>
        <w:t>。</w:t>
      </w:r>
    </w:p>
    <w:p w14:paraId="672EC9E2">
      <w:pPr>
        <w:keepNext w:val="0"/>
        <w:keepLines w:val="0"/>
        <w:pageBreakBefore w:val="0"/>
        <w:kinsoku/>
        <w:wordWrap/>
        <w:overflowPunct/>
        <w:topLinePunct w:val="0"/>
        <w:bidi w:val="0"/>
        <w:snapToGrid/>
        <w:spacing w:beforeAutospacing="0" w:afterAutospacing="0" w:line="360" w:lineRule="auto"/>
        <w:ind w:left="0" w:leftChars="0" w:firstLine="638" w:firstLineChars="228"/>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甲方应</w:t>
      </w:r>
      <w:r>
        <w:rPr>
          <w:rFonts w:hint="eastAsia" w:ascii="仿宋_GB2312" w:hAnsi="仿宋_GB2312" w:eastAsia="仿宋_GB2312" w:cs="仿宋_GB2312"/>
          <w:color w:val="auto"/>
          <w:sz w:val="28"/>
          <w:szCs w:val="28"/>
          <w:highlight w:val="none"/>
          <w:lang w:val="en-US" w:eastAsia="zh-CN"/>
        </w:rPr>
        <w:t>提供工作便利</w:t>
      </w:r>
      <w:r>
        <w:rPr>
          <w:rFonts w:hint="eastAsia" w:ascii="仿宋_GB2312" w:hAnsi="仿宋_GB2312" w:eastAsia="仿宋_GB2312" w:cs="仿宋_GB2312"/>
          <w:color w:val="auto"/>
          <w:sz w:val="28"/>
          <w:szCs w:val="28"/>
          <w:highlight w:val="none"/>
        </w:rPr>
        <w:t>，为乙方提供力所能及的支持。</w:t>
      </w:r>
    </w:p>
    <w:p w14:paraId="00C8544F">
      <w:pPr>
        <w:keepNext w:val="0"/>
        <w:keepLines w:val="0"/>
        <w:pageBreakBefore w:val="0"/>
        <w:kinsoku/>
        <w:wordWrap/>
        <w:overflowPunct/>
        <w:topLinePunct w:val="0"/>
        <w:bidi w:val="0"/>
        <w:snapToGrid/>
        <w:spacing w:beforeAutospacing="0" w:afterAutospacing="0" w:line="360" w:lineRule="auto"/>
        <w:ind w:left="0" w:leftChars="0" w:firstLine="641" w:firstLineChars="228"/>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第</w:t>
      </w:r>
      <w:r>
        <w:rPr>
          <w:rFonts w:hint="eastAsia" w:ascii="仿宋_GB2312" w:hAnsi="仿宋_GB2312" w:eastAsia="仿宋_GB2312" w:cs="仿宋_GB2312"/>
          <w:b/>
          <w:bCs/>
          <w:color w:val="auto"/>
          <w:sz w:val="28"/>
          <w:szCs w:val="28"/>
          <w:highlight w:val="none"/>
          <w:lang w:eastAsia="zh-CN"/>
        </w:rPr>
        <w:t>四</w:t>
      </w:r>
      <w:r>
        <w:rPr>
          <w:rFonts w:hint="eastAsia" w:ascii="仿宋_GB2312" w:hAnsi="仿宋_GB2312" w:eastAsia="仿宋_GB2312" w:cs="仿宋_GB2312"/>
          <w:b/>
          <w:bCs/>
          <w:color w:val="auto"/>
          <w:sz w:val="28"/>
          <w:szCs w:val="28"/>
          <w:highlight w:val="none"/>
        </w:rPr>
        <w:t>条</w:t>
      </w:r>
      <w:r>
        <w:rPr>
          <w:rFonts w:hint="eastAsia" w:ascii="仿宋_GB2312" w:hAnsi="仿宋_GB2312" w:eastAsia="仿宋_GB2312" w:cs="仿宋_GB2312"/>
          <w:color w:val="auto"/>
          <w:sz w:val="28"/>
          <w:szCs w:val="28"/>
          <w:highlight w:val="none"/>
        </w:rPr>
        <w:t xml:space="preserve">  合同价款</w:t>
      </w:r>
    </w:p>
    <w:p w14:paraId="0AF075C1">
      <w:pPr>
        <w:keepNext w:val="0"/>
        <w:keepLines w:val="0"/>
        <w:pageBreakBefore w:val="0"/>
        <w:kinsoku/>
        <w:wordWrap/>
        <w:overflowPunct/>
        <w:topLinePunct w:val="0"/>
        <w:bidi w:val="0"/>
        <w:snapToGrid/>
        <w:spacing w:beforeAutospacing="0" w:afterAutospacing="0" w:line="360" w:lineRule="auto"/>
        <w:ind w:left="0" w:leftChars="0" w:firstLine="638" w:firstLineChars="228"/>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本合同总价为人民币</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整（¥</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元），合同总价</w:t>
      </w:r>
      <w:r>
        <w:rPr>
          <w:rFonts w:hint="eastAsia" w:ascii="仿宋_GB2312" w:hAnsi="仿宋_GB2312" w:eastAsia="仿宋_GB2312" w:cs="仿宋_GB2312"/>
          <w:color w:val="auto"/>
          <w:sz w:val="28"/>
          <w:szCs w:val="28"/>
          <w:highlight w:val="none"/>
          <w:lang w:val="en-US" w:eastAsia="zh-CN"/>
        </w:rPr>
        <w:t>包含海岸保护修复工程监测和评估</w:t>
      </w:r>
      <w:r>
        <w:rPr>
          <w:rFonts w:hint="eastAsia" w:ascii="仿宋_GB2312" w:hAnsi="仿宋_GB2312" w:eastAsia="仿宋_GB2312" w:cs="仿宋_GB2312"/>
          <w:color w:val="auto"/>
          <w:sz w:val="28"/>
          <w:szCs w:val="28"/>
          <w:highlight w:val="none"/>
        </w:rPr>
        <w:t>的全部费用，包括但不限用于本项目的现场勘踏费、人工费、设备费、测量费、检验费、技术资料费、成本、利润、税金、风险以及其他直接间接费用，也包含为完成本项目而支出的交通、食宿、通信、通讯以及罚款等其他费用。</w:t>
      </w:r>
    </w:p>
    <w:p w14:paraId="12C4ED10">
      <w:pPr>
        <w:keepNext w:val="0"/>
        <w:keepLines w:val="0"/>
        <w:pageBreakBefore w:val="0"/>
        <w:kinsoku/>
        <w:wordWrap/>
        <w:overflowPunct/>
        <w:topLinePunct w:val="0"/>
        <w:bidi w:val="0"/>
        <w:snapToGrid/>
        <w:spacing w:beforeAutospacing="0" w:afterAutospacing="0" w:line="360" w:lineRule="auto"/>
        <w:ind w:left="0" w:leftChars="0" w:firstLine="638" w:firstLineChars="228"/>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支付方式</w:t>
      </w:r>
    </w:p>
    <w:p w14:paraId="0CEC5374">
      <w:pPr>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本合同签定后，由乙方提交申请付款文件和满足甲方要求的发票，甲方支付合同金额的</w:t>
      </w: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0%作为预付款。</w:t>
      </w:r>
    </w:p>
    <w:p w14:paraId="184278DC">
      <w:pPr>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乙方提交</w:t>
      </w:r>
      <w:r>
        <w:rPr>
          <w:rFonts w:hint="eastAsia" w:ascii="仿宋_GB2312" w:hAnsi="仿宋_GB2312" w:eastAsia="仿宋_GB2312" w:cs="仿宋_GB2312"/>
          <w:color w:val="auto"/>
          <w:sz w:val="28"/>
          <w:szCs w:val="28"/>
          <w:highlight w:val="none"/>
          <w:lang w:eastAsia="zh-CN"/>
        </w:rPr>
        <w:t>项目第一年度评估报告和该年度</w:t>
      </w:r>
      <w:r>
        <w:rPr>
          <w:rFonts w:hint="eastAsia" w:ascii="仿宋_GB2312" w:hAnsi="仿宋_GB2312" w:eastAsia="仿宋_GB2312" w:cs="仿宋_GB2312"/>
          <w:color w:val="auto"/>
          <w:sz w:val="28"/>
          <w:szCs w:val="28"/>
          <w:highlight w:val="none"/>
          <w:lang w:val="en-US" w:eastAsia="zh-CN"/>
        </w:rPr>
        <w:t>2个航次监测成果</w:t>
      </w:r>
      <w:r>
        <w:rPr>
          <w:rFonts w:hint="eastAsia" w:ascii="仿宋_GB2312" w:hAnsi="仿宋_GB2312" w:eastAsia="仿宋_GB2312" w:cs="仿宋_GB2312"/>
          <w:color w:val="auto"/>
          <w:sz w:val="28"/>
          <w:szCs w:val="28"/>
          <w:highlight w:val="none"/>
        </w:rPr>
        <w:t>，成果通过</w:t>
      </w:r>
      <w:r>
        <w:rPr>
          <w:rFonts w:hint="eastAsia" w:ascii="仿宋_GB2312" w:hAnsi="仿宋_GB2312" w:eastAsia="仿宋_GB2312" w:cs="仿宋_GB2312"/>
          <w:color w:val="auto"/>
          <w:sz w:val="28"/>
          <w:szCs w:val="28"/>
          <w:highlight w:val="none"/>
          <w:lang w:eastAsia="zh-CN"/>
        </w:rPr>
        <w:t>专家评审</w:t>
      </w:r>
      <w:r>
        <w:rPr>
          <w:rFonts w:hint="eastAsia" w:ascii="仿宋_GB2312" w:hAnsi="仿宋_GB2312" w:eastAsia="仿宋_GB2312" w:cs="仿宋_GB2312"/>
          <w:color w:val="auto"/>
          <w:sz w:val="28"/>
          <w:szCs w:val="28"/>
          <w:highlight w:val="none"/>
        </w:rPr>
        <w:t>验收后，由乙方提交申请付款文件和满足甲方要求的发票，甲方支付合同金额的</w:t>
      </w: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0%。</w:t>
      </w:r>
    </w:p>
    <w:p w14:paraId="57D27237">
      <w:pPr>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乙方提交</w:t>
      </w:r>
      <w:r>
        <w:rPr>
          <w:rFonts w:hint="eastAsia" w:ascii="仿宋_GB2312" w:hAnsi="仿宋_GB2312" w:eastAsia="仿宋_GB2312" w:cs="仿宋_GB2312"/>
          <w:color w:val="auto"/>
          <w:sz w:val="28"/>
          <w:szCs w:val="28"/>
          <w:highlight w:val="none"/>
          <w:lang w:eastAsia="zh-CN"/>
        </w:rPr>
        <w:t>项目第二年度评估报告和该年度</w:t>
      </w:r>
      <w:r>
        <w:rPr>
          <w:rFonts w:hint="eastAsia" w:ascii="仿宋_GB2312" w:hAnsi="仿宋_GB2312" w:eastAsia="仿宋_GB2312" w:cs="仿宋_GB2312"/>
          <w:color w:val="auto"/>
          <w:sz w:val="28"/>
          <w:szCs w:val="28"/>
          <w:highlight w:val="none"/>
          <w:lang w:val="en-US" w:eastAsia="zh-CN"/>
        </w:rPr>
        <w:t>2个航次监测成果视为完成</w:t>
      </w:r>
      <w:r>
        <w:rPr>
          <w:rFonts w:hint="eastAsia" w:ascii="仿宋_GB2312" w:hAnsi="仿宋_GB2312" w:eastAsia="仿宋_GB2312" w:cs="仿宋_GB2312"/>
          <w:color w:val="auto"/>
          <w:sz w:val="28"/>
          <w:szCs w:val="28"/>
          <w:highlight w:val="none"/>
        </w:rPr>
        <w:t>项目全部监测与评估工作</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成果通过</w:t>
      </w:r>
      <w:r>
        <w:rPr>
          <w:rFonts w:hint="eastAsia" w:ascii="仿宋_GB2312" w:hAnsi="仿宋_GB2312" w:eastAsia="仿宋_GB2312" w:cs="仿宋_GB2312"/>
          <w:color w:val="auto"/>
          <w:sz w:val="28"/>
          <w:szCs w:val="28"/>
          <w:highlight w:val="none"/>
          <w:lang w:eastAsia="zh-CN"/>
        </w:rPr>
        <w:t>专家评审</w:t>
      </w:r>
      <w:r>
        <w:rPr>
          <w:rFonts w:hint="eastAsia" w:ascii="仿宋_GB2312" w:hAnsi="仿宋_GB2312" w:eastAsia="仿宋_GB2312" w:cs="仿宋_GB2312"/>
          <w:color w:val="auto"/>
          <w:sz w:val="28"/>
          <w:szCs w:val="28"/>
          <w:highlight w:val="none"/>
        </w:rPr>
        <w:t>验收，</w:t>
      </w:r>
      <w:r>
        <w:rPr>
          <w:rFonts w:hint="eastAsia" w:ascii="仿宋_GB2312" w:hAnsi="仿宋_GB2312" w:eastAsia="仿宋_GB2312" w:cs="仿宋_GB2312"/>
          <w:color w:val="auto"/>
          <w:sz w:val="28"/>
          <w:szCs w:val="28"/>
          <w:highlight w:val="none"/>
          <w:lang w:eastAsia="zh-CN"/>
        </w:rPr>
        <w:t>并</w:t>
      </w:r>
      <w:r>
        <w:rPr>
          <w:rFonts w:hint="eastAsia" w:ascii="仿宋_GB2312" w:hAnsi="仿宋_GB2312" w:eastAsia="仿宋_GB2312" w:cs="仿宋_GB2312"/>
          <w:color w:val="auto"/>
          <w:sz w:val="28"/>
          <w:szCs w:val="28"/>
          <w:highlight w:val="none"/>
          <w:lang w:val="en-US" w:eastAsia="zh-CN"/>
        </w:rPr>
        <w:t>提交所有报告成果后，</w:t>
      </w:r>
      <w:r>
        <w:rPr>
          <w:rFonts w:hint="eastAsia" w:ascii="仿宋_GB2312" w:hAnsi="仿宋_GB2312" w:eastAsia="仿宋_GB2312" w:cs="仿宋_GB2312"/>
          <w:color w:val="auto"/>
          <w:sz w:val="28"/>
          <w:szCs w:val="28"/>
          <w:highlight w:val="none"/>
        </w:rPr>
        <w:t>由乙方提交满足甲方要求的增值税发票，甲方向乙方支付合同金额的</w:t>
      </w: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0%。</w:t>
      </w:r>
    </w:p>
    <w:p w14:paraId="56C1A55A">
      <w:pPr>
        <w:spacing w:line="360" w:lineRule="auto"/>
        <w:ind w:left="0" w:leftChars="0" w:firstLine="638" w:firstLineChars="228"/>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(4)乙方申请付款时，应按照甲方要求提供等额的合法增值税发票、请款函、成果文件等请款资料，否则甲方有权拒绝付款且不承担违约责任。</w:t>
      </w:r>
    </w:p>
    <w:p w14:paraId="002CE225">
      <w:pPr>
        <w:spacing w:line="360" w:lineRule="auto"/>
        <w:ind w:left="0" w:leftChars="0" w:firstLine="638" w:firstLineChars="228"/>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(5)乙方理解并知悉，因财政审批、拨款等原因导致甲方未按时支付任意一笔款项的，不视为甲方违约，乙方不因此要求甲方承担任何违约、赔偿责任，也不因此怠于履行任何合同义务。</w:t>
      </w:r>
    </w:p>
    <w:p w14:paraId="3EDF13C9">
      <w:pPr>
        <w:spacing w:line="360" w:lineRule="auto"/>
        <w:ind w:left="0" w:leftChars="0" w:firstLine="638" w:firstLineChars="228"/>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乙方账户信息</w:t>
      </w:r>
    </w:p>
    <w:p w14:paraId="7A10D014">
      <w:pPr>
        <w:spacing w:line="360" w:lineRule="auto"/>
        <w:ind w:left="0" w:leftChars="0" w:firstLine="638" w:firstLineChars="228"/>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账户名称： </w:t>
      </w:r>
    </w:p>
    <w:p w14:paraId="299C3B79">
      <w:pPr>
        <w:spacing w:line="360" w:lineRule="auto"/>
        <w:ind w:left="0" w:leftChars="0" w:firstLine="638" w:firstLineChars="228"/>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开户银行： </w:t>
      </w:r>
    </w:p>
    <w:p w14:paraId="7563F99A">
      <w:pPr>
        <w:spacing w:line="360" w:lineRule="auto"/>
        <w:ind w:left="0" w:leftChars="0" w:firstLine="638" w:firstLineChars="228"/>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银行</w:t>
      </w:r>
      <w:r>
        <w:rPr>
          <w:rFonts w:hint="eastAsia" w:ascii="仿宋_GB2312" w:hAnsi="仿宋_GB2312" w:eastAsia="仿宋_GB2312" w:cs="仿宋_GB2312"/>
          <w:color w:val="auto"/>
          <w:sz w:val="28"/>
          <w:szCs w:val="28"/>
          <w:highlight w:val="none"/>
          <w:lang w:val="en-US" w:eastAsia="zh-CN"/>
        </w:rPr>
        <w:t>账</w:t>
      </w:r>
      <w:r>
        <w:rPr>
          <w:rFonts w:hint="eastAsia" w:ascii="仿宋_GB2312" w:hAnsi="仿宋_GB2312" w:eastAsia="仿宋_GB2312" w:cs="仿宋_GB2312"/>
          <w:color w:val="auto"/>
          <w:sz w:val="28"/>
          <w:szCs w:val="28"/>
          <w:highlight w:val="none"/>
        </w:rPr>
        <w:t>号：</w:t>
      </w:r>
    </w:p>
    <w:p w14:paraId="19752F95">
      <w:pPr>
        <w:keepNext w:val="0"/>
        <w:keepLines w:val="0"/>
        <w:pageBreakBefore w:val="0"/>
        <w:kinsoku/>
        <w:wordWrap/>
        <w:overflowPunct/>
        <w:topLinePunct w:val="0"/>
        <w:bidi w:val="0"/>
        <w:snapToGrid/>
        <w:spacing w:beforeAutospacing="0" w:afterAutospacing="0" w:line="360" w:lineRule="auto"/>
        <w:ind w:left="0" w:leftChars="0" w:firstLine="641" w:firstLineChars="228"/>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lang w:eastAsia="zh-CN"/>
        </w:rPr>
        <w:t>第五条</w:t>
      </w:r>
      <w:r>
        <w:rPr>
          <w:rFonts w:hint="eastAsia" w:ascii="仿宋_GB2312" w:hAnsi="仿宋_GB2312" w:eastAsia="仿宋_GB2312" w:cs="仿宋_GB2312"/>
          <w:b/>
          <w:bCs/>
          <w:color w:val="auto"/>
          <w:sz w:val="28"/>
          <w:szCs w:val="28"/>
          <w:highlight w:val="none"/>
          <w:lang w:val="en-US" w:eastAsia="zh-CN"/>
        </w:rPr>
        <w:t xml:space="preserve"> </w:t>
      </w:r>
      <w:r>
        <w:rPr>
          <w:rFonts w:hint="eastAsia" w:ascii="仿宋_GB2312" w:hAnsi="仿宋_GB2312" w:eastAsia="仿宋_GB2312" w:cs="仿宋_GB2312"/>
          <w:b/>
          <w:bCs/>
          <w:color w:val="auto"/>
          <w:sz w:val="28"/>
          <w:szCs w:val="28"/>
          <w:highlight w:val="none"/>
        </w:rPr>
        <w:t xml:space="preserve"> </w:t>
      </w:r>
      <w:r>
        <w:rPr>
          <w:rFonts w:hint="eastAsia" w:ascii="仿宋_GB2312" w:hAnsi="仿宋_GB2312" w:eastAsia="仿宋_GB2312" w:cs="仿宋_GB2312"/>
          <w:b w:val="0"/>
          <w:bCs w:val="0"/>
          <w:color w:val="auto"/>
          <w:sz w:val="28"/>
          <w:szCs w:val="28"/>
          <w:highlight w:val="none"/>
        </w:rPr>
        <w:t>验收标准</w:t>
      </w:r>
    </w:p>
    <w:p w14:paraId="430C14B6">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甲方应在收到乙方提交的报告成果验收申请后15日内组织专家评审会议，依据相关规范对报告成果进行评审，通过专家评审作为验收标准。</w:t>
      </w:r>
    </w:p>
    <w:p w14:paraId="42CAE8C9">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乙方项目负责人应参加甲方组织的报告成果评审会议。乙方应负责在评审会议上对报告进行答疑，并按照评审专家和甲方的意见对报告进行修改，补充完善。</w:t>
      </w:r>
    </w:p>
    <w:p w14:paraId="7C385D7B">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如甲方未在收到乙方提交的报告成果验收申请后30日内组织专家评审会议，</w:t>
      </w:r>
      <w:r>
        <w:rPr>
          <w:rFonts w:hint="eastAsia" w:ascii="仿宋_GB2312" w:hAnsi="仿宋_GB2312" w:eastAsia="仿宋_GB2312" w:cs="仿宋_GB2312"/>
          <w:color w:val="auto"/>
          <w:sz w:val="28"/>
          <w:szCs w:val="28"/>
          <w:highlight w:val="none"/>
          <w:lang w:eastAsia="zh-CN"/>
        </w:rPr>
        <w:t>经甲方向乙方释明后，可延长组织专家评审会议时间</w:t>
      </w:r>
      <w:r>
        <w:rPr>
          <w:rFonts w:hint="eastAsia" w:ascii="仿宋_GB2312" w:hAnsi="仿宋_GB2312" w:eastAsia="仿宋_GB2312" w:cs="仿宋_GB2312"/>
          <w:color w:val="auto"/>
          <w:sz w:val="28"/>
          <w:szCs w:val="28"/>
          <w:highlight w:val="none"/>
        </w:rPr>
        <w:t>。</w:t>
      </w:r>
    </w:p>
    <w:p w14:paraId="3AB7D679">
      <w:pPr>
        <w:keepNext w:val="0"/>
        <w:keepLines w:val="0"/>
        <w:pageBreakBefore w:val="0"/>
        <w:kinsoku/>
        <w:wordWrap/>
        <w:overflowPunct/>
        <w:topLinePunct w:val="0"/>
        <w:bidi w:val="0"/>
        <w:snapToGrid/>
        <w:spacing w:beforeAutospacing="0" w:afterAutospacing="0" w:line="360" w:lineRule="auto"/>
        <w:ind w:firstLine="748"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第</w:t>
      </w:r>
      <w:r>
        <w:rPr>
          <w:rFonts w:hint="eastAsia" w:ascii="仿宋_GB2312" w:hAnsi="仿宋_GB2312" w:eastAsia="仿宋_GB2312" w:cs="仿宋_GB2312"/>
          <w:b/>
          <w:bCs/>
          <w:color w:val="auto"/>
          <w:sz w:val="28"/>
          <w:szCs w:val="28"/>
          <w:highlight w:val="none"/>
          <w:lang w:eastAsia="zh-CN"/>
        </w:rPr>
        <w:t>六</w:t>
      </w:r>
      <w:r>
        <w:rPr>
          <w:rFonts w:hint="eastAsia" w:ascii="仿宋_GB2312" w:hAnsi="仿宋_GB2312" w:eastAsia="仿宋_GB2312" w:cs="仿宋_GB2312"/>
          <w:b/>
          <w:bCs/>
          <w:color w:val="auto"/>
          <w:sz w:val="28"/>
          <w:szCs w:val="28"/>
          <w:highlight w:val="none"/>
        </w:rPr>
        <w:t>条</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质量要求</w:t>
      </w:r>
    </w:p>
    <w:p w14:paraId="0F4BFCA8">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1、在本合同约定的服务期内，乙方应对服务出现的问题负责处理解决并承担一切费用。</w:t>
      </w:r>
    </w:p>
    <w:p w14:paraId="0B94FE8C">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2、其他服务质量要求：按磋商文件和响应文件服务质量内容执行。</w:t>
      </w:r>
    </w:p>
    <w:p w14:paraId="4C0505DA">
      <w:pPr>
        <w:keepNext w:val="0"/>
        <w:keepLines w:val="0"/>
        <w:pageBreakBefore w:val="0"/>
        <w:kinsoku/>
        <w:wordWrap/>
        <w:overflowPunct/>
        <w:topLinePunct w:val="0"/>
        <w:bidi w:val="0"/>
        <w:snapToGrid/>
        <w:spacing w:beforeAutospacing="0" w:afterAutospacing="0" w:line="360" w:lineRule="auto"/>
        <w:ind w:firstLine="748"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第七条</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双方权利和义务</w:t>
      </w:r>
    </w:p>
    <w:p w14:paraId="5DA5FCF0">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甲方权利和义务</w:t>
      </w:r>
    </w:p>
    <w:p w14:paraId="3343B0B9">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（1）甲方为乙方提供工作便利条件，甲方按时向乙方支付合同费用。</w:t>
      </w:r>
    </w:p>
    <w:p w14:paraId="12C67BD5">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（2）甲方有权对乙方开展的业务进行检查，在外业、内业时甲方可派员对乙方的工作进行检查监督。</w:t>
      </w:r>
    </w:p>
    <w:p w14:paraId="194121E8">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乙方权利和义务</w:t>
      </w:r>
    </w:p>
    <w:p w14:paraId="0CC3E418">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（1）乙方有义务接受甲方的监督，并与甲方项目负责人积极配合开展工作。</w:t>
      </w:r>
    </w:p>
    <w:p w14:paraId="6130BB96">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pacing w:val="-6"/>
          <w:sz w:val="28"/>
          <w:szCs w:val="28"/>
          <w:highlight w:val="none"/>
        </w:rPr>
      </w:pPr>
      <w:r>
        <w:rPr>
          <w:rFonts w:hint="eastAsia" w:ascii="仿宋_GB2312" w:hAnsi="仿宋_GB2312" w:eastAsia="仿宋_GB2312" w:cs="仿宋_GB2312"/>
          <w:color w:val="auto"/>
          <w:sz w:val="28"/>
          <w:szCs w:val="28"/>
          <w:highlight w:val="none"/>
        </w:rPr>
        <w:t>（2）</w:t>
      </w:r>
      <w:r>
        <w:rPr>
          <w:rFonts w:hint="eastAsia" w:ascii="仿宋_GB2312" w:hAnsi="仿宋_GB2312" w:eastAsia="仿宋_GB2312" w:cs="仿宋_GB2312"/>
          <w:color w:val="auto"/>
          <w:spacing w:val="-6"/>
          <w:sz w:val="28"/>
          <w:szCs w:val="28"/>
          <w:highlight w:val="none"/>
        </w:rPr>
        <w:t>由于甲方原因造成乙方承担的项目工作延误的，乙方可相应延长工作完成时间。</w:t>
      </w:r>
    </w:p>
    <w:p w14:paraId="52BC536C">
      <w:pPr>
        <w:keepNext w:val="0"/>
        <w:keepLines w:val="0"/>
        <w:pageBreakBefore w:val="0"/>
        <w:kinsoku/>
        <w:wordWrap/>
        <w:overflowPunct/>
        <w:topLinePunct w:val="0"/>
        <w:bidi w:val="0"/>
        <w:snapToGrid/>
        <w:spacing w:beforeAutospacing="0" w:afterAutospacing="0" w:line="360" w:lineRule="auto"/>
        <w:ind w:firstLine="712" w:firstLineChars="266"/>
        <w:rPr>
          <w:rFonts w:hint="eastAsia" w:ascii="仿宋_GB2312" w:hAnsi="仿宋_GB2312" w:eastAsia="仿宋_GB2312" w:cs="仿宋_GB2312"/>
          <w:color w:val="auto"/>
          <w:spacing w:val="-6"/>
          <w:sz w:val="28"/>
          <w:szCs w:val="28"/>
          <w:highlight w:val="none"/>
          <w:lang w:eastAsia="zh-CN"/>
        </w:rPr>
      </w:pPr>
      <w:r>
        <w:rPr>
          <w:rFonts w:hint="eastAsia" w:ascii="仿宋_GB2312" w:hAnsi="仿宋_GB2312" w:eastAsia="仿宋_GB2312" w:cs="仿宋_GB2312"/>
          <w:color w:val="auto"/>
          <w:spacing w:val="-6"/>
          <w:sz w:val="28"/>
          <w:szCs w:val="28"/>
          <w:highlight w:val="none"/>
          <w:lang w:eastAsia="zh-CN"/>
        </w:rPr>
        <w:t>（</w:t>
      </w:r>
      <w:r>
        <w:rPr>
          <w:rFonts w:hint="eastAsia" w:ascii="仿宋_GB2312" w:hAnsi="仿宋_GB2312" w:eastAsia="仿宋_GB2312" w:cs="仿宋_GB2312"/>
          <w:color w:val="auto"/>
          <w:spacing w:val="-6"/>
          <w:sz w:val="28"/>
          <w:szCs w:val="28"/>
          <w:highlight w:val="none"/>
          <w:lang w:val="en-US" w:eastAsia="zh-CN"/>
        </w:rPr>
        <w:t>3</w:t>
      </w:r>
      <w:r>
        <w:rPr>
          <w:rFonts w:hint="eastAsia" w:ascii="仿宋_GB2312" w:hAnsi="仿宋_GB2312" w:eastAsia="仿宋_GB2312" w:cs="仿宋_GB2312"/>
          <w:color w:val="auto"/>
          <w:spacing w:val="-6"/>
          <w:sz w:val="28"/>
          <w:szCs w:val="28"/>
          <w:highlight w:val="none"/>
          <w:lang w:eastAsia="zh-CN"/>
        </w:rPr>
        <w:t>）按甲方要求的时间按期、保证质量完成监测义务，对提交给甲方成果文件的准确性、完整性、及时性负责。</w:t>
      </w:r>
    </w:p>
    <w:p w14:paraId="06DD4A8C">
      <w:pPr>
        <w:keepNext w:val="0"/>
        <w:keepLines w:val="0"/>
        <w:pageBreakBefore w:val="0"/>
        <w:kinsoku/>
        <w:wordWrap/>
        <w:overflowPunct/>
        <w:topLinePunct w:val="0"/>
        <w:bidi w:val="0"/>
        <w:snapToGrid/>
        <w:spacing w:beforeAutospacing="0" w:afterAutospacing="0" w:line="360" w:lineRule="auto"/>
        <w:ind w:firstLine="712" w:firstLineChars="266"/>
        <w:rPr>
          <w:rFonts w:hint="eastAsia" w:ascii="仿宋_GB2312" w:hAnsi="仿宋_GB2312" w:eastAsia="仿宋_GB2312" w:cs="仿宋_GB2312"/>
          <w:color w:val="auto"/>
          <w:spacing w:val="-6"/>
          <w:sz w:val="28"/>
          <w:szCs w:val="28"/>
          <w:highlight w:val="none"/>
          <w:lang w:eastAsia="zh-CN"/>
        </w:rPr>
      </w:pPr>
      <w:r>
        <w:rPr>
          <w:rFonts w:hint="eastAsia" w:ascii="仿宋_GB2312" w:hAnsi="仿宋_GB2312" w:eastAsia="仿宋_GB2312" w:cs="仿宋_GB2312"/>
          <w:color w:val="auto"/>
          <w:spacing w:val="-6"/>
          <w:sz w:val="28"/>
          <w:szCs w:val="28"/>
          <w:highlight w:val="none"/>
          <w:lang w:eastAsia="zh-CN"/>
        </w:rPr>
        <w:t>（</w:t>
      </w:r>
      <w:r>
        <w:rPr>
          <w:rFonts w:hint="eastAsia" w:ascii="仿宋_GB2312" w:hAnsi="仿宋_GB2312" w:eastAsia="仿宋_GB2312" w:cs="仿宋_GB2312"/>
          <w:color w:val="auto"/>
          <w:spacing w:val="-6"/>
          <w:sz w:val="28"/>
          <w:szCs w:val="28"/>
          <w:highlight w:val="none"/>
          <w:lang w:val="en-US" w:eastAsia="zh-CN"/>
        </w:rPr>
        <w:t>4</w:t>
      </w:r>
      <w:r>
        <w:rPr>
          <w:rFonts w:hint="eastAsia" w:ascii="仿宋_GB2312" w:hAnsi="仿宋_GB2312" w:eastAsia="仿宋_GB2312" w:cs="仿宋_GB2312"/>
          <w:color w:val="auto"/>
          <w:spacing w:val="-6"/>
          <w:sz w:val="28"/>
          <w:szCs w:val="28"/>
          <w:highlight w:val="none"/>
          <w:lang w:eastAsia="zh-CN"/>
        </w:rPr>
        <w:t>）乙方有义务为甲方就成果文件的有关问题无偿提供咨询服务。</w:t>
      </w:r>
    </w:p>
    <w:p w14:paraId="27AF44B1">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r>
        <w:rPr>
          <w:rFonts w:hint="eastAsia" w:ascii="仿宋_GB2312" w:hAnsi="仿宋_GB2312" w:eastAsia="仿宋_GB2312" w:cs="仿宋_GB2312"/>
          <w:color w:val="auto"/>
          <w:sz w:val="28"/>
          <w:szCs w:val="28"/>
          <w:highlight w:val="none"/>
          <w:lang w:eastAsia="zh-CN"/>
        </w:rPr>
        <w:t>、</w:t>
      </w:r>
      <w:bookmarkStart w:id="1" w:name="_GoBack"/>
      <w:bookmarkEnd w:id="1"/>
      <w:r>
        <w:rPr>
          <w:rFonts w:hint="eastAsia" w:ascii="仿宋_GB2312" w:hAnsi="仿宋_GB2312" w:eastAsia="仿宋_GB2312" w:cs="仿宋_GB2312"/>
          <w:color w:val="auto"/>
          <w:sz w:val="28"/>
          <w:szCs w:val="28"/>
          <w:highlight w:val="none"/>
        </w:rPr>
        <w:t>关于杜绝假发票的约定</w:t>
      </w:r>
    </w:p>
    <w:p w14:paraId="35971D10">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3.1乙方提交虚假发票，甲方有权解除合同。</w:t>
      </w:r>
    </w:p>
    <w:p w14:paraId="21885FDD">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3.2乙方应按甲方财务要求提交真实、合法、有效的发票，若甲方根据国家税务政策要求乙方提供增值税发票的，乙方应按要求提供。</w:t>
      </w:r>
    </w:p>
    <w:p w14:paraId="3E28EB69">
      <w:pPr>
        <w:keepNext w:val="0"/>
        <w:keepLines w:val="0"/>
        <w:pageBreakBefore w:val="0"/>
        <w:kinsoku/>
        <w:wordWrap/>
        <w:overflowPunct/>
        <w:topLinePunct w:val="0"/>
        <w:bidi w:val="0"/>
        <w:snapToGrid/>
        <w:spacing w:beforeAutospacing="0" w:afterAutospacing="0" w:line="360" w:lineRule="auto"/>
        <w:ind w:firstLine="748"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第</w:t>
      </w:r>
      <w:r>
        <w:rPr>
          <w:rFonts w:hint="eastAsia" w:ascii="仿宋_GB2312" w:hAnsi="仿宋_GB2312" w:eastAsia="仿宋_GB2312" w:cs="仿宋_GB2312"/>
          <w:b/>
          <w:bCs/>
          <w:color w:val="auto"/>
          <w:sz w:val="28"/>
          <w:szCs w:val="28"/>
          <w:highlight w:val="none"/>
          <w:lang w:val="en-US" w:eastAsia="zh-CN"/>
        </w:rPr>
        <w:t>八</w:t>
      </w:r>
      <w:r>
        <w:rPr>
          <w:rFonts w:hint="eastAsia" w:ascii="仿宋_GB2312" w:hAnsi="仿宋_GB2312" w:eastAsia="仿宋_GB2312" w:cs="仿宋_GB2312"/>
          <w:b/>
          <w:bCs/>
          <w:color w:val="auto"/>
          <w:sz w:val="28"/>
          <w:szCs w:val="28"/>
          <w:highlight w:val="none"/>
        </w:rPr>
        <w:t>条</w:t>
      </w:r>
      <w:r>
        <w:rPr>
          <w:rFonts w:hint="eastAsia" w:ascii="仿宋_GB2312" w:hAnsi="仿宋_GB2312" w:eastAsia="仿宋_GB2312" w:cs="仿宋_GB2312"/>
          <w:color w:val="auto"/>
          <w:sz w:val="28"/>
          <w:szCs w:val="28"/>
          <w:highlight w:val="none"/>
        </w:rPr>
        <w:t xml:space="preserve">  </w:t>
      </w:r>
      <w:r>
        <w:rPr>
          <w:rFonts w:hint="eastAsia" w:ascii="仿宋_GB2312" w:hAnsi="仿宋_GB2312" w:eastAsia="仿宋_GB2312" w:cs="仿宋_GB2312"/>
          <w:b/>
          <w:bCs/>
          <w:color w:val="auto"/>
          <w:sz w:val="28"/>
          <w:szCs w:val="28"/>
          <w:highlight w:val="none"/>
        </w:rPr>
        <w:t>保密</w:t>
      </w:r>
    </w:p>
    <w:p w14:paraId="18754CC7">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（一）</w:t>
      </w:r>
      <w:r>
        <w:rPr>
          <w:rFonts w:hint="eastAsia" w:ascii="仿宋_GB2312" w:hAnsi="仿宋_GB2312" w:eastAsia="仿宋_GB2312" w:cs="仿宋_GB2312"/>
          <w:color w:val="auto"/>
          <w:sz w:val="28"/>
          <w:szCs w:val="28"/>
          <w:highlight w:val="none"/>
        </w:rPr>
        <w:t>双方确定因履行本合同因遵守的保密义务如下：</w:t>
      </w:r>
    </w:p>
    <w:p w14:paraId="4795BC8B">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甲方：</w:t>
      </w:r>
    </w:p>
    <w:p w14:paraId="6BB0B025">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1.1保密内容（包括技术信息和经营信息）：不作约定。</w:t>
      </w:r>
    </w:p>
    <w:p w14:paraId="7B5FB6C4">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1.2涉密人员范围：不作约定。</w:t>
      </w:r>
    </w:p>
    <w:p w14:paraId="17B80A86">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1.3保密期限：不作约定。</w:t>
      </w:r>
    </w:p>
    <w:p w14:paraId="737E1166">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1.4涉密责任：不作约定。</w:t>
      </w:r>
    </w:p>
    <w:p w14:paraId="2B29E5B5">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乙方：</w:t>
      </w:r>
    </w:p>
    <w:p w14:paraId="1BD39E58">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2.1保密内容（包括技术信息和经营信息）：负有对甲方提供的该工程技术资料中按国家规定应予保密的技术信息和本合同的经营信息承担保密义务。</w:t>
      </w:r>
    </w:p>
    <w:p w14:paraId="3F5EB0C7">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2.2涉密人员范围：全体人员。</w:t>
      </w:r>
    </w:p>
    <w:p w14:paraId="552C6949">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2.3保密期限：长期保密。</w:t>
      </w:r>
    </w:p>
    <w:p w14:paraId="3AA199E4">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2.4泄密责任：按照有关规定追究责任</w:t>
      </w:r>
    </w:p>
    <w:p w14:paraId="638AEE0F">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二</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乙方及其有关人员均应对在合同执行过程中了解到的涉及甲方秘密的文件资料以及其他尚未公开的有关信息承担保密责任，并采取充分且适当的保密措施。未经甲方书面同意，乙方不得将上述信息和资料泄露给任何第三方或用于本合同以外的其他目的。</w:t>
      </w:r>
    </w:p>
    <w:p w14:paraId="72BF4686">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三</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上述保密责任的期限至项目文件资料或信息正式向社会公开之日、或非因乙方原因保密信息已成为公开、或甲方书面解除对方此合同项下保密义务之日止。</w:t>
      </w:r>
    </w:p>
    <w:p w14:paraId="1AF5C78F">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四</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乙方违反保密义务的，应赔偿因此给甲方造成的损失</w:t>
      </w:r>
      <w:r>
        <w:rPr>
          <w:rFonts w:hint="eastAsia" w:ascii="仿宋_GB2312" w:hAnsi="仿宋_GB2312" w:eastAsia="仿宋_GB2312" w:cs="仿宋_GB2312"/>
          <w:color w:val="auto"/>
          <w:sz w:val="28"/>
          <w:szCs w:val="28"/>
          <w:highlight w:val="none"/>
          <w:lang w:eastAsia="zh-CN"/>
        </w:rPr>
        <w:t>，并按合同总价款的</w:t>
      </w:r>
      <w:r>
        <w:rPr>
          <w:rFonts w:hint="eastAsia" w:ascii="仿宋_GB2312" w:hAnsi="仿宋_GB2312" w:eastAsia="仿宋_GB2312" w:cs="仿宋_GB2312"/>
          <w:color w:val="auto"/>
          <w:sz w:val="28"/>
          <w:szCs w:val="28"/>
          <w:highlight w:val="none"/>
          <w:lang w:val="en-US" w:eastAsia="zh-CN"/>
        </w:rPr>
        <w:t>20%向甲方支付违约金</w:t>
      </w:r>
      <w:r>
        <w:rPr>
          <w:rFonts w:hint="eastAsia" w:ascii="仿宋_GB2312" w:hAnsi="仿宋_GB2312" w:eastAsia="仿宋_GB2312" w:cs="仿宋_GB2312"/>
          <w:color w:val="auto"/>
          <w:sz w:val="28"/>
          <w:szCs w:val="28"/>
          <w:highlight w:val="none"/>
        </w:rPr>
        <w:t>。</w:t>
      </w:r>
    </w:p>
    <w:p w14:paraId="60E2680C">
      <w:pPr>
        <w:keepNext w:val="0"/>
        <w:keepLines w:val="0"/>
        <w:pageBreakBefore w:val="0"/>
        <w:kinsoku/>
        <w:wordWrap/>
        <w:overflowPunct/>
        <w:topLinePunct w:val="0"/>
        <w:bidi w:val="0"/>
        <w:snapToGrid/>
        <w:spacing w:beforeAutospacing="0" w:afterAutospacing="0" w:line="360" w:lineRule="auto"/>
        <w:ind w:firstLine="748" w:firstLineChars="266"/>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第九条  违约责任</w:t>
      </w:r>
    </w:p>
    <w:p w14:paraId="70F6285B">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1、乙方无正当理由，未经甲方同意擅自终止或解除合同的，乙方应返还任何已收取款项，并承担合同技术服务费总额10%的违约金，乙方赔偿甲方由此造成的全部损失。</w:t>
      </w:r>
    </w:p>
    <w:p w14:paraId="54B9AF1F">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乙方交付的成果未能通过验收，乙方应当无条件予以修改或重做，直至评审通过，因修改或重新制作产生的费用由乙方自行承担。乙方修改或重做累计2次仍未能满足要求的，甲方有权解除本合同，并有权要求乙方向甲方退回已付的合同费用，拒绝支付剩余未付的费用并向甲方支付合同总价款的20%作为违约金，赔偿由此给甲方带来的全部损失。</w:t>
      </w:r>
    </w:p>
    <w:p w14:paraId="37A8FE35">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乙方迟延交付服务成果时（包括因未通过验收而修改或重做的期限），延期超过10个工作日的，每逾期一日，乙方应向甲方支付合同总价款的1‰作为违约金。乙方迟延交付服务成果逾期30日以上时，视为违约，甲方有权解除本合同，乙方赔偿甲方由此造成的全部损失，并承担合同技术服务费总额10%的违约金。</w:t>
      </w:r>
    </w:p>
    <w:p w14:paraId="32BE13D2">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4、甲方迟延付款的，延期超过10个工作日的，每逾期一日，甲方应向乙方支付合同总价款的日万分之一作为违约金。上级或财政审批时间不计入本条迟延付款逾期。</w:t>
      </w:r>
    </w:p>
    <w:p w14:paraId="3DD3CE16">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5、未经甲方书面同意，乙方擅自转包或分包本合同技术服务事项的，甲方有权单方解除合同，并可要求乙方按本合同总额的20%向甲方支付违约金。</w:t>
      </w:r>
    </w:p>
    <w:p w14:paraId="1328D61A">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6、在本合同履行过程中，甲方发现乙方未按照甲方要求或合同约定履行义务，且经甲方书面提示整改后不整改或整改后仍不符合甲方要求或合同约定的，甲方有权解除本合同，拒绝支付剩余未付的费用，并要求乙方向甲方支付合同总价款的20%作为违约金，赔偿由此给甲方带来的全部损失。</w:t>
      </w:r>
    </w:p>
    <w:p w14:paraId="482D93DC">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7、本合同履行过程中出现合同内约定项目发生变化、政府决策等因甲方可释明的理由导致本协议无需继续履行的，甲方有权单方解除本合同且不承担任何违约责任，双方根据乙方的工作量据实结算，如甲方已付款超过乙方工作量的，乙方应当在收到甲方通知后5日内退还超额部分。</w:t>
      </w:r>
    </w:p>
    <w:p w14:paraId="248F8420">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8、乙方违约的，应赔偿由此给甲方带来的全部损失，甲方的损失包括但不限于甲方由此遭受的实际损失及甲方为维护自身合法权益所支付的调解费、诉讼费、仲裁费、律师费、差旅费等。</w:t>
      </w:r>
    </w:p>
    <w:p w14:paraId="4D91407C">
      <w:pPr>
        <w:keepNext w:val="0"/>
        <w:keepLines w:val="0"/>
        <w:pageBreakBefore w:val="0"/>
        <w:kinsoku/>
        <w:wordWrap/>
        <w:overflowPunct/>
        <w:topLinePunct w:val="0"/>
        <w:bidi w:val="0"/>
        <w:snapToGrid/>
        <w:spacing w:beforeAutospacing="0" w:afterAutospacing="0" w:line="360" w:lineRule="auto"/>
        <w:ind w:firstLine="748"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 xml:space="preserve">第十条  </w:t>
      </w:r>
      <w:r>
        <w:rPr>
          <w:rFonts w:hint="eastAsia" w:ascii="仿宋_GB2312" w:hAnsi="仿宋_GB2312" w:eastAsia="仿宋_GB2312" w:cs="仿宋_GB2312"/>
          <w:b w:val="0"/>
          <w:bCs w:val="0"/>
          <w:color w:val="auto"/>
          <w:sz w:val="28"/>
          <w:szCs w:val="28"/>
          <w:highlight w:val="none"/>
          <w:lang w:eastAsia="zh-CN"/>
        </w:rPr>
        <w:t>本项目的</w:t>
      </w:r>
      <w:r>
        <w:rPr>
          <w:rFonts w:hint="eastAsia" w:ascii="仿宋_GB2312" w:hAnsi="仿宋_GB2312" w:eastAsia="仿宋_GB2312" w:cs="仿宋_GB2312"/>
          <w:b w:val="0"/>
          <w:bCs w:val="0"/>
          <w:color w:val="auto"/>
          <w:sz w:val="28"/>
          <w:szCs w:val="28"/>
          <w:highlight w:val="none"/>
        </w:rPr>
        <w:t>知识产权的所有权归甲方</w:t>
      </w:r>
      <w:r>
        <w:rPr>
          <w:rFonts w:hint="eastAsia" w:ascii="仿宋_GB2312" w:hAnsi="仿宋_GB2312" w:eastAsia="仿宋_GB2312" w:cs="仿宋_GB2312"/>
          <w:b w:val="0"/>
          <w:bCs w:val="0"/>
          <w:color w:val="auto"/>
          <w:sz w:val="28"/>
          <w:szCs w:val="28"/>
          <w:highlight w:val="none"/>
          <w:lang w:eastAsia="zh-CN"/>
        </w:rPr>
        <w:t>所有，</w:t>
      </w:r>
      <w:r>
        <w:rPr>
          <w:rFonts w:hint="eastAsia" w:ascii="仿宋_GB2312" w:hAnsi="仿宋_GB2312" w:eastAsia="仿宋_GB2312" w:cs="仿宋_GB2312"/>
          <w:b w:val="0"/>
          <w:bCs w:val="0"/>
          <w:color w:val="auto"/>
          <w:sz w:val="28"/>
          <w:szCs w:val="28"/>
          <w:highlight w:val="none"/>
          <w:lang w:val="en-US" w:eastAsia="zh-CN"/>
        </w:rPr>
        <w:t>乙方保证，甲方在享受服务或者服务的任何一部分时，免受第三方提出的侵犯其专利权、商标权或其他知识产权的起诉。如发生此类纠纷，由乙方承担一切责任；如因此给甲方造成损失的，乙方负责全额赔偿，且乙方应向甲方支付合同价款总额的20%作为违约金。</w:t>
      </w:r>
    </w:p>
    <w:p w14:paraId="3A5D3580">
      <w:pPr>
        <w:keepNext w:val="0"/>
        <w:keepLines w:val="0"/>
        <w:pageBreakBefore w:val="0"/>
        <w:kinsoku/>
        <w:wordWrap/>
        <w:overflowPunct/>
        <w:topLinePunct w:val="0"/>
        <w:bidi w:val="0"/>
        <w:snapToGrid/>
        <w:spacing w:beforeAutospacing="0" w:afterAutospacing="0" w:line="360" w:lineRule="auto"/>
        <w:ind w:firstLine="748"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第</w:t>
      </w:r>
      <w:r>
        <w:rPr>
          <w:rFonts w:hint="eastAsia" w:ascii="仿宋_GB2312" w:hAnsi="仿宋_GB2312" w:eastAsia="仿宋_GB2312" w:cs="仿宋_GB2312"/>
          <w:b/>
          <w:bCs/>
          <w:color w:val="auto"/>
          <w:sz w:val="28"/>
          <w:szCs w:val="28"/>
          <w:highlight w:val="none"/>
          <w:lang w:val="en-US" w:eastAsia="zh-CN"/>
        </w:rPr>
        <w:t>十一</w:t>
      </w:r>
      <w:r>
        <w:rPr>
          <w:rFonts w:hint="eastAsia" w:ascii="仿宋_GB2312" w:hAnsi="仿宋_GB2312" w:eastAsia="仿宋_GB2312" w:cs="仿宋_GB2312"/>
          <w:b/>
          <w:bCs/>
          <w:color w:val="auto"/>
          <w:sz w:val="28"/>
          <w:szCs w:val="28"/>
          <w:highlight w:val="none"/>
        </w:rPr>
        <w:t>条</w:t>
      </w:r>
      <w:r>
        <w:rPr>
          <w:rFonts w:hint="eastAsia" w:ascii="仿宋_GB2312" w:hAnsi="仿宋_GB2312" w:eastAsia="仿宋_GB2312" w:cs="仿宋_GB2312"/>
          <w:color w:val="auto"/>
          <w:sz w:val="28"/>
          <w:szCs w:val="28"/>
          <w:highlight w:val="none"/>
        </w:rPr>
        <w:t xml:space="preserve">  乙方在进行本项目工作过程所发生的一切仪器设备损坏及安全事故责任由乙方自己承担，因乙方原因导致甲方人员及其他第三方人员人身、财产损害的，由乙方负责赔偿。</w:t>
      </w:r>
    </w:p>
    <w:p w14:paraId="0C2CFA8B">
      <w:pPr>
        <w:keepNext w:val="0"/>
        <w:keepLines w:val="0"/>
        <w:pageBreakBefore w:val="0"/>
        <w:kinsoku/>
        <w:wordWrap/>
        <w:overflowPunct/>
        <w:topLinePunct w:val="0"/>
        <w:bidi w:val="0"/>
        <w:snapToGrid/>
        <w:spacing w:beforeAutospacing="0" w:afterAutospacing="0" w:line="360" w:lineRule="auto"/>
        <w:ind w:firstLine="748"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第</w:t>
      </w:r>
      <w:r>
        <w:rPr>
          <w:rFonts w:hint="eastAsia" w:ascii="仿宋_GB2312" w:hAnsi="仿宋_GB2312" w:eastAsia="仿宋_GB2312" w:cs="仿宋_GB2312"/>
          <w:b/>
          <w:bCs/>
          <w:color w:val="auto"/>
          <w:sz w:val="28"/>
          <w:szCs w:val="28"/>
          <w:highlight w:val="none"/>
          <w:lang w:eastAsia="zh-CN"/>
        </w:rPr>
        <w:t>十</w:t>
      </w:r>
      <w:r>
        <w:rPr>
          <w:rFonts w:hint="eastAsia" w:ascii="仿宋_GB2312" w:hAnsi="仿宋_GB2312" w:eastAsia="仿宋_GB2312" w:cs="仿宋_GB2312"/>
          <w:b/>
          <w:bCs/>
          <w:color w:val="auto"/>
          <w:sz w:val="28"/>
          <w:szCs w:val="28"/>
          <w:highlight w:val="none"/>
          <w:lang w:val="en-US" w:eastAsia="zh-CN"/>
        </w:rPr>
        <w:t>二</w:t>
      </w:r>
      <w:r>
        <w:rPr>
          <w:rFonts w:hint="eastAsia" w:ascii="仿宋_GB2312" w:hAnsi="仿宋_GB2312" w:eastAsia="仿宋_GB2312" w:cs="仿宋_GB2312"/>
          <w:b/>
          <w:bCs/>
          <w:color w:val="auto"/>
          <w:sz w:val="28"/>
          <w:szCs w:val="28"/>
          <w:highlight w:val="none"/>
        </w:rPr>
        <w:t>条</w:t>
      </w:r>
      <w:r>
        <w:rPr>
          <w:rFonts w:hint="eastAsia" w:ascii="仿宋_GB2312" w:hAnsi="仿宋_GB2312" w:eastAsia="仿宋_GB2312" w:cs="仿宋_GB2312"/>
          <w:color w:val="auto"/>
          <w:sz w:val="28"/>
          <w:szCs w:val="28"/>
          <w:highlight w:val="none"/>
        </w:rPr>
        <w:t xml:space="preserve">  合同变更与解除</w:t>
      </w:r>
    </w:p>
    <w:p w14:paraId="585DB2E4">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双方确定，发生不可抗拒的事件致使本合同的履行成为不必要或不可能的，任何一方可提出解除本合同。</w:t>
      </w:r>
    </w:p>
    <w:p w14:paraId="5CF7F5A1">
      <w:pPr>
        <w:keepNext w:val="0"/>
        <w:keepLines w:val="0"/>
        <w:pageBreakBefore w:val="0"/>
        <w:kinsoku/>
        <w:wordWrap/>
        <w:overflowPunct/>
        <w:topLinePunct w:val="0"/>
        <w:bidi w:val="0"/>
        <w:snapToGrid/>
        <w:spacing w:beforeAutospacing="0" w:afterAutospacing="0" w:line="360" w:lineRule="auto"/>
        <w:ind w:firstLine="744"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在合同执行过程中，若因国家政策调整而引起本合同无法正常执行时，乙方或甲方向对方提出暂停执行合同或修改合同有关条件的建议，费用按已完成的工程量进行计算，与之有关的事宜双方协商办理。</w:t>
      </w:r>
    </w:p>
    <w:p w14:paraId="633AB151">
      <w:pPr>
        <w:keepNext w:val="0"/>
        <w:keepLines w:val="0"/>
        <w:pageBreakBefore w:val="0"/>
        <w:kinsoku/>
        <w:wordWrap/>
        <w:overflowPunct/>
        <w:topLinePunct w:val="0"/>
        <w:bidi w:val="0"/>
        <w:snapToGrid/>
        <w:spacing w:beforeAutospacing="0" w:afterAutospacing="0" w:line="360" w:lineRule="auto"/>
        <w:ind w:firstLine="748" w:firstLineChars="26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eastAsia="zh-CN"/>
        </w:rPr>
        <w:t>第十</w:t>
      </w:r>
      <w:r>
        <w:rPr>
          <w:rFonts w:hint="eastAsia" w:ascii="仿宋_GB2312" w:hAnsi="仿宋_GB2312" w:eastAsia="仿宋_GB2312" w:cs="仿宋_GB2312"/>
          <w:b/>
          <w:bCs/>
          <w:color w:val="auto"/>
          <w:sz w:val="28"/>
          <w:szCs w:val="28"/>
          <w:highlight w:val="none"/>
          <w:lang w:val="en-US" w:eastAsia="zh-CN"/>
        </w:rPr>
        <w:t>三</w:t>
      </w:r>
      <w:r>
        <w:rPr>
          <w:rFonts w:hint="eastAsia" w:ascii="仿宋_GB2312" w:hAnsi="仿宋_GB2312" w:eastAsia="仿宋_GB2312" w:cs="仿宋_GB2312"/>
          <w:b/>
          <w:bCs/>
          <w:color w:val="auto"/>
          <w:sz w:val="28"/>
          <w:szCs w:val="28"/>
          <w:highlight w:val="none"/>
          <w:lang w:eastAsia="zh-CN"/>
        </w:rPr>
        <w:t>条</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在本合同有效期内甲方指定</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为甲方项目联系人，联系电话：</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。乙方指定</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为乙方项目联系人，联系电话：</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乙方若变更项目联系人时，应当及时以书面形式通知另一方。若未及时通知，对方将通知以电子邮件和短信形式两种方式均发送到上述地址的，视为有效送达，影响本合同履行或造成损失的，应承担相应的责任。</w:t>
      </w:r>
    </w:p>
    <w:p w14:paraId="52EA1916">
      <w:pPr>
        <w:keepNext w:val="0"/>
        <w:keepLines w:val="0"/>
        <w:pageBreakBefore w:val="0"/>
        <w:kinsoku/>
        <w:wordWrap/>
        <w:overflowPunct/>
        <w:topLinePunct w:val="0"/>
        <w:bidi w:val="0"/>
        <w:snapToGrid/>
        <w:spacing w:beforeAutospacing="0" w:afterAutospacing="0" w:line="360" w:lineRule="auto"/>
        <w:ind w:left="0" w:leftChars="0" w:firstLine="641" w:firstLineChars="228"/>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第</w:t>
      </w:r>
      <w:r>
        <w:rPr>
          <w:rFonts w:hint="eastAsia" w:ascii="仿宋_GB2312" w:hAnsi="仿宋_GB2312" w:eastAsia="仿宋_GB2312" w:cs="仿宋_GB2312"/>
          <w:b/>
          <w:bCs/>
          <w:color w:val="auto"/>
          <w:sz w:val="28"/>
          <w:szCs w:val="28"/>
          <w:highlight w:val="none"/>
          <w:lang w:eastAsia="zh-CN"/>
        </w:rPr>
        <w:t>十</w:t>
      </w:r>
      <w:r>
        <w:rPr>
          <w:rFonts w:hint="eastAsia" w:ascii="仿宋_GB2312" w:hAnsi="仿宋_GB2312" w:eastAsia="仿宋_GB2312" w:cs="仿宋_GB2312"/>
          <w:b/>
          <w:bCs/>
          <w:color w:val="auto"/>
          <w:sz w:val="28"/>
          <w:szCs w:val="28"/>
          <w:highlight w:val="none"/>
          <w:lang w:val="en-US" w:eastAsia="zh-CN"/>
        </w:rPr>
        <w:t>四</w:t>
      </w:r>
      <w:r>
        <w:rPr>
          <w:rFonts w:hint="eastAsia" w:ascii="仿宋_GB2312" w:hAnsi="仿宋_GB2312" w:eastAsia="仿宋_GB2312" w:cs="仿宋_GB2312"/>
          <w:b/>
          <w:bCs/>
          <w:color w:val="auto"/>
          <w:sz w:val="28"/>
          <w:szCs w:val="28"/>
          <w:highlight w:val="none"/>
        </w:rPr>
        <w:t>条</w:t>
      </w:r>
      <w:r>
        <w:rPr>
          <w:rFonts w:hint="eastAsia" w:ascii="仿宋_GB2312" w:hAnsi="仿宋_GB2312" w:eastAsia="仿宋_GB2312" w:cs="仿宋_GB2312"/>
          <w:color w:val="auto"/>
          <w:sz w:val="28"/>
          <w:szCs w:val="28"/>
          <w:highlight w:val="none"/>
        </w:rPr>
        <w:t xml:space="preserve">  双方因履行本合同而发生的争议，应协商、调解解决，协商一致的，由双方另行签订补充协议，补充协议与本合同具有同等法律效力。协商、调解不成的，按以下第</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种方式处理：</w:t>
      </w:r>
    </w:p>
    <w:p w14:paraId="0353C1F7">
      <w:pPr>
        <w:keepNext w:val="0"/>
        <w:keepLines w:val="0"/>
        <w:pageBreakBefore w:val="0"/>
        <w:kinsoku/>
        <w:wordWrap/>
        <w:overflowPunct/>
        <w:topLinePunct w:val="0"/>
        <w:bidi w:val="0"/>
        <w:snapToGrid/>
        <w:spacing w:beforeAutospacing="0" w:afterAutospacing="0" w:line="360" w:lineRule="auto"/>
        <w:ind w:left="0" w:leftChars="0" w:firstLine="638" w:firstLineChars="228"/>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提交三亚仲裁委员会仲裁；</w:t>
      </w:r>
    </w:p>
    <w:p w14:paraId="4E9E85D3">
      <w:pPr>
        <w:keepNext w:val="0"/>
        <w:keepLines w:val="0"/>
        <w:pageBreakBefore w:val="0"/>
        <w:kinsoku/>
        <w:wordWrap/>
        <w:overflowPunct/>
        <w:topLinePunct w:val="0"/>
        <w:bidi w:val="0"/>
        <w:snapToGrid/>
        <w:spacing w:beforeAutospacing="0" w:afterAutospacing="0" w:line="360" w:lineRule="auto"/>
        <w:ind w:left="0" w:leftChars="0" w:firstLine="638" w:firstLineChars="228"/>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依法向</w:t>
      </w:r>
      <w:r>
        <w:rPr>
          <w:rFonts w:hint="eastAsia" w:ascii="仿宋_GB2312" w:hAnsi="仿宋_GB2312" w:eastAsia="仿宋_GB2312" w:cs="仿宋_GB2312"/>
          <w:color w:val="auto"/>
          <w:sz w:val="28"/>
          <w:szCs w:val="28"/>
          <w:highlight w:val="none"/>
          <w:lang w:val="en-US" w:eastAsia="zh-CN"/>
        </w:rPr>
        <w:t>三亚</w:t>
      </w:r>
      <w:r>
        <w:rPr>
          <w:rFonts w:hint="eastAsia" w:ascii="仿宋_GB2312" w:hAnsi="仿宋_GB2312" w:eastAsia="仿宋_GB2312" w:cs="仿宋_GB2312"/>
          <w:color w:val="auto"/>
          <w:sz w:val="28"/>
          <w:szCs w:val="28"/>
          <w:highlight w:val="none"/>
        </w:rPr>
        <w:t>具有管辖权的人民法院起诉。</w:t>
      </w:r>
    </w:p>
    <w:p w14:paraId="4927FB27">
      <w:pPr>
        <w:keepNext w:val="0"/>
        <w:keepLines w:val="0"/>
        <w:pageBreakBefore w:val="0"/>
        <w:kinsoku/>
        <w:wordWrap/>
        <w:overflowPunct/>
        <w:topLinePunct w:val="0"/>
        <w:bidi w:val="0"/>
        <w:snapToGrid/>
        <w:spacing w:beforeAutospacing="0" w:afterAutospacing="0" w:line="360" w:lineRule="auto"/>
        <w:ind w:left="0" w:leftChars="0" w:firstLine="641" w:firstLineChars="228"/>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第十</w:t>
      </w:r>
      <w:r>
        <w:rPr>
          <w:rFonts w:hint="eastAsia" w:ascii="仿宋_GB2312" w:hAnsi="仿宋_GB2312" w:eastAsia="仿宋_GB2312" w:cs="仿宋_GB2312"/>
          <w:b/>
          <w:bCs/>
          <w:color w:val="auto"/>
          <w:sz w:val="28"/>
          <w:szCs w:val="28"/>
          <w:highlight w:val="none"/>
          <w:lang w:val="en-US" w:eastAsia="zh-CN"/>
        </w:rPr>
        <w:t>五</w:t>
      </w:r>
      <w:r>
        <w:rPr>
          <w:rFonts w:hint="eastAsia" w:ascii="仿宋_GB2312" w:hAnsi="仿宋_GB2312" w:eastAsia="仿宋_GB2312" w:cs="仿宋_GB2312"/>
          <w:b/>
          <w:bCs/>
          <w:color w:val="auto"/>
          <w:sz w:val="28"/>
          <w:szCs w:val="28"/>
          <w:highlight w:val="none"/>
        </w:rPr>
        <w:t xml:space="preserve">条 </w:t>
      </w:r>
      <w:r>
        <w:rPr>
          <w:rFonts w:hint="eastAsia" w:ascii="仿宋_GB2312" w:hAnsi="仿宋_GB2312" w:eastAsia="仿宋_GB2312" w:cs="仿宋_GB2312"/>
          <w:color w:val="auto"/>
          <w:sz w:val="28"/>
          <w:szCs w:val="28"/>
          <w:highlight w:val="none"/>
        </w:rPr>
        <w:t xml:space="preserve"> 本合同一式</w:t>
      </w:r>
      <w:r>
        <w:rPr>
          <w:rFonts w:hint="eastAsia" w:ascii="仿宋_GB2312" w:hAnsi="仿宋_GB2312" w:eastAsia="仿宋_GB2312" w:cs="仿宋_GB2312"/>
          <w:color w:val="auto"/>
          <w:sz w:val="28"/>
          <w:szCs w:val="28"/>
          <w:highlight w:val="none"/>
          <w:lang w:val="en-US" w:eastAsia="zh-CN"/>
        </w:rPr>
        <w:t>肆</w:t>
      </w:r>
      <w:r>
        <w:rPr>
          <w:rFonts w:hint="eastAsia" w:ascii="仿宋_GB2312" w:hAnsi="仿宋_GB2312" w:eastAsia="仿宋_GB2312" w:cs="仿宋_GB2312"/>
          <w:color w:val="auto"/>
          <w:sz w:val="28"/>
          <w:szCs w:val="28"/>
          <w:highlight w:val="none"/>
        </w:rPr>
        <w:t>份，甲方执贰份，乙方执贰份</w:t>
      </w:r>
      <w:r>
        <w:rPr>
          <w:rFonts w:hint="eastAsia" w:ascii="仿宋_GB2312" w:hAnsi="仿宋_GB2312" w:eastAsia="仿宋_GB2312"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rPr>
        <w:t>具有同等法律效力。</w:t>
      </w:r>
    </w:p>
    <w:p w14:paraId="59C1E5F5">
      <w:pPr>
        <w:keepNext w:val="0"/>
        <w:keepLines w:val="0"/>
        <w:pageBreakBefore w:val="0"/>
        <w:kinsoku/>
        <w:wordWrap/>
        <w:overflowPunct/>
        <w:topLinePunct w:val="0"/>
        <w:bidi w:val="0"/>
        <w:snapToGrid/>
        <w:spacing w:beforeAutospacing="0" w:afterAutospacing="0" w:line="360" w:lineRule="auto"/>
        <w:ind w:left="0" w:leftChars="0" w:firstLine="641" w:firstLineChars="228"/>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b/>
          <w:bCs/>
          <w:color w:val="auto"/>
          <w:sz w:val="28"/>
          <w:szCs w:val="28"/>
          <w:highlight w:val="none"/>
        </w:rPr>
        <w:t>第十</w:t>
      </w:r>
      <w:r>
        <w:rPr>
          <w:rFonts w:hint="eastAsia" w:ascii="仿宋_GB2312" w:hAnsi="仿宋_GB2312" w:eastAsia="仿宋_GB2312" w:cs="仿宋_GB2312"/>
          <w:b/>
          <w:bCs/>
          <w:color w:val="auto"/>
          <w:sz w:val="28"/>
          <w:szCs w:val="28"/>
          <w:highlight w:val="none"/>
          <w:lang w:val="en-US" w:eastAsia="zh-CN"/>
        </w:rPr>
        <w:t>六</w:t>
      </w:r>
      <w:r>
        <w:rPr>
          <w:rFonts w:hint="eastAsia" w:ascii="仿宋_GB2312" w:hAnsi="仿宋_GB2312" w:eastAsia="仿宋_GB2312" w:cs="仿宋_GB2312"/>
          <w:b/>
          <w:bCs/>
          <w:color w:val="auto"/>
          <w:sz w:val="28"/>
          <w:szCs w:val="28"/>
          <w:highlight w:val="none"/>
        </w:rPr>
        <w:t>条</w:t>
      </w:r>
      <w:r>
        <w:rPr>
          <w:rFonts w:hint="eastAsia" w:ascii="仿宋_GB2312" w:hAnsi="仿宋_GB2312" w:eastAsia="仿宋_GB2312" w:cs="仿宋_GB2312"/>
          <w:color w:val="auto"/>
          <w:sz w:val="28"/>
          <w:szCs w:val="28"/>
          <w:highlight w:val="none"/>
        </w:rPr>
        <w:t xml:space="preserve"> </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本合同经双方签字盖章后生效</w:t>
      </w:r>
      <w:r>
        <w:rPr>
          <w:rFonts w:hint="eastAsia" w:ascii="仿宋_GB2312" w:hAnsi="仿宋_GB2312" w:eastAsia="仿宋_GB2312" w:cs="仿宋_GB2312"/>
          <w:color w:val="auto"/>
          <w:sz w:val="28"/>
          <w:szCs w:val="28"/>
          <w:highlight w:val="none"/>
          <w:lang w:eastAsia="zh-CN"/>
        </w:rPr>
        <w:t>。</w:t>
      </w:r>
    </w:p>
    <w:p w14:paraId="0FBBC535">
      <w:pPr>
        <w:keepNext w:val="0"/>
        <w:keepLines w:val="0"/>
        <w:pageBreakBefore w:val="0"/>
        <w:kinsoku/>
        <w:wordWrap/>
        <w:overflowPunct/>
        <w:topLinePunct w:val="0"/>
        <w:bidi w:val="0"/>
        <w:snapToGrid/>
        <w:spacing w:beforeAutospacing="0" w:afterAutospacing="0" w:line="360" w:lineRule="auto"/>
        <w:rPr>
          <w:rFonts w:hint="eastAsia" w:ascii="仿宋_GB2312" w:hAnsi="仿宋_GB2312" w:eastAsia="仿宋_GB2312" w:cs="仿宋_GB2312"/>
          <w:color w:val="auto"/>
          <w:sz w:val="28"/>
          <w:szCs w:val="28"/>
          <w:highlight w:val="none"/>
        </w:rPr>
      </w:pPr>
    </w:p>
    <w:p w14:paraId="673E1C15">
      <w:pPr>
        <w:keepNext w:val="0"/>
        <w:keepLines w:val="0"/>
        <w:pageBreakBefore w:val="0"/>
        <w:kinsoku/>
        <w:wordWrap/>
        <w:overflowPunct/>
        <w:topLinePunct w:val="0"/>
        <w:bidi w:val="0"/>
        <w:snapToGrid/>
        <w:spacing w:beforeAutospacing="0" w:afterAutospacing="0" w:line="36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甲方：（盖章）                       </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 xml:space="preserve">   乙方：（盖章）</w:t>
      </w:r>
    </w:p>
    <w:p w14:paraId="205E66BB">
      <w:pPr>
        <w:keepNext w:val="0"/>
        <w:keepLines w:val="0"/>
        <w:pageBreakBefore w:val="0"/>
        <w:kinsoku/>
        <w:wordWrap/>
        <w:overflowPunct/>
        <w:topLinePunct w:val="0"/>
        <w:bidi w:val="0"/>
        <w:snapToGrid/>
        <w:spacing w:beforeAutospacing="0" w:afterAutospacing="0" w:line="36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法定代表人/委托代理人：                  法定代表人/委托代理人</w:t>
      </w:r>
    </w:p>
    <w:p w14:paraId="37E651ED">
      <w:pPr>
        <w:keepNext w:val="0"/>
        <w:keepLines w:val="0"/>
        <w:pageBreakBefore w:val="0"/>
        <w:kinsoku/>
        <w:wordWrap/>
        <w:overflowPunct/>
        <w:topLinePunct w:val="0"/>
        <w:bidi w:val="0"/>
        <w:snapToGrid/>
        <w:spacing w:beforeAutospacing="0" w:afterAutospacing="0" w:line="36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 xml:space="preserve">年     月     日      </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 xml:space="preserve">            年  </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 xml:space="preserve">  月     日</w:t>
      </w:r>
    </w:p>
    <w:p w14:paraId="28BC19B5">
      <w:pPr>
        <w:keepNext w:val="0"/>
        <w:keepLines w:val="0"/>
        <w:pageBreakBefore w:val="0"/>
        <w:kinsoku/>
        <w:wordWrap/>
        <w:overflowPunct/>
        <w:topLinePunct w:val="0"/>
        <w:bidi w:val="0"/>
        <w:snapToGrid/>
        <w:spacing w:beforeAutospacing="0" w:afterAutospacing="0" w:line="360" w:lineRule="auto"/>
        <w:rPr>
          <w:rFonts w:hint="eastAsia" w:ascii="仿宋_GB2312" w:hAnsi="仿宋_GB2312" w:eastAsia="仿宋_GB2312" w:cs="仿宋_GB2312"/>
          <w:color w:val="auto"/>
          <w:sz w:val="28"/>
          <w:szCs w:val="28"/>
          <w:highlight w:val="none"/>
        </w:rPr>
      </w:pPr>
    </w:p>
    <w:sectPr>
      <w:footerReference r:id="rId3" w:type="default"/>
      <w:pgSz w:w="11906" w:h="16838"/>
      <w:pgMar w:top="1383" w:right="1349" w:bottom="1327" w:left="1349"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DFKai-SB">
    <w:altName w:val="Microsoft JhengHei Light"/>
    <w:panose1 w:val="03000509000000000000"/>
    <w:charset w:val="88"/>
    <w:family w:val="script"/>
    <w:pitch w:val="default"/>
    <w:sig w:usb0="00000000" w:usb1="00000000" w:usb2="00000016" w:usb3="00000000" w:csb0="00100001" w:csb1="00000000"/>
  </w:font>
  <w:font w:name="Microsoft JhengHei Light">
    <w:panose1 w:val="020B0304030504040204"/>
    <w:charset w:val="88"/>
    <w:family w:val="auto"/>
    <w:pitch w:val="default"/>
    <w:sig w:usb0="800002A7" w:usb1="28CF4400" w:usb2="00000016" w:usb3="00000000" w:csb0="00100009"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367D0">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F12D2E">
                          <w:pPr>
                            <w:pStyle w:val="9"/>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7</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6F12D2E">
                    <w:pPr>
                      <w:pStyle w:val="9"/>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7</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A138C5"/>
    <w:multiLevelType w:val="multilevel"/>
    <w:tmpl w:val="2DA138C5"/>
    <w:lvl w:ilvl="0" w:tentative="0">
      <w:start w:val="1"/>
      <w:numFmt w:val="decimal"/>
      <w:lvlText w:val="%1"/>
      <w:lvlJc w:val="left"/>
      <w:pPr>
        <w:tabs>
          <w:tab w:val="left" w:pos="432"/>
        </w:tabs>
        <w:ind w:left="432" w:hanging="432"/>
      </w:pPr>
      <w:rPr>
        <w:rFonts w:hint="eastAsia" w:ascii="Times New Roman" w:hAnsi="Times New Roman" w:cs="Times New Roman"/>
        <w:i w:val="0"/>
        <w:iCs w:val="0"/>
        <w:caps w:val="0"/>
        <w:smallCaps w:val="0"/>
        <w:strike w:val="0"/>
        <w:dstrike w:val="0"/>
        <w:vanish w:val="0"/>
        <w:spacing w:val="0"/>
        <w:position w:val="0"/>
        <w:u w:val="none"/>
        <w:vertAlign w:val="baseline"/>
      </w:rPr>
    </w:lvl>
    <w:lvl w:ilvl="1" w:tentative="0">
      <w:start w:val="1"/>
      <w:numFmt w:val="decimal"/>
      <w:isLg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1716"/>
        </w:tabs>
        <w:ind w:left="1716"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pStyle w:val="5"/>
      <w:lvlText w:val="%1.%2.%3.%4.%5.%6"/>
      <w:lvlJc w:val="left"/>
      <w:pPr>
        <w:tabs>
          <w:tab w:val="left" w:pos="2429"/>
        </w:tabs>
        <w:ind w:left="2429"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941552"/>
    <w:rsid w:val="01B15B16"/>
    <w:rsid w:val="03A852C7"/>
    <w:rsid w:val="0449381C"/>
    <w:rsid w:val="05031C1C"/>
    <w:rsid w:val="093C0882"/>
    <w:rsid w:val="0D9D61B2"/>
    <w:rsid w:val="0DF37C28"/>
    <w:rsid w:val="0F1B4006"/>
    <w:rsid w:val="0F2E3D3A"/>
    <w:rsid w:val="119445AB"/>
    <w:rsid w:val="146D70B2"/>
    <w:rsid w:val="14D30EE8"/>
    <w:rsid w:val="189015C1"/>
    <w:rsid w:val="1890336F"/>
    <w:rsid w:val="1A473F02"/>
    <w:rsid w:val="1BDC533E"/>
    <w:rsid w:val="1E58492F"/>
    <w:rsid w:val="1F7D3FCB"/>
    <w:rsid w:val="200F54C2"/>
    <w:rsid w:val="2A826C42"/>
    <w:rsid w:val="2B487382"/>
    <w:rsid w:val="2C02237E"/>
    <w:rsid w:val="2EF62E88"/>
    <w:rsid w:val="2F8573B6"/>
    <w:rsid w:val="30DD0CC4"/>
    <w:rsid w:val="32E620B2"/>
    <w:rsid w:val="37E503C1"/>
    <w:rsid w:val="38751934"/>
    <w:rsid w:val="3B941552"/>
    <w:rsid w:val="3F0062A9"/>
    <w:rsid w:val="3FC96FE3"/>
    <w:rsid w:val="433504EC"/>
    <w:rsid w:val="44D7195B"/>
    <w:rsid w:val="45555D13"/>
    <w:rsid w:val="47706542"/>
    <w:rsid w:val="4799373F"/>
    <w:rsid w:val="49EC4E0A"/>
    <w:rsid w:val="4C0C57E6"/>
    <w:rsid w:val="4D3B0DF4"/>
    <w:rsid w:val="4E6E3EE3"/>
    <w:rsid w:val="512D31F3"/>
    <w:rsid w:val="5622169F"/>
    <w:rsid w:val="56A51306"/>
    <w:rsid w:val="5BC13E2E"/>
    <w:rsid w:val="5E1109EA"/>
    <w:rsid w:val="62543D44"/>
    <w:rsid w:val="63D84B97"/>
    <w:rsid w:val="64CC0C7D"/>
    <w:rsid w:val="67917B37"/>
    <w:rsid w:val="6A1D46AF"/>
    <w:rsid w:val="72C31541"/>
    <w:rsid w:val="74D84FF7"/>
    <w:rsid w:val="763553D2"/>
    <w:rsid w:val="7A8B3F40"/>
    <w:rsid w:val="7B237F37"/>
    <w:rsid w:val="7C74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4"/>
    <w:qFormat/>
    <w:uiPriority w:val="9"/>
    <w:pPr>
      <w:keepNext/>
      <w:keepLines/>
      <w:spacing w:before="100" w:beforeLines="0" w:beforeAutospacing="1" w:after="100" w:afterLines="0" w:afterAutospacing="1" w:line="360" w:lineRule="auto"/>
      <w:outlineLvl w:val="1"/>
    </w:pPr>
    <w:rPr>
      <w:rFonts w:ascii="Arial" w:hAnsi="Arial" w:eastAsia="黑体"/>
      <w:b/>
      <w:bCs/>
      <w:sz w:val="36"/>
      <w:szCs w:val="32"/>
    </w:rPr>
  </w:style>
  <w:style w:type="paragraph" w:styleId="5">
    <w:name w:val="heading 6"/>
    <w:basedOn w:val="1"/>
    <w:next w:val="1"/>
    <w:qFormat/>
    <w:uiPriority w:val="0"/>
    <w:pPr>
      <w:keepNext/>
      <w:keepLines/>
      <w:numPr>
        <w:ilvl w:val="5"/>
        <w:numId w:val="1"/>
      </w:numPr>
      <w:spacing w:before="240" w:after="64" w:line="320" w:lineRule="auto"/>
      <w:ind w:firstLineChars="0"/>
      <w:outlineLvl w:val="5"/>
    </w:pPr>
    <w:rPr>
      <w:rFonts w:ascii="Arial" w:hAnsi="Arial" w:eastAsia="黑体"/>
      <w:b/>
      <w:bCs/>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unhideWhenUsed/>
    <w:qFormat/>
    <w:uiPriority w:val="99"/>
    <w:pPr>
      <w:adjustRightInd w:val="0"/>
      <w:ind w:firstLine="420"/>
      <w:jc w:val="left"/>
      <w:textAlignment w:val="baseline"/>
    </w:pPr>
    <w:rPr>
      <w:rFonts w:eastAsia="楷体_GB2312"/>
      <w:sz w:val="24"/>
      <w:szCs w:val="20"/>
    </w:rPr>
  </w:style>
  <w:style w:type="paragraph" w:styleId="6">
    <w:name w:val="caption"/>
    <w:basedOn w:val="1"/>
    <w:next w:val="1"/>
    <w:qFormat/>
    <w:uiPriority w:val="0"/>
    <w:rPr>
      <w:rFonts w:ascii="Arial" w:hAnsi="Arial" w:eastAsia="黑体"/>
      <w:sz w:val="20"/>
    </w:rPr>
  </w:style>
  <w:style w:type="paragraph" w:styleId="7">
    <w:name w:val="Body Text"/>
    <w:basedOn w:val="1"/>
    <w:next w:val="1"/>
    <w:qFormat/>
    <w:uiPriority w:val="0"/>
    <w:pPr>
      <w:widowControl w:val="0"/>
      <w:autoSpaceDE w:val="0"/>
      <w:autoSpaceDN w:val="0"/>
      <w:adjustRightInd/>
      <w:snapToGrid/>
      <w:spacing w:after="0"/>
    </w:pPr>
    <w:rPr>
      <w:rFonts w:ascii="宋体" w:hAnsi="宋体" w:eastAsia="宋体" w:cs="宋体"/>
      <w:sz w:val="24"/>
      <w:szCs w:val="24"/>
      <w:lang w:eastAsia="en-US"/>
    </w:rPr>
  </w:style>
  <w:style w:type="paragraph" w:styleId="8">
    <w:name w:val="Body Text Indent"/>
    <w:basedOn w:val="1"/>
    <w:qFormat/>
    <w:uiPriority w:val="99"/>
    <w:pPr>
      <w:autoSpaceDE w:val="0"/>
      <w:autoSpaceDN w:val="0"/>
      <w:ind w:left="181" w:firstLine="539"/>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next w:val="6"/>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1">
    <w:name w:val="Body Text First Indent 2"/>
    <w:basedOn w:val="8"/>
    <w:qFormat/>
    <w:uiPriority w:val="99"/>
    <w:pPr>
      <w:autoSpaceDE/>
      <w:autoSpaceDN/>
      <w:spacing w:after="120" w:line="240" w:lineRule="auto"/>
      <w:ind w:left="480" w:leftChars="200" w:firstLine="210" w:firstLineChars="100"/>
      <w:jc w:val="left"/>
    </w:pPr>
    <w:rPr>
      <w:rFonts w:ascii="DFKai-SB" w:eastAsia="DFKai-SB"/>
      <w:kern w:val="0"/>
      <w:sz w:val="28"/>
      <w:szCs w:val="24"/>
      <w:lang w:eastAsia="zh-TW"/>
    </w:rPr>
  </w:style>
  <w:style w:type="paragraph" w:customStyle="1" w:styleId="14">
    <w:name w:val="表格内容"/>
    <w:qFormat/>
    <w:uiPriority w:val="0"/>
    <w:pPr>
      <w:adjustRightInd w:val="0"/>
      <w:snapToGrid w:val="0"/>
      <w:jc w:val="center"/>
      <w:textAlignment w:val="center"/>
    </w:pPr>
    <w:rPr>
      <w:rFonts w:ascii="Times New Roman" w:hAnsi="Times New Roman" w:eastAsia="宋体" w:cs="Times New Roman"/>
      <w:kern w:val="2"/>
      <w:sz w:val="21"/>
      <w:szCs w:val="21"/>
      <w:lang w:val="en-US" w:eastAsia="zh-CN" w:bidi="ar-SA"/>
    </w:rPr>
  </w:style>
  <w:style w:type="paragraph" w:customStyle="1" w:styleId="15">
    <w:name w:val="图片与表格标题"/>
    <w:basedOn w:val="5"/>
    <w:next w:val="1"/>
    <w:qFormat/>
    <w:uiPriority w:val="0"/>
    <w:pPr>
      <w:keepNext w:val="0"/>
      <w:numPr>
        <w:ilvl w:val="0"/>
        <w:numId w:val="0"/>
      </w:numPr>
      <w:tabs>
        <w:tab w:val="clear" w:pos="2429"/>
      </w:tabs>
      <w:spacing w:line="319" w:lineRule="auto"/>
      <w:jc w:val="center"/>
    </w:pPr>
    <w:rPr>
      <w:rFonts w:ascii="Times New Roman" w:hAnsi="Times New Roman" w:eastAsia="宋体"/>
    </w:rPr>
  </w:style>
  <w:style w:type="character" w:customStyle="1" w:styleId="16">
    <w:name w:val="fontstyle01"/>
    <w:basedOn w:val="13"/>
    <w:qFormat/>
    <w:uiPriority w:val="0"/>
    <w:rPr>
      <w:rFonts w:hint="default" w:ascii="仿宋" w:hAnsi="仿宋"/>
      <w:color w:val="000000"/>
      <w:sz w:val="28"/>
      <w:szCs w:val="28"/>
    </w:rPr>
  </w:style>
  <w:style w:type="paragraph" w:styleId="17">
    <w:name w:val="List Paragraph"/>
    <w:basedOn w:val="1"/>
    <w:qFormat/>
    <w:uiPriority w:val="34"/>
    <w:pPr>
      <w:ind w:firstLine="420" w:firstLineChars="200"/>
    </w:pPr>
  </w:style>
  <w:style w:type="paragraph" w:customStyle="1" w:styleId="18">
    <w:name w:val="表格五中"/>
    <w:qFormat/>
    <w:uiPriority w:val="0"/>
    <w:pPr>
      <w:adjustRightInd w:val="0"/>
      <w:snapToGrid w:val="0"/>
      <w:spacing w:line="240" w:lineRule="atLeast"/>
      <w:jc w:val="center"/>
    </w:pPr>
    <w:rPr>
      <w:rFonts w:ascii="Times New Roman" w:hAnsi="Times New Roman" w:eastAsia="宋体" w:cs="Times New Roman"/>
      <w:sz w:val="21"/>
      <w:lang w:val="en-US" w:eastAsia="zh-CN" w:bidi="ar-SA"/>
    </w:rPr>
  </w:style>
  <w:style w:type="paragraph" w:customStyle="1" w:styleId="19">
    <w:name w:val="表格"/>
    <w:qFormat/>
    <w:uiPriority w:val="0"/>
    <w:pPr>
      <w:adjustRightInd w:val="0"/>
      <w:snapToGrid w:val="0"/>
      <w:spacing w:line="240" w:lineRule="atLeast"/>
      <w:jc w:val="center"/>
    </w:pPr>
    <w:rPr>
      <w:rFonts w:ascii="Times New Roman"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3654</Words>
  <Characters>3717</Characters>
  <Lines>0</Lines>
  <Paragraphs>0</Paragraphs>
  <TotalTime>8</TotalTime>
  <ScaleCrop>false</ScaleCrop>
  <LinksUpToDate>false</LinksUpToDate>
  <CharactersWithSpaces>3912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2025-03-03T13:14:00Z</dcterms:created>
  <dc:creator>车志伟</dc:creator>
  <cp:lastModifiedBy>123</cp:lastModifiedBy>
  <dcterms:modified xsi:type="dcterms:W3CDTF">2025-08-20T07:43:38Z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40F1D89046D946A083967A28C6335A85_13</vt:lpwstr>
  </property>
  <property fmtid="{D5CDD505-2E9C-101B-9397-08002B2CF9AE}" pid="4" name="KSOTemplateDocerSaveRecord">
    <vt:lpwstr>eyJoZGlkIjoiMDlmY2JkMDU5ZTYyMzg5Mzk4NmNmNGJmZjc0MmRjOTMiLCJ1c2VySWQiOiIyNzQzNjA2MjIifQ==</vt:lpwstr>
  </property>
</Properties>
</file>