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2025年高中学校家具类设备采购项目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SYZFCG-2025-16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三亚市公共资源交易中心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三亚市教育局</w:t>
      </w:r>
      <w:r>
        <w:rPr>
          <w:rFonts w:ascii="仿宋_GB2312" w:hAnsi="仿宋_GB2312" w:cs="仿宋_GB2312" w:eastAsia="仿宋_GB2312"/>
        </w:rPr>
        <w:t xml:space="preserve"> 委托， </w:t>
      </w:r>
      <w:r>
        <w:rPr>
          <w:rFonts w:ascii="仿宋_GB2312" w:hAnsi="仿宋_GB2312" w:cs="仿宋_GB2312" w:eastAsia="仿宋_GB2312"/>
        </w:rPr>
        <w:t>三亚市公共资源交易中心</w:t>
      </w:r>
      <w:r>
        <w:rPr>
          <w:rFonts w:ascii="仿宋_GB2312" w:hAnsi="仿宋_GB2312" w:cs="仿宋_GB2312" w:eastAsia="仿宋_GB2312"/>
        </w:rPr>
        <w:t xml:space="preserve"> 对 </w:t>
      </w:r>
      <w:r>
        <w:rPr>
          <w:rFonts w:ascii="仿宋_GB2312" w:hAnsi="仿宋_GB2312" w:cs="仿宋_GB2312" w:eastAsia="仿宋_GB2312"/>
        </w:rPr>
        <w:t>2025年高中学校家具类设备采购项目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SYZFCG-2025-16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2025年高中学校家具类设备采购项目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4,846,600.00元</w:t>
      </w:r>
      <w:r>
        <w:rPr>
          <w:rFonts w:ascii="仿宋_GB2312" w:hAnsi="仿宋_GB2312" w:cs="仿宋_GB2312" w:eastAsia="仿宋_GB2312"/>
        </w:rPr>
        <w:t>肆佰捌拾肆万陆仟陆佰元整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合同签订生效合同签订生效之日起60天内交付之日起60天内交付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信用中国”网站（www.creditchina.gov.cn）、中国政府采购网（www.ccgp.gov.cn）2022年以来没有列入失信被执行人、重大税收违法失信主体、政府采购严重违法失信行为记录名单的供应商。：在“信用中国”网站（www.creditchina.gov.cn）、中国政府采购网（www.ccgp.gov.cn）2022年以来没有列入失信被执行人、重大税收违法失信主体、政府采购严重违法失信行为记录名单的供应商。（提供信用承诺书加盖公章，格式自拟，由采购人和代理机构在开标现场实时查询核实为准）；</w:t>
      </w:r>
    </w:p>
    <w:p>
      <w:pPr>
        <w:pStyle w:val="null3"/>
        <w:jc w:val="left"/>
      </w:pPr>
      <w:r>
        <w:rPr>
          <w:rFonts w:ascii="仿宋_GB2312" w:hAnsi="仿宋_GB2312" w:cs="仿宋_GB2312" w:eastAsia="仿宋_GB2312"/>
        </w:rPr>
        <w:t>2、提供政府采购供应商信用承诺书：提供政府采购供应商信用承诺书，在招标文件中附带格式文本，按照信用承诺内容进行承诺</w:t>
      </w:r>
    </w:p>
    <w:p>
      <w:pPr>
        <w:pStyle w:val="null3"/>
        <w:jc w:val="left"/>
      </w:pPr>
      <w:r>
        <w:rPr>
          <w:rFonts w:ascii="仿宋_GB2312" w:hAnsi="仿宋_GB2312" w:cs="仿宋_GB2312" w:eastAsia="仿宋_GB2312"/>
        </w:rPr>
        <w:t>3、参加政府采购活动前三年内，无环保类行政处罚记录：参加政府采购活动前三年内，无环保类行政处罚记录（提供无环保类行政处罚记录声明）</w:t>
      </w:r>
    </w:p>
    <w:p>
      <w:pPr>
        <w:pStyle w:val="null3"/>
        <w:jc w:val="left"/>
      </w:pPr>
      <w:r>
        <w:rPr>
          <w:rFonts w:ascii="仿宋_GB2312" w:hAnsi="仿宋_GB2312" w:cs="仿宋_GB2312" w:eastAsia="仿宋_GB2312"/>
        </w:rPr>
        <w:t>4、本项目不接受联合体投标：本项目不接受联合体投标（提供非联合体投标声明，格式自拟）</w:t>
      </w:r>
    </w:p>
    <w:p>
      <w:pPr>
        <w:pStyle w:val="null3"/>
        <w:jc w:val="left"/>
      </w:pPr>
      <w:r>
        <w:rPr>
          <w:rFonts w:ascii="仿宋_GB2312" w:hAnsi="仿宋_GB2312" w:cs="仿宋_GB2312" w:eastAsia="仿宋_GB2312"/>
        </w:rPr>
        <w:t>5、提供非进口产品书面声明函：提供非进口产品书面声明函</w:t>
      </w:r>
    </w:p>
    <w:p>
      <w:pPr>
        <w:pStyle w:val="null3"/>
        <w:jc w:val="left"/>
      </w:pPr>
      <w:r>
        <w:rPr>
          <w:rFonts w:ascii="仿宋_GB2312" w:hAnsi="仿宋_GB2312" w:cs="仿宋_GB2312" w:eastAsia="仿宋_GB2312"/>
        </w:rPr>
        <w:t>6、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不存在企业关联承诺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2、投标人须在海南政府采购网(https://www.ccgp-hainan.gov.cn/zhuzhan/)中的海南省政府采购电子化交易管理系统平台进行注册并完善信息，然后下载参与投标项目电子招标文件（文件集）及其他文件； 3、电子标:必须使用投标工具（下载专区下载）制作电子版的投标文件， 并使用数字证书（https://www.yuque.com/haonan123/bzzx /ugmn1f）进行签字和加密，投标截止时间前，必须登录系统上传加密的电子投标文件； 4、本项目为远程不见面开标，供应商无须到达开标现场，但开标前必须进入电子开标大厅在线签到（未签到视为无效投标），远程按时参加在线开标解密即可。 5、注意事项：电子标采用全程电子化操作，供应商应详细阅读海南政府采购网的通知《海南省财政厅关于进一步推进政府采购全流程电子化的通知》，供应商使用交易系统遇到问题请拨打以下热线电话： 热线一：4001691288。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三亚市河东路60号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符慧敏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88657712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三亚市公共资源交易中心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三亚市吉阳区东岸一路旅文•三亚总部港A3栋8楼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宋铁权</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0898-88250606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采购包1：4,846,600.00元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说明：履约保证金为合同金额的3%,供应商自主选择以支票、汇票、本票、保函等非现金形式缴纳或提交保证金。</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1.单位负责人为同一人或者存在直接控股、管理关系的不同供应商,不得参加同一合 同项下的政府采购活动; 2.中小企业:中小企业参加本次政府采购活动,应当出具《 中小企业声明函》,否则不得享受相关中小企业扶持政策。对符合规定的小微企业报 价给10%的扣除,用扣除后的价格参加评审。 3.监狱企业:根据《财政部 司法部关 于政府采购支持监狱企业发展有关问题的通知》(财库[2014]68号)文件规定,监 狱企业参加政府采购活动时,应当提供由省级以上监狱管理局、戒毒管理局(含新疆 生产建设兵团)出具的属于监狱企业的证明文件。监狱企业视同小型、微型企业,享 受预留份额、评审中价格扣除等政府采购促进中小企业发展的政府采购政策。 4.残疾 人福利性单位:根据《财政部 民政部 中国残疾人联合会关于促进残疾人就业政府采 购政策的通知》(财库〔2017〕 141号)的规定,符合条件的残疾人福利性单位在参加政府采购活动时,须提供《残疾人福利性单位声明函》。残疾人福利性单位视同小型、微型企业,享受预留份额、评审中价格扣除等促进中小企业发展的政府采购政策。残疾人福利性单位属于小型、微型企业的,不重复享受政策。 5.价格扣除幅度:投标报价给予10%的扣除。供应商同时为小微企业、监狱企业或残疾人福利性单位的,评审中只享受一次价格扣除,不重复享受价格扣除。 6.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 响应)报价低于通过符合性审查且报价次低供应商投标(响应)报价50%的,即投标 (响应)报价&lt;通过符合性审查且报价次低供应商投标(响应)报价×50%;( 3)投 标(响应)报价低于采购项目最高限价45%的,即投标(响应)报价&lt;采购项目最高 限价×45%;(4)其他评审委员会认为供应商报价过低,有可能影响产品质量或者 不能诚信履约的情形。 评审委员会启动异常低价投标(响应)审查后,应当要求相关 供应商在评审现场合理的时间内提供书面说明及必要的证明材料,对投标(响应)价 格作出解释。书面说明、证明材料主要是项目具体成本测算等与报价合理性相关的说 明、材料。评审委员会应当结合同类产品在主要电商平台的价格、该行业当地薪资水 平等情况,依据专业经验对报价合理性进行判断。如果投标(响应)供应商不提供书 面说明、证明材料,或者提供的书面说明、证明材料不能证明其报价合理性的,应当 将其作为无效投标(响应)处理。审查相关情况应当在评审报告中记录。 7.根据《海 南省财政厅关于印发海南省政府采购领域优化营商环境提升措施的通知》琼财采(202 3)981号要求“除客观评审项外,针对同一供应商(投标人)的同一评审项,评审专家 的评分分值偏离幅度不得超过该评审项平均分值的30%,否则,该项评审意见无效。 ” 8.投标人如对采购文件中“供应商资格要求”、“采购需求”及“详细评审标准”部分有 质疑的,应直接向采购人提出。 9.评标委员会由采购人代表和评审 专家共5人以上单 数组成,本项目由1名采购人代表和4名评审专家组成,评审专家从 海南省综合评审专 家库中随机抽取。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联系人：符慧敏</w:t>
      </w:r>
    </w:p>
    <w:p>
      <w:pPr>
        <w:pStyle w:val="null3"/>
        <w:jc w:val="left"/>
      </w:pPr>
      <w:r>
        <w:rPr>
          <w:rFonts w:ascii="仿宋_GB2312" w:hAnsi="仿宋_GB2312" w:cs="仿宋_GB2312" w:eastAsia="仿宋_GB2312"/>
        </w:rPr>
        <w:t>联系电话：0898-88657712</w:t>
      </w:r>
    </w:p>
    <w:p>
      <w:pPr>
        <w:pStyle w:val="null3"/>
        <w:jc w:val="left"/>
      </w:pPr>
      <w:r>
        <w:rPr>
          <w:rFonts w:ascii="仿宋_GB2312" w:hAnsi="仿宋_GB2312" w:cs="仿宋_GB2312" w:eastAsia="仿宋_GB2312"/>
        </w:rPr>
        <w:t>地址：三亚市河东路60号</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1、2025年高中学校家具类设备采购项目</w:t>
      </w:r>
    </w:p>
    <w:p>
      <w:pPr>
        <w:pStyle w:val="null3"/>
        <w:jc w:val="left"/>
      </w:pPr>
      <w:r>
        <w:rPr>
          <w:rFonts w:ascii="仿宋_GB2312" w:hAnsi="仿宋_GB2312" w:cs="仿宋_GB2312" w:eastAsia="仿宋_GB2312"/>
          <w:sz w:val="32"/>
        </w:rPr>
        <w:t>2、</w:t>
      </w:r>
      <w:r>
        <w:rPr>
          <w:rFonts w:ascii="仿宋_GB2312" w:hAnsi="仿宋_GB2312" w:cs="仿宋_GB2312" w:eastAsia="仿宋_GB2312"/>
          <w:sz w:val="32"/>
        </w:rPr>
        <w:t>本项目核心产品为：学生课桌椅。</w:t>
      </w:r>
      <w:r>
        <w:br/>
      </w:r>
      <w:r>
        <w:rPr>
          <w:rFonts w:ascii="仿宋_GB2312" w:hAnsi="仿宋_GB2312" w:cs="仿宋_GB2312" w:eastAsia="仿宋_GB2312"/>
          <w:sz w:val="32"/>
        </w:rPr>
        <w:t xml:space="preserve"> 注：多家投标人提供的核心产品品牌相同的，按同品牌处理。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4,846,600.00</w:t>
      </w:r>
    </w:p>
    <w:p>
      <w:pPr>
        <w:pStyle w:val="null3"/>
        <w:jc w:val="left"/>
      </w:pPr>
      <w:r>
        <w:rPr>
          <w:rFonts w:ascii="仿宋_GB2312" w:hAnsi="仿宋_GB2312" w:cs="仿宋_GB2312" w:eastAsia="仿宋_GB2312"/>
        </w:rPr>
        <w:t>采购包最高限价（元）: 4,846,600.00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A05019900-其他家具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4,846,600.00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A05019900-其他家具</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4,846,600.00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标的名称：A05019900-其他家具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2"/>
                <w:b/>
              </w:rPr>
              <w:t>一、采购需求清单</w:t>
            </w:r>
          </w:p>
          <w:tbl>
            <w:tblPr>
              <w:tblBorders>
                <w:top w:val="none" w:color="000000" w:sz="4"/>
                <w:left w:val="none" w:color="000000" w:sz="4"/>
                <w:bottom w:val="none" w:color="000000" w:sz="4"/>
                <w:right w:val="none" w:color="000000" w:sz="4"/>
                <w:insideH w:val="none"/>
                <w:insideV w:val="none"/>
              </w:tblBorders>
            </w:tblPr>
            <w:tblGrid>
              <w:gridCol w:w="135"/>
              <w:gridCol w:w="262"/>
              <w:gridCol w:w="1813"/>
              <w:gridCol w:w="135"/>
              <w:gridCol w:w="207"/>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采购物品名称</w:t>
                  </w:r>
                </w:p>
              </w:tc>
              <w:tc>
                <w:tcPr>
                  <w:tcW w:type="dxa" w:w="18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规格及技术参数</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合计</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　</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　</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　</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学生课桌椅</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一桌一椅，双柱单层结构。</w:t>
                  </w:r>
                  <w:r>
                    <w:br/>
                  </w:r>
                  <w:r>
                    <w:rPr>
                      <w:rFonts w:ascii="仿宋_GB2312" w:hAnsi="仿宋_GB2312" w:cs="仿宋_GB2312" w:eastAsia="仿宋_GB2312"/>
                      <w:sz w:val="18"/>
                      <w:color w:val="000000"/>
                    </w:rPr>
                    <w:t>2、桌面规格：尺寸：宽650mm*深450mm*高760mm（注；高度可调节不小于700mm~760mm之间调节）每档30mm（或可手摇升降无极调节）。</w:t>
                  </w:r>
                  <w:r>
                    <w:br/>
                  </w:r>
                  <w:r>
                    <w:rPr>
                      <w:rFonts w:ascii="仿宋_GB2312" w:hAnsi="仿宋_GB2312" w:cs="仿宋_GB2312" w:eastAsia="仿宋_GB2312"/>
                      <w:sz w:val="18"/>
                      <w:color w:val="000000"/>
                    </w:rPr>
                    <w:t>3、构造要求：根据人体工程学原理设计。</w:t>
                  </w:r>
                  <w:r>
                    <w:br/>
                  </w:r>
                  <w:r>
                    <w:rPr>
                      <w:rFonts w:ascii="仿宋_GB2312" w:hAnsi="仿宋_GB2312" w:cs="仿宋_GB2312" w:eastAsia="仿宋_GB2312"/>
                      <w:sz w:val="18"/>
                      <w:color w:val="000000"/>
                    </w:rPr>
                    <w:t>4、桌面板材厚度及质量要求：桌面宽650mm*深450mm，采用橡木指接板或塑胶品材质（如PP、PE、ABS塑料等)。桌面板颜色材质后期跟根据校方需求确定。</w:t>
                  </w:r>
                  <w:r>
                    <w:br/>
                  </w:r>
                  <w:r>
                    <w:rPr>
                      <w:rFonts w:ascii="仿宋_GB2312" w:hAnsi="仿宋_GB2312" w:cs="仿宋_GB2312" w:eastAsia="仿宋_GB2312"/>
                      <w:sz w:val="18"/>
                      <w:color w:val="000000"/>
                    </w:rPr>
                    <w:t>5、桌脚材质：采用金属椭圆管。</w:t>
                  </w:r>
                  <w:r>
                    <w:br/>
                  </w:r>
                  <w:r>
                    <w:rPr>
                      <w:rFonts w:ascii="仿宋_GB2312" w:hAnsi="仿宋_GB2312" w:cs="仿宋_GB2312" w:eastAsia="仿宋_GB2312"/>
                      <w:sz w:val="18"/>
                      <w:color w:val="000000"/>
                    </w:rPr>
                    <w:t>6、桌面高度调节：桌面高度调节螺杆穿透桌脚金属椭圆管，外部用螺母固定（或可手摇升降）。</w:t>
                  </w:r>
                  <w:r>
                    <w:br/>
                  </w:r>
                  <w:r>
                    <w:rPr>
                      <w:rFonts w:ascii="仿宋_GB2312" w:hAnsi="仿宋_GB2312" w:cs="仿宋_GB2312" w:eastAsia="仿宋_GB2312"/>
                      <w:sz w:val="18"/>
                      <w:color w:val="000000"/>
                    </w:rPr>
                    <w:t>7、桌脚脚套：尼龙或橡胶材料，脚套安装后，另加螺钉固定。</w:t>
                  </w:r>
                  <w:r>
                    <w:br/>
                  </w:r>
                  <w:r>
                    <w:rPr>
                      <w:rFonts w:ascii="仿宋_GB2312" w:hAnsi="仿宋_GB2312" w:cs="仿宋_GB2312" w:eastAsia="仿宋_GB2312"/>
                      <w:sz w:val="18"/>
                      <w:color w:val="000000"/>
                    </w:rPr>
                    <w:t>8、课椅：椅面尺寸（L×b）座面尺寸≥宽400mm*深375m*厚18mm，靠背板尺寸≥长340mm*宽160mm*厚10mm。</w:t>
                  </w:r>
                  <w:r>
                    <w:br/>
                  </w:r>
                  <w:r>
                    <w:rPr>
                      <w:rFonts w:ascii="仿宋_GB2312" w:hAnsi="仿宋_GB2312" w:cs="仿宋_GB2312" w:eastAsia="仿宋_GB2312"/>
                      <w:sz w:val="18"/>
                      <w:color w:val="000000"/>
                    </w:rPr>
                    <w:t>9、升降高度（h） 课椅升降高度：椅面高度调节范围不小于350mm~450mm，必须能调至升降幅度每档20mm（或可手摇升降无极调节）。</w:t>
                  </w:r>
                  <w:r>
                    <w:br/>
                  </w:r>
                  <w:r>
                    <w:rPr>
                      <w:rFonts w:ascii="仿宋_GB2312" w:hAnsi="仿宋_GB2312" w:cs="仿宋_GB2312" w:eastAsia="仿宋_GB2312"/>
                      <w:sz w:val="18"/>
                      <w:color w:val="000000"/>
                    </w:rPr>
                    <w:t>10、椅架材质：采用金属椭圆管，采用金属椭圆管。</w:t>
                  </w:r>
                  <w:r>
                    <w:br/>
                  </w:r>
                  <w:r>
                    <w:rPr>
                      <w:rFonts w:ascii="仿宋_GB2312" w:hAnsi="仿宋_GB2312" w:cs="仿宋_GB2312" w:eastAsia="仿宋_GB2312"/>
                      <w:sz w:val="18"/>
                      <w:color w:val="000000"/>
                    </w:rPr>
                    <w:t>11、椅面和椅背材料：采用橡木板或塑胶品材质（如PP、PE、ABS塑料等)，厚度不小于10mm。椅面和椅背板颜色质后期跟根据校方需求确定。</w:t>
                  </w:r>
                  <w:r>
                    <w:br/>
                  </w:r>
                  <w:r>
                    <w:rPr>
                      <w:rFonts w:ascii="仿宋_GB2312" w:hAnsi="仿宋_GB2312" w:cs="仿宋_GB2312" w:eastAsia="仿宋_GB2312"/>
                      <w:sz w:val="18"/>
                      <w:color w:val="000000"/>
                    </w:rPr>
                    <w:t>12、椅面板用</w:t>
                  </w:r>
                  <w:r>
                    <w:rPr>
                      <w:rFonts w:ascii="仿宋_GB2312" w:hAnsi="仿宋_GB2312" w:cs="仿宋_GB2312" w:eastAsia="仿宋_GB2312"/>
                      <w:sz w:val="18"/>
                      <w:color w:val="000000"/>
                    </w:rPr>
                    <w:t>Φ</w:t>
                  </w:r>
                  <w:r>
                    <w:rPr>
                      <w:rFonts w:ascii="仿宋_GB2312" w:hAnsi="仿宋_GB2312" w:cs="仿宋_GB2312" w:eastAsia="仿宋_GB2312"/>
                      <w:sz w:val="18"/>
                      <w:color w:val="000000"/>
                    </w:rPr>
                    <w:t>6mm马车螺丝与钢架连接，椅背板用帽头</w:t>
                  </w:r>
                  <w:r>
                    <w:rPr>
                      <w:rFonts w:ascii="仿宋_GB2312" w:hAnsi="仿宋_GB2312" w:cs="仿宋_GB2312" w:eastAsia="仿宋_GB2312"/>
                      <w:sz w:val="18"/>
                      <w:color w:val="000000"/>
                    </w:rPr>
                    <w:t>Φ</w:t>
                  </w:r>
                  <w:r>
                    <w:rPr>
                      <w:rFonts w:ascii="仿宋_GB2312" w:hAnsi="仿宋_GB2312" w:cs="仿宋_GB2312" w:eastAsia="仿宋_GB2312"/>
                      <w:sz w:val="18"/>
                      <w:color w:val="000000"/>
                    </w:rPr>
                    <w:t>不小于16mm的拉铆钉4颗固定。但不得穿出椅子靠背骨架。</w:t>
                  </w:r>
                  <w:r>
                    <w:br/>
                  </w:r>
                  <w:r>
                    <w:rPr>
                      <w:rFonts w:ascii="仿宋_GB2312" w:hAnsi="仿宋_GB2312" w:cs="仿宋_GB2312" w:eastAsia="仿宋_GB2312"/>
                      <w:sz w:val="18"/>
                      <w:color w:val="000000"/>
                    </w:rPr>
                    <w:t>13、椅面高度调节：椅面高度调节螺杆穿透椅脚金属椭圆管，外部用螺母固定。</w:t>
                  </w:r>
                  <w:r>
                    <w:br/>
                  </w:r>
                  <w:r>
                    <w:rPr>
                      <w:rFonts w:ascii="仿宋_GB2312" w:hAnsi="仿宋_GB2312" w:cs="仿宋_GB2312" w:eastAsia="仿宋_GB2312"/>
                      <w:sz w:val="18"/>
                      <w:color w:val="000000"/>
                    </w:rPr>
                    <w:t>14、椅脚脚套：尼龙或橡胶材料，在外拉力1000N下，不脱落。脚套安装后，另加螺钉固定。（或可手摇升降）。</w:t>
                  </w:r>
                  <w:r>
                    <w:br/>
                  </w:r>
                  <w:r>
                    <w:rPr>
                      <w:rFonts w:ascii="仿宋_GB2312" w:hAnsi="仿宋_GB2312" w:cs="仿宋_GB2312" w:eastAsia="仿宋_GB2312"/>
                      <w:sz w:val="18"/>
                      <w:color w:val="000000"/>
                    </w:rPr>
                    <w:t>15、焊接及表面处理：铁件部分焊接采用二氧化碳气体保护焊，进行酸洗、磷化、防锈处理后，再进行静电喷型，高温固化，表面光滑。</w:t>
                  </w:r>
                  <w:r>
                    <w:br/>
                  </w:r>
                  <w:r>
                    <w:rPr>
                      <w:rFonts w:ascii="仿宋_GB2312" w:hAnsi="仿宋_GB2312" w:cs="仿宋_GB2312" w:eastAsia="仿宋_GB2312"/>
                      <w:sz w:val="18"/>
                      <w:color w:val="000000"/>
                    </w:rPr>
                    <w:t>16、带网篮</w:t>
                  </w:r>
                  <w:r>
                    <w:br/>
                  </w:r>
                  <w:r>
                    <w:rPr>
                      <w:rFonts w:ascii="仿宋_GB2312" w:hAnsi="仿宋_GB2312" w:cs="仿宋_GB2312" w:eastAsia="仿宋_GB2312"/>
                      <w:sz w:val="18"/>
                      <w:color w:val="000000"/>
                    </w:rPr>
                    <w:t>17、桌面、书斗、椅面和椅背能反复拆卸和组装，重新组装时固定孔、连接件和连接强度应不变。</w:t>
                  </w:r>
                  <w:r>
                    <w:br/>
                  </w:r>
                  <w:r>
                    <w:rPr>
                      <w:rFonts w:ascii="仿宋_GB2312" w:hAnsi="仿宋_GB2312" w:cs="仿宋_GB2312" w:eastAsia="仿宋_GB2312"/>
                      <w:sz w:val="18"/>
                      <w:color w:val="000000"/>
                    </w:rPr>
                    <w:t>18、喷涂层：抗冲击：应无剥落、裂纹、皱纹，附着力不低于3级。</w:t>
                  </w:r>
                  <w:r>
                    <w:br/>
                  </w:r>
                  <w:r>
                    <w:rPr>
                      <w:rFonts w:ascii="仿宋_GB2312" w:hAnsi="仿宋_GB2312" w:cs="仿宋_GB2312" w:eastAsia="仿宋_GB2312"/>
                      <w:sz w:val="18"/>
                      <w:color w:val="000000"/>
                    </w:rPr>
                    <w:t>19、课桌椅其他安全性能能达到QB/T 4071－2021《课桌椅》的要求。</w:t>
                  </w:r>
                </w:p>
                <w:p>
                  <w:pPr>
                    <w:pStyle w:val="null3"/>
                    <w:jc w:val="left"/>
                  </w:pPr>
                  <w:r>
                    <w:rPr>
                      <w:rFonts w:ascii="仿宋_GB2312" w:hAnsi="仿宋_GB2312" w:cs="仿宋_GB2312" w:eastAsia="仿宋_GB2312"/>
                      <w:sz w:val="18"/>
                      <w:b/>
                    </w:rPr>
                    <w:t>课桌椅符合</w:t>
                  </w:r>
                  <w:r>
                    <w:rPr>
                      <w:rFonts w:ascii="仿宋_GB2312" w:hAnsi="仿宋_GB2312" w:cs="仿宋_GB2312" w:eastAsia="仿宋_GB2312"/>
                      <w:sz w:val="18"/>
                      <w:b/>
                    </w:rPr>
                    <w:t>QB/T 4071-2021</w:t>
                  </w:r>
                  <w:r>
                    <w:rPr>
                      <w:rFonts w:ascii="仿宋_GB2312" w:hAnsi="仿宋_GB2312" w:cs="仿宋_GB2312" w:eastAsia="仿宋_GB2312"/>
                      <w:sz w:val="18"/>
                      <w:b/>
                    </w:rPr>
                    <w:t>《课桌椅》检测标准。检测内容包括塑料件外观要求检测合格。盐雾试验应无锈蚀现象。抗冲击试验无剥落、裂纹、皱纹现象。附着力达到</w:t>
                  </w:r>
                  <w:r>
                    <w:rPr>
                      <w:rFonts w:ascii="仿宋_GB2312" w:hAnsi="仿宋_GB2312" w:cs="仿宋_GB2312" w:eastAsia="仿宋_GB2312"/>
                      <w:sz w:val="18"/>
                      <w:b/>
                    </w:rPr>
                    <w:t>1</w:t>
                  </w:r>
                  <w:r>
                    <w:rPr>
                      <w:rFonts w:ascii="仿宋_GB2312" w:hAnsi="仿宋_GB2312" w:cs="仿宋_GB2312" w:eastAsia="仿宋_GB2312"/>
                      <w:sz w:val="18"/>
                      <w:b/>
                    </w:rPr>
                    <w:t>级。安全要求：所有零部件应无破损；金属件应无端部未封口的管件，闷盖应不易脱落；与人体接触的部位、存放物品的部位不应有毛刺、刃角、锐棱、透钉及其尖锐物。塑料件有害物质限量</w:t>
                  </w:r>
                  <w:r>
                    <w:rPr>
                      <w:rFonts w:ascii="仿宋_GB2312" w:hAnsi="仿宋_GB2312" w:cs="仿宋_GB2312" w:eastAsia="仿宋_GB2312"/>
                      <w:sz w:val="18"/>
                      <w:b/>
                    </w:rPr>
                    <w:t>-</w:t>
                  </w:r>
                  <w:r>
                    <w:rPr>
                      <w:rFonts w:ascii="仿宋_GB2312" w:hAnsi="仿宋_GB2312" w:cs="仿宋_GB2312" w:eastAsia="仿宋_GB2312"/>
                      <w:sz w:val="18"/>
                      <w:b/>
                    </w:rPr>
                    <w:t>邻苯二甲酸酯（</w:t>
                  </w:r>
                  <w:r>
                    <w:rPr>
                      <w:rFonts w:ascii="仿宋_GB2312" w:hAnsi="仿宋_GB2312" w:cs="仿宋_GB2312" w:eastAsia="仿宋_GB2312"/>
                      <w:sz w:val="18"/>
                      <w:b/>
                    </w:rPr>
                    <w:t>DBP</w:t>
                  </w:r>
                  <w:r>
                    <w:rPr>
                      <w:rFonts w:ascii="仿宋_GB2312" w:hAnsi="仿宋_GB2312" w:cs="仿宋_GB2312" w:eastAsia="仿宋_GB2312"/>
                      <w:sz w:val="18"/>
                      <w:b/>
                    </w:rPr>
                    <w:t>、</w:t>
                  </w:r>
                  <w:r>
                    <w:rPr>
                      <w:rFonts w:ascii="仿宋_GB2312" w:hAnsi="仿宋_GB2312" w:cs="仿宋_GB2312" w:eastAsia="仿宋_GB2312"/>
                      <w:sz w:val="18"/>
                      <w:b/>
                    </w:rPr>
                    <w:t>BBP</w:t>
                  </w:r>
                  <w:r>
                    <w:rPr>
                      <w:rFonts w:ascii="仿宋_GB2312" w:hAnsi="仿宋_GB2312" w:cs="仿宋_GB2312" w:eastAsia="仿宋_GB2312"/>
                      <w:sz w:val="18"/>
                      <w:b/>
                    </w:rPr>
                    <w:t>、</w:t>
                  </w:r>
                  <w:r>
                    <w:rPr>
                      <w:rFonts w:ascii="仿宋_GB2312" w:hAnsi="仿宋_GB2312" w:cs="仿宋_GB2312" w:eastAsia="仿宋_GB2312"/>
                      <w:sz w:val="18"/>
                      <w:b/>
                    </w:rPr>
                    <w:t>DEHP</w:t>
                  </w:r>
                  <w:r>
                    <w:rPr>
                      <w:rFonts w:ascii="仿宋_GB2312" w:hAnsi="仿宋_GB2312" w:cs="仿宋_GB2312" w:eastAsia="仿宋_GB2312"/>
                      <w:sz w:val="18"/>
                      <w:b/>
                    </w:rPr>
                    <w:t>、</w:t>
                  </w:r>
                  <w:r>
                    <w:rPr>
                      <w:rFonts w:ascii="仿宋_GB2312" w:hAnsi="仿宋_GB2312" w:cs="仿宋_GB2312" w:eastAsia="仿宋_GB2312"/>
                      <w:sz w:val="18"/>
                      <w:b/>
                    </w:rPr>
                    <w:t>DNOP</w:t>
                  </w:r>
                  <w:r>
                    <w:rPr>
                      <w:rFonts w:ascii="仿宋_GB2312" w:hAnsi="仿宋_GB2312" w:cs="仿宋_GB2312" w:eastAsia="仿宋_GB2312"/>
                      <w:sz w:val="18"/>
                      <w:b/>
                    </w:rPr>
                    <w:t>、</w:t>
                  </w:r>
                  <w:r>
                    <w:rPr>
                      <w:rFonts w:ascii="仿宋_GB2312" w:hAnsi="仿宋_GB2312" w:cs="仿宋_GB2312" w:eastAsia="仿宋_GB2312"/>
                      <w:sz w:val="18"/>
                      <w:b/>
                    </w:rPr>
                    <w:t>DINP</w:t>
                  </w:r>
                  <w:r>
                    <w:rPr>
                      <w:rFonts w:ascii="仿宋_GB2312" w:hAnsi="仿宋_GB2312" w:cs="仿宋_GB2312" w:eastAsia="仿宋_GB2312"/>
                      <w:sz w:val="18"/>
                      <w:b/>
                    </w:rPr>
                    <w:t>、</w:t>
                  </w:r>
                  <w:r>
                    <w:rPr>
                      <w:rFonts w:ascii="仿宋_GB2312" w:hAnsi="仿宋_GB2312" w:cs="仿宋_GB2312" w:eastAsia="仿宋_GB2312"/>
                      <w:sz w:val="18"/>
                      <w:b/>
                    </w:rPr>
                    <w:t>DIDP</w:t>
                  </w:r>
                  <w:r>
                    <w:rPr>
                      <w:rFonts w:ascii="仿宋_GB2312" w:hAnsi="仿宋_GB2312" w:cs="仿宋_GB2312" w:eastAsia="仿宋_GB2312"/>
                      <w:sz w:val="18"/>
                      <w:b/>
                    </w:rPr>
                    <w:t>）、铅、镉、铬、汞、多环芳烃（苯并</w:t>
                  </w:r>
                  <w:r>
                    <w:rPr>
                      <w:rFonts w:ascii="仿宋_GB2312" w:hAnsi="仿宋_GB2312" w:cs="仿宋_GB2312" w:eastAsia="仿宋_GB2312"/>
                      <w:sz w:val="18"/>
                      <w:b/>
                    </w:rPr>
                    <w:t>[a]</w:t>
                  </w:r>
                  <w:r>
                    <w:rPr>
                      <w:rFonts w:ascii="仿宋_GB2312" w:hAnsi="仿宋_GB2312" w:cs="仿宋_GB2312" w:eastAsia="仿宋_GB2312"/>
                      <w:sz w:val="18"/>
                      <w:b/>
                    </w:rPr>
                    <w:t>芘）、多环芳烃</w:t>
                  </w:r>
                  <w:r>
                    <w:rPr>
                      <w:rFonts w:ascii="仿宋_GB2312" w:hAnsi="仿宋_GB2312" w:cs="仿宋_GB2312" w:eastAsia="仿宋_GB2312"/>
                      <w:sz w:val="18"/>
                      <w:b/>
                    </w:rPr>
                    <w:t>-16</w:t>
                  </w:r>
                  <w:r>
                    <w:rPr>
                      <w:rFonts w:ascii="仿宋_GB2312" w:hAnsi="仿宋_GB2312" w:cs="仿宋_GB2312" w:eastAsia="仿宋_GB2312"/>
                      <w:sz w:val="18"/>
                      <w:b/>
                    </w:rPr>
                    <w:t>种多环芳烃</w:t>
                  </w:r>
                  <w:r>
                    <w:rPr>
                      <w:rFonts w:ascii="仿宋_GB2312" w:hAnsi="仿宋_GB2312" w:cs="仿宋_GB2312" w:eastAsia="仿宋_GB2312"/>
                      <w:sz w:val="18"/>
                      <w:b/>
                    </w:rPr>
                    <w:t>(PAH)</w:t>
                  </w:r>
                  <w:r>
                    <w:rPr>
                      <w:rFonts w:ascii="仿宋_GB2312" w:hAnsi="仿宋_GB2312" w:cs="仿宋_GB2312" w:eastAsia="仿宋_GB2312"/>
                      <w:sz w:val="18"/>
                      <w:b/>
                    </w:rPr>
                    <w:t>总量、多溴联苯（</w:t>
                  </w:r>
                  <w:r>
                    <w:rPr>
                      <w:rFonts w:ascii="仿宋_GB2312" w:hAnsi="仿宋_GB2312" w:cs="仿宋_GB2312" w:eastAsia="仿宋_GB2312"/>
                      <w:sz w:val="18"/>
                      <w:b/>
                    </w:rPr>
                    <w:t>PBB</w:t>
                  </w:r>
                  <w:r>
                    <w:rPr>
                      <w:rFonts w:ascii="仿宋_GB2312" w:hAnsi="仿宋_GB2312" w:cs="仿宋_GB2312" w:eastAsia="仿宋_GB2312"/>
                      <w:sz w:val="18"/>
                      <w:b/>
                    </w:rPr>
                    <w:t>）、多休二苯醚（</w:t>
                  </w:r>
                  <w:r>
                    <w:rPr>
                      <w:rFonts w:ascii="仿宋_GB2312" w:hAnsi="仿宋_GB2312" w:cs="仿宋_GB2312" w:eastAsia="仿宋_GB2312"/>
                      <w:sz w:val="18"/>
                      <w:b/>
                    </w:rPr>
                    <w:t>PBDE</w:t>
                  </w:r>
                  <w:r>
                    <w:rPr>
                      <w:rFonts w:ascii="仿宋_GB2312" w:hAnsi="仿宋_GB2312" w:cs="仿宋_GB2312" w:eastAsia="仿宋_GB2312"/>
                      <w:sz w:val="18"/>
                      <w:b/>
                    </w:rPr>
                    <w:t>）未检出。产品有害物质苯、甲苯未检出</w:t>
                  </w:r>
                  <w:r>
                    <w:rPr>
                      <w:rFonts w:ascii="仿宋_GB2312" w:hAnsi="仿宋_GB2312" w:cs="仿宋_GB2312" w:eastAsia="仿宋_GB2312"/>
                      <w:sz w:val="18"/>
                      <w:b/>
                    </w:rPr>
                    <w:t>;</w:t>
                  </w:r>
                  <w:r>
                    <w:rPr>
                      <w:rFonts w:ascii="仿宋_GB2312" w:hAnsi="仿宋_GB2312" w:cs="仿宋_GB2312" w:eastAsia="仿宋_GB2312"/>
                      <w:sz w:val="18"/>
                      <w:b/>
                    </w:rPr>
                    <w:t>二甲苯≤</w:t>
                  </w:r>
                  <w:r>
                    <w:rPr>
                      <w:rFonts w:ascii="仿宋_GB2312" w:hAnsi="仿宋_GB2312" w:cs="仿宋_GB2312" w:eastAsia="仿宋_GB2312"/>
                      <w:sz w:val="18"/>
                      <w:b/>
                    </w:rPr>
                    <w:t>0.1mg/m</w:t>
                  </w:r>
                  <w:r>
                    <w:rPr>
                      <w:rFonts w:ascii="仿宋_GB2312" w:hAnsi="仿宋_GB2312" w:cs="仿宋_GB2312" w:eastAsia="仿宋_GB2312"/>
                      <w:sz w:val="18"/>
                      <w:b/>
                    </w:rPr>
                    <w:t>³、总挥发有机化合物（</w:t>
                  </w:r>
                  <w:r>
                    <w:rPr>
                      <w:rFonts w:ascii="仿宋_GB2312" w:hAnsi="仿宋_GB2312" w:cs="仿宋_GB2312" w:eastAsia="仿宋_GB2312"/>
                      <w:sz w:val="18"/>
                      <w:b/>
                    </w:rPr>
                    <w:t>TVOC</w:t>
                  </w:r>
                  <w:r>
                    <w:rPr>
                      <w:rFonts w:ascii="仿宋_GB2312" w:hAnsi="仿宋_GB2312" w:cs="仿宋_GB2312" w:eastAsia="仿宋_GB2312"/>
                      <w:sz w:val="18"/>
                      <w:b/>
                    </w:rPr>
                    <w:t>）≤</w:t>
                  </w:r>
                  <w:r>
                    <w:rPr>
                      <w:rFonts w:ascii="仿宋_GB2312" w:hAnsi="仿宋_GB2312" w:cs="仿宋_GB2312" w:eastAsia="仿宋_GB2312"/>
                      <w:sz w:val="18"/>
                      <w:b/>
                    </w:rPr>
                    <w:t>0.3mg/m</w:t>
                  </w:r>
                  <w:r>
                    <w:rPr>
                      <w:rFonts w:ascii="仿宋_GB2312" w:hAnsi="仿宋_GB2312" w:cs="仿宋_GB2312" w:eastAsia="仿宋_GB2312"/>
                      <w:sz w:val="18"/>
                      <w:b/>
                    </w:rPr>
                    <w:t>³</w:t>
                  </w:r>
                  <w:r>
                    <w:rPr>
                      <w:rFonts w:ascii="仿宋_GB2312" w:hAnsi="仿宋_GB2312" w:cs="仿宋_GB2312" w:eastAsia="仿宋_GB2312"/>
                      <w:sz w:val="18"/>
                      <w:b/>
                    </w:rPr>
                    <w:t>;</w:t>
                  </w:r>
                  <w:r>
                    <w:rPr>
                      <w:rFonts w:ascii="仿宋_GB2312" w:hAnsi="仿宋_GB2312" w:cs="仿宋_GB2312" w:eastAsia="仿宋_GB2312"/>
                      <w:sz w:val="18"/>
                      <w:b/>
                    </w:rPr>
                    <w:t>甲醛释放量≤</w:t>
                  </w:r>
                  <w:r>
                    <w:rPr>
                      <w:rFonts w:ascii="仿宋_GB2312" w:hAnsi="仿宋_GB2312" w:cs="仿宋_GB2312" w:eastAsia="仿宋_GB2312"/>
                      <w:sz w:val="18"/>
                      <w:b/>
                    </w:rPr>
                    <w:t>1.5mg/L;</w:t>
                  </w:r>
                  <w:r>
                    <w:rPr>
                      <w:rFonts w:ascii="仿宋_GB2312" w:hAnsi="仿宋_GB2312" w:cs="仿宋_GB2312" w:eastAsia="仿宋_GB2312"/>
                      <w:sz w:val="18"/>
                      <w:b/>
                    </w:rPr>
                    <w:t>乙酸盐雾实验（</w:t>
                  </w:r>
                  <w:r>
                    <w:rPr>
                      <w:rFonts w:ascii="仿宋_GB2312" w:hAnsi="仿宋_GB2312" w:cs="仿宋_GB2312" w:eastAsia="仿宋_GB2312"/>
                      <w:sz w:val="18"/>
                      <w:b/>
                    </w:rPr>
                    <w:t>24h</w:t>
                  </w:r>
                  <w:r>
                    <w:rPr>
                      <w:rFonts w:ascii="仿宋_GB2312" w:hAnsi="仿宋_GB2312" w:cs="仿宋_GB2312" w:eastAsia="仿宋_GB2312"/>
                      <w:sz w:val="18"/>
                      <w:b/>
                    </w:rPr>
                    <w:t>）、中性盐雾试验（</w:t>
                  </w:r>
                  <w:r>
                    <w:rPr>
                      <w:rFonts w:ascii="仿宋_GB2312" w:hAnsi="仿宋_GB2312" w:cs="仿宋_GB2312" w:eastAsia="仿宋_GB2312"/>
                      <w:sz w:val="18"/>
                      <w:b/>
                    </w:rPr>
                    <w:t>24h</w:t>
                  </w:r>
                  <w:r>
                    <w:rPr>
                      <w:rFonts w:ascii="仿宋_GB2312" w:hAnsi="仿宋_GB2312" w:cs="仿宋_GB2312" w:eastAsia="仿宋_GB2312"/>
                      <w:sz w:val="18"/>
                      <w:b/>
                    </w:rPr>
                    <w:t>）中涂镀层对基体的保护评级达到</w:t>
                  </w:r>
                  <w:r>
                    <w:rPr>
                      <w:rFonts w:ascii="仿宋_GB2312" w:hAnsi="仿宋_GB2312" w:cs="仿宋_GB2312" w:eastAsia="仿宋_GB2312"/>
                      <w:sz w:val="18"/>
                      <w:b/>
                    </w:rPr>
                    <w:t>10</w:t>
                  </w:r>
                  <w:r>
                    <w:rPr>
                      <w:rFonts w:ascii="仿宋_GB2312" w:hAnsi="仿宋_GB2312" w:cs="仿宋_GB2312" w:eastAsia="仿宋_GB2312"/>
                      <w:sz w:val="18"/>
                      <w:b/>
                    </w:rPr>
                    <w:t>级、涂镀层本身的耐腐蚀等级（外观等级）达到</w:t>
                  </w:r>
                  <w:r>
                    <w:rPr>
                      <w:rFonts w:ascii="仿宋_GB2312" w:hAnsi="仿宋_GB2312" w:cs="仿宋_GB2312" w:eastAsia="仿宋_GB2312"/>
                      <w:sz w:val="18"/>
                      <w:b/>
                    </w:rPr>
                    <w:t>10</w:t>
                  </w:r>
                  <w:r>
                    <w:rPr>
                      <w:rFonts w:ascii="仿宋_GB2312" w:hAnsi="仿宋_GB2312" w:cs="仿宋_GB2312" w:eastAsia="仿宋_GB2312"/>
                      <w:sz w:val="18"/>
                      <w:b/>
                    </w:rPr>
                    <w:t>级。</w:t>
                  </w:r>
                </w:p>
                <w:p>
                  <w:pPr>
                    <w:pStyle w:val="null3"/>
                    <w:jc w:val="left"/>
                  </w:pPr>
                  <w:r>
                    <w:rPr>
                      <w:rFonts w:ascii="仿宋_GB2312" w:hAnsi="仿宋_GB2312" w:cs="仿宋_GB2312" w:eastAsia="仿宋_GB2312"/>
                      <w:sz w:val="18"/>
                      <w:b/>
                    </w:rPr>
                    <w:t>防霉（球毛壳霉、出芽短梗霉、腊叶芽枝霉）等级达到</w:t>
                  </w:r>
                  <w:r>
                    <w:rPr>
                      <w:rFonts w:ascii="仿宋_GB2312" w:hAnsi="仿宋_GB2312" w:cs="仿宋_GB2312" w:eastAsia="仿宋_GB2312"/>
                      <w:sz w:val="18"/>
                      <w:b/>
                    </w:rPr>
                    <w:t>0</w:t>
                  </w:r>
                  <w:r>
                    <w:rPr>
                      <w:rFonts w:ascii="仿宋_GB2312" w:hAnsi="仿宋_GB2312" w:cs="仿宋_GB2312" w:eastAsia="仿宋_GB2312"/>
                      <w:sz w:val="18"/>
                      <w:b/>
                    </w:rPr>
                    <w:t>级。抗菌性能（白色念珠菌、变形链球菌、溶血性链球菌）≥</w:t>
                  </w:r>
                  <w:r>
                    <w:rPr>
                      <w:rFonts w:ascii="仿宋_GB2312" w:hAnsi="仿宋_GB2312" w:cs="仿宋_GB2312" w:eastAsia="仿宋_GB2312"/>
                      <w:sz w:val="18"/>
                      <w:b/>
                    </w:rPr>
                    <w:t>99.99%</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b/>
                    </w:rPr>
                    <w:t>（提供相关检验合格报告及全国认证认可信息公共服务平台官网截图）</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7170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学生储物柜（四门）</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1、规格尺寸≥宽900*mm*深400mm*高900mm</w:t>
                  </w:r>
                  <w:r>
                    <w:br/>
                  </w:r>
                  <w:r>
                    <w:rPr>
                      <w:rFonts w:ascii="仿宋_GB2312" w:hAnsi="仿宋_GB2312" w:cs="仿宋_GB2312" w:eastAsia="仿宋_GB2312"/>
                      <w:sz w:val="18"/>
                      <w:color w:val="000000"/>
                    </w:rPr>
                    <w:t>2、材质：钢材均采用采用SPCC优质冷轧钢板，整体为灰白色，性能符合GB/T3325标准：管材和冲压件无裂缝，焊接表面波纹均匀，所有焊接口打磨光滑。金属漆膜层无露底、凹凸、疙瘩、色差、明显流挂。侧板、底板、顶板和门板采用0.8mm厚冷轧钢板，层板采用0.7mm厚冷轧钢板：采用201不锈钢厚度0.8mm。整柜均匀承重120kg，单面搁板均匀承重30kg；</w:t>
                  </w:r>
                  <w:r>
                    <w:br/>
                  </w:r>
                  <w:r>
                    <w:rPr>
                      <w:rFonts w:ascii="仿宋_GB2312" w:hAnsi="仿宋_GB2312" w:cs="仿宋_GB2312" w:eastAsia="仿宋_GB2312"/>
                      <w:sz w:val="18"/>
                      <w:color w:val="000000"/>
                    </w:rPr>
                    <w:t>3、门锁采用外挂锁模式，便于更换。</w:t>
                  </w:r>
                  <w:r>
                    <w:br/>
                  </w:r>
                  <w:r>
                    <w:rPr>
                      <w:rFonts w:ascii="仿宋_GB2312" w:hAnsi="仿宋_GB2312" w:cs="仿宋_GB2312" w:eastAsia="仿宋_GB2312"/>
                      <w:sz w:val="18"/>
                      <w:color w:val="000000"/>
                    </w:rPr>
                    <w:t>4、门板为分段组合式，具有对接与互换性。</w:t>
                  </w:r>
                  <w:r>
                    <w:br/>
                  </w:r>
                  <w:r>
                    <w:rPr>
                      <w:rFonts w:ascii="仿宋_GB2312" w:hAnsi="仿宋_GB2312" w:cs="仿宋_GB2312" w:eastAsia="仿宋_GB2312"/>
                      <w:sz w:val="18"/>
                      <w:color w:val="000000"/>
                    </w:rPr>
                    <w:t>5、层板焊接固定，确保平稳牢固，层与层的间距根据需要可自由调整。</w:t>
                  </w:r>
                  <w:r>
                    <w:br/>
                  </w:r>
                  <w:r>
                    <w:rPr>
                      <w:rFonts w:ascii="仿宋_GB2312" w:hAnsi="仿宋_GB2312" w:cs="仿宋_GB2312" w:eastAsia="仿宋_GB2312"/>
                      <w:sz w:val="18"/>
                      <w:color w:val="000000"/>
                    </w:rPr>
                    <w:t>6、喷涂：静电粉末喷塑,环保无毒害,无气味．颜色可选。</w:t>
                  </w:r>
                  <w:r>
                    <w:br/>
                  </w:r>
                  <w:r>
                    <w:rPr>
                      <w:rFonts w:ascii="仿宋_GB2312" w:hAnsi="仿宋_GB2312" w:cs="仿宋_GB2312" w:eastAsia="仿宋_GB2312"/>
                      <w:sz w:val="18"/>
                      <w:color w:val="000000"/>
                    </w:rPr>
                    <w:t>7、焊接部分采用高标准熔接焊后打磨,表面平整光滑。</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讲台</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1、讲台整体采用分体式结构：长840mm*宽635mm*高990mm；台面为长840mmx宽635mmx高220mm，箱体为长680mmx宽550mmx高770mm。</w:t>
                  </w:r>
                  <w:r>
                    <w:br/>
                  </w:r>
                  <w:r>
                    <w:rPr>
                      <w:rFonts w:ascii="仿宋_GB2312" w:hAnsi="仿宋_GB2312" w:cs="仿宋_GB2312" w:eastAsia="仿宋_GB2312"/>
                      <w:sz w:val="18"/>
                      <w:color w:val="000000"/>
                    </w:rPr>
                    <w:t>2、材质：台面、中控盖板、下箱体、左右侧门均采用ABS工程塑一次注塑成型（壁厚大于或等于4MM），整个台面无金属板材,左右侧门，方便装入设备，不受讲台地面限制，结构牢固，不变形；</w:t>
                  </w:r>
                  <w:r>
                    <w:br/>
                  </w:r>
                  <w:r>
                    <w:rPr>
                      <w:rFonts w:ascii="仿宋_GB2312" w:hAnsi="仿宋_GB2312" w:cs="仿宋_GB2312" w:eastAsia="仿宋_GB2312"/>
                      <w:sz w:val="18"/>
                      <w:color w:val="000000"/>
                    </w:rPr>
                    <w:t>3、台面左边为放置台，可放置任意尺寸的笔记本电脑及课本等，台面左右两侧带有木纹扶手，让使用者有更好的选择；整机采用圆弧倒圆角设计，从而避免误伤师生的手，安全稳定、可靠、圆弧倒圆角式设计符合校安工程。</w:t>
                  </w:r>
                  <w:r>
                    <w:br/>
                  </w:r>
                  <w:r>
                    <w:rPr>
                      <w:rFonts w:ascii="仿宋_GB2312" w:hAnsi="仿宋_GB2312" w:cs="仿宋_GB2312" w:eastAsia="仿宋_GB2312"/>
                      <w:sz w:val="18"/>
                      <w:color w:val="000000"/>
                    </w:rPr>
                    <w:t xml:space="preserve">4、讲台组装为徒手安装，无需使用工具可组装好。 </w:t>
                  </w:r>
                  <w:r>
                    <w:br/>
                  </w:r>
                  <w:r>
                    <w:rPr>
                      <w:rFonts w:ascii="仿宋_GB2312" w:hAnsi="仿宋_GB2312" w:cs="仿宋_GB2312" w:eastAsia="仿宋_GB2312"/>
                      <w:sz w:val="18"/>
                      <w:color w:val="000000"/>
                    </w:rPr>
                    <w:t>5、台面右边功能盒，内可安放中控（最大开孔长205mmx宽110mm），可安装标准电源插座，并且有各自独立的标准安放位置不会重叠，方便使用。</w:t>
                  </w:r>
                  <w:r>
                    <w:br/>
                  </w:r>
                  <w:r>
                    <w:rPr>
                      <w:rFonts w:ascii="仿宋_GB2312" w:hAnsi="仿宋_GB2312" w:cs="仿宋_GB2312" w:eastAsia="仿宋_GB2312"/>
                      <w:sz w:val="18"/>
                      <w:color w:val="000000"/>
                    </w:rPr>
                    <w:t>6、全封闭结构，安全防盗，锁好讲桌后，桌外无任何可拆卸部件。</w:t>
                  </w:r>
                  <w:r>
                    <w:br/>
                  </w:r>
                  <w:r>
                    <w:rPr>
                      <w:rFonts w:ascii="仿宋_GB2312" w:hAnsi="仿宋_GB2312" w:cs="仿宋_GB2312" w:eastAsia="仿宋_GB2312"/>
                      <w:sz w:val="18"/>
                      <w:color w:val="000000"/>
                    </w:rPr>
                    <w:t>7、结构特点：台面操作，中控安装在台面保护盒内，打开操作轻松、方便，一锁开启；</w:t>
                  </w:r>
                  <w:r>
                    <w:br/>
                  </w:r>
                  <w:r>
                    <w:rPr>
                      <w:rFonts w:ascii="仿宋_GB2312" w:hAnsi="仿宋_GB2312" w:cs="仿宋_GB2312" w:eastAsia="仿宋_GB2312"/>
                      <w:sz w:val="18"/>
                      <w:color w:val="000000"/>
                    </w:rPr>
                    <w:t xml:space="preserve">8、钥匙通用：一把钥匙可以开启左右门，中控保护盖。                      </w:t>
                  </w:r>
                  <w:r>
                    <w:br/>
                  </w:r>
                  <w:r>
                    <w:rPr>
                      <w:rFonts w:ascii="仿宋_GB2312" w:hAnsi="仿宋_GB2312" w:cs="仿宋_GB2312" w:eastAsia="仿宋_GB2312"/>
                      <w:sz w:val="18"/>
                      <w:color w:val="000000"/>
                    </w:rPr>
                    <w:t>9、专为一体机配套设定；简洁、方便、美观大方。</w:t>
                  </w:r>
                  <w:r>
                    <w:br/>
                  </w:r>
                  <w:r>
                    <w:rPr>
                      <w:rFonts w:ascii="仿宋_GB2312" w:hAnsi="仿宋_GB2312" w:cs="仿宋_GB2312" w:eastAsia="仿宋_GB2312"/>
                      <w:sz w:val="18"/>
                      <w:color w:val="000000"/>
                    </w:rPr>
                    <w:t>10、整体造型设计以人为本，符合人机工程学要求。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学生宿舍铁架床</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1、整体规格：≥长2000mm*宽920mm*高1800mm</w:t>
                  </w:r>
                  <w:r>
                    <w:br/>
                  </w:r>
                  <w:r>
                    <w:rPr>
                      <w:rFonts w:ascii="仿宋_GB2312" w:hAnsi="仿宋_GB2312" w:cs="仿宋_GB2312" w:eastAsia="仿宋_GB2312"/>
                      <w:sz w:val="18"/>
                      <w:color w:val="000000"/>
                    </w:rPr>
                    <w:t>2、材质采用国家标准优质镀锌钢材，主立柱采用≥横截面40mm*40mm，厚1.5mm方管管材无裂缝，主横梁采用横截面≥30mm*50mm，厚1.2mm方管，床板支撑横梁：横截面≥30mmm*30mm，厚1.0mm方管，护栏：直径为≥19mm*1.0mm厚圆管弯制而成，长度不低于1.2米，床梯：直径为≥25mm*1.0mm厚圆管并加焊防滑条：踏步：采用2.5mm厚镀锌板一次成型冲压防滑踏板。管材表面无毛刺、结疤、错位、压痕或划痕等缺陷。</w:t>
                  </w:r>
                  <w:r>
                    <w:br/>
                  </w:r>
                  <w:r>
                    <w:rPr>
                      <w:rFonts w:ascii="仿宋_GB2312" w:hAnsi="仿宋_GB2312" w:cs="仿宋_GB2312" w:eastAsia="仿宋_GB2312"/>
                      <w:sz w:val="18"/>
                      <w:color w:val="000000"/>
                    </w:rPr>
                    <w:t>3、铁床立柱与长横梁和短横梁连接采用三插口卡扣式结构连接。</w:t>
                  </w:r>
                  <w:r>
                    <w:br/>
                  </w:r>
                  <w:r>
                    <w:rPr>
                      <w:rFonts w:ascii="仿宋_GB2312" w:hAnsi="仿宋_GB2312" w:cs="仿宋_GB2312" w:eastAsia="仿宋_GB2312"/>
                      <w:sz w:val="18"/>
                      <w:color w:val="000000"/>
                    </w:rPr>
                    <w:t>4、技术工艺：钢管焊接全部采用二氧化氮保护焊接，焊接表面波纹均匀，并要求焊接处无夹渣、气孔、脱焊、虚焊、焊穿等现象并打磨光滑。管材经除油、除锈、酸洗、磷化等工序后，采用优质环保产品均符合国家标准。所有接触地面的钢管需配塑料胶套。</w:t>
                  </w:r>
                  <w:r>
                    <w:br/>
                  </w:r>
                  <w:r>
                    <w:rPr>
                      <w:rFonts w:ascii="仿宋_GB2312" w:hAnsi="仿宋_GB2312" w:cs="仿宋_GB2312" w:eastAsia="仿宋_GB2312"/>
                      <w:sz w:val="18"/>
                      <w:color w:val="000000"/>
                    </w:rPr>
                    <w:t>5、床板为15mm厚优质多层板，表面光洁处理，环保无异味，制作平整不变形</w:t>
                  </w:r>
                  <w:r>
                    <w:br/>
                  </w:r>
                  <w:r>
                    <w:rPr>
                      <w:rFonts w:ascii="仿宋_GB2312" w:hAnsi="仿宋_GB2312" w:cs="仿宋_GB2312" w:eastAsia="仿宋_GB2312"/>
                      <w:sz w:val="18"/>
                      <w:color w:val="000000"/>
                    </w:rPr>
                    <w:t>6、床下方设置2个≥宽450mm×深450mm×高400mm储物柜，鞋架采用横截面≥25mm×25mm，厚1.0mm方管做边框，内填</w:t>
                  </w:r>
                  <w:r>
                    <w:rPr>
                      <w:rFonts w:ascii="仿宋_GB2312" w:hAnsi="仿宋_GB2312" w:cs="仿宋_GB2312" w:eastAsia="仿宋_GB2312"/>
                      <w:sz w:val="18"/>
                      <w:color w:val="000000"/>
                    </w:rPr>
                    <w:t>φ</w:t>
                  </w:r>
                  <w:r>
                    <w:rPr>
                      <w:rFonts w:ascii="仿宋_GB2312" w:hAnsi="仿宋_GB2312" w:cs="仿宋_GB2312" w:eastAsia="仿宋_GB2312"/>
                      <w:sz w:val="18"/>
                      <w:color w:val="000000"/>
                    </w:rPr>
                    <w:t>16mm×1.0mm厚圆管。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食堂餐桌</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1、尺寸（长×宽×高）：1200mm×1400mm×750mm</w:t>
                  </w:r>
                  <w:r>
                    <w:br/>
                  </w:r>
                  <w:r>
                    <w:rPr>
                      <w:rFonts w:ascii="仿宋_GB2312" w:hAnsi="仿宋_GB2312" w:cs="仿宋_GB2312" w:eastAsia="仿宋_GB2312"/>
                      <w:sz w:val="18"/>
                      <w:color w:val="000000"/>
                    </w:rPr>
                    <w:t>2、桌面：≥1200mm×600mm，采用25mm厚环保E1级高密度板双帖面板，桌面贴不锈钢板304厚度0.5mm，四周30mm卷边工艺。</w:t>
                  </w:r>
                  <w:r>
                    <w:br/>
                  </w:r>
                  <w:r>
                    <w:rPr>
                      <w:rFonts w:ascii="仿宋_GB2312" w:hAnsi="仿宋_GB2312" w:cs="仿宋_GB2312" w:eastAsia="仿宋_GB2312"/>
                      <w:sz w:val="18"/>
                      <w:color w:val="000000"/>
                    </w:rPr>
                    <w:t>3、凳面：≥宽1200mm*深200mm采用25mm厚环保高密度纤维板防火板贴面；贴面采用0.5mm厚不锈钢贴面。</w:t>
                  </w:r>
                  <w:r>
                    <w:br/>
                  </w:r>
                  <w:r>
                    <w:rPr>
                      <w:rFonts w:ascii="仿宋_GB2312" w:hAnsi="仿宋_GB2312" w:cs="仿宋_GB2312" w:eastAsia="仿宋_GB2312"/>
                      <w:sz w:val="18"/>
                      <w:color w:val="000000"/>
                    </w:rPr>
                    <w:t>4、主架子：横截面≥50mm×50mm，厚1.2mm不锈钢管，</w:t>
                  </w:r>
                  <w:r>
                    <w:br/>
                  </w:r>
                  <w:r>
                    <w:rPr>
                      <w:rFonts w:ascii="仿宋_GB2312" w:hAnsi="仿宋_GB2312" w:cs="仿宋_GB2312" w:eastAsia="仿宋_GB2312"/>
                      <w:sz w:val="18"/>
                      <w:color w:val="000000"/>
                    </w:rPr>
                    <w:t>5、桌脚：地脚管配优质ABS塑料胶套。</w:t>
                  </w:r>
                  <w:r>
                    <w:br/>
                  </w:r>
                  <w:r>
                    <w:rPr>
                      <w:rFonts w:ascii="仿宋_GB2312" w:hAnsi="仿宋_GB2312" w:cs="仿宋_GB2312" w:eastAsia="仿宋_GB2312"/>
                      <w:sz w:val="18"/>
                      <w:color w:val="000000"/>
                    </w:rPr>
                    <w:t>6、外观：表面不允许有裂纹、破损、明显修补痕迹，明显色差等缺陷；边缘平整圆滑，无分层；外表和内表以及手指可触及的隐蔽处，均不得有锐利的棱角、毛刺。</w:t>
                  </w:r>
                  <w:r>
                    <w:br/>
                  </w:r>
                  <w:r>
                    <w:rPr>
                      <w:rFonts w:ascii="仿宋_GB2312" w:hAnsi="仿宋_GB2312" w:cs="仿宋_GB2312" w:eastAsia="仿宋_GB2312"/>
                      <w:sz w:val="18"/>
                      <w:color w:val="000000"/>
                    </w:rPr>
                    <w:t>7、平整度：螺丝安装应紧固，桌着地应平稳不得有倾斜摇摆现象。</w:t>
                  </w:r>
                  <w:r>
                    <w:br/>
                  </w:r>
                  <w:r>
                    <w:rPr>
                      <w:rFonts w:ascii="仿宋_GB2312" w:hAnsi="仿宋_GB2312" w:cs="仿宋_GB2312" w:eastAsia="仿宋_GB2312"/>
                      <w:sz w:val="18"/>
                      <w:color w:val="000000"/>
                    </w:rPr>
                    <w:t>8、涂装：所有钢件部分需除油除锈磷化，再高压静电喷塑，漆膜的附着力，硬度，耐冲击力均达到国际标准。</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办公桌椅</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1、桌子规格≥宽1400mm×深700mm×高760mm</w:t>
                  </w:r>
                  <w:r>
                    <w:br/>
                  </w:r>
                  <w:r>
                    <w:rPr>
                      <w:rFonts w:ascii="仿宋_GB2312" w:hAnsi="仿宋_GB2312" w:cs="仿宋_GB2312" w:eastAsia="仿宋_GB2312"/>
                      <w:sz w:val="18"/>
                      <w:color w:val="000000"/>
                    </w:rPr>
                    <w:t>2、面料：采用0.6mm厚胡桃木皮贴面,木皮平整度高,稳定性好,长期使用不变形,纹理清晰自然，颜色线条拼合细密，木材干燥至低于12%的含水率。</w:t>
                  </w:r>
                  <w:r>
                    <w:br/>
                  </w:r>
                  <w:r>
                    <w:rPr>
                      <w:rFonts w:ascii="仿宋_GB2312" w:hAnsi="仿宋_GB2312" w:cs="仿宋_GB2312" w:eastAsia="仿宋_GB2312"/>
                      <w:sz w:val="18"/>
                      <w:color w:val="000000"/>
                    </w:rPr>
                    <w:t>3、基材：采用中密度纤维板,经防虫、防腐化学处理，各项技术指标均达国家标准。</w:t>
                  </w:r>
                  <w:r>
                    <w:br/>
                  </w:r>
                  <w:r>
                    <w:rPr>
                      <w:rFonts w:ascii="仿宋_GB2312" w:hAnsi="仿宋_GB2312" w:cs="仿宋_GB2312" w:eastAsia="仿宋_GB2312"/>
                      <w:sz w:val="18"/>
                      <w:color w:val="000000"/>
                    </w:rPr>
                    <w:t>4、油漆：油漆经检验符合国家《室内装饰装修材料-溶剂型木器涂料中有害物质限量》强制性标准要求。</w:t>
                  </w:r>
                  <w:r>
                    <w:br/>
                  </w:r>
                  <w:r>
                    <w:rPr>
                      <w:rFonts w:ascii="仿宋_GB2312" w:hAnsi="仿宋_GB2312" w:cs="仿宋_GB2312" w:eastAsia="仿宋_GB2312"/>
                      <w:sz w:val="18"/>
                      <w:color w:val="000000"/>
                    </w:rPr>
                    <w:t>5、五金：采用优质五金配件。</w:t>
                  </w:r>
                  <w:r>
                    <w:br/>
                  </w:r>
                  <w:r>
                    <w:rPr>
                      <w:rFonts w:ascii="仿宋_GB2312" w:hAnsi="仿宋_GB2312" w:cs="仿宋_GB2312" w:eastAsia="仿宋_GB2312"/>
                      <w:sz w:val="18"/>
                      <w:color w:val="000000"/>
                    </w:rPr>
                    <w:t>6、椅子规格：宽460mm*深480mm*高990mm</w:t>
                  </w:r>
                  <w:r>
                    <w:br/>
                  </w:r>
                  <w:r>
                    <w:rPr>
                      <w:rFonts w:ascii="仿宋_GB2312" w:hAnsi="仿宋_GB2312" w:cs="仿宋_GB2312" w:eastAsia="仿宋_GB2312"/>
                      <w:sz w:val="18"/>
                      <w:color w:val="000000"/>
                    </w:rPr>
                    <w:t>7、面料：优质双层3D网布结构，优质麻绒面料，透气耐磨。</w:t>
                  </w:r>
                  <w:r>
                    <w:br/>
                  </w:r>
                  <w:r>
                    <w:rPr>
                      <w:rFonts w:ascii="仿宋_GB2312" w:hAnsi="仿宋_GB2312" w:cs="仿宋_GB2312" w:eastAsia="仿宋_GB2312"/>
                      <w:sz w:val="18"/>
                      <w:color w:val="000000"/>
                    </w:rPr>
                    <w:t>8、底盘：2.5mm厚中班蝴蝶底盘，安全防爆底盘，自负重机构，钢板冲压而成。</w:t>
                  </w:r>
                  <w:r>
                    <w:br/>
                  </w:r>
                  <w:r>
                    <w:rPr>
                      <w:rFonts w:ascii="仿宋_GB2312" w:hAnsi="仿宋_GB2312" w:cs="仿宋_GB2312" w:eastAsia="仿宋_GB2312"/>
                      <w:sz w:val="18"/>
                      <w:color w:val="000000"/>
                    </w:rPr>
                    <w:t>9、海绵：座椅内部采用优质高密度海绵、软硬适中，不变形，回弹性能好，坐感舒适；撕裂强度理化性能应符合国家现行标准；通过GB/T 10802-2023 《通用软质聚氨酯泡沫塑料》标准。</w:t>
                  </w:r>
                  <w:r>
                    <w:br/>
                  </w:r>
                  <w:r>
                    <w:rPr>
                      <w:rFonts w:ascii="仿宋_GB2312" w:hAnsi="仿宋_GB2312" w:cs="仿宋_GB2312" w:eastAsia="仿宋_GB2312"/>
                      <w:sz w:val="18"/>
                      <w:color w:val="000000"/>
                    </w:rPr>
                    <w:t>10、椅脚：采用优质钢管，钢管耐蚀等级≥10级。</w:t>
                  </w:r>
                  <w:r>
                    <w:br/>
                  </w:r>
                  <w:r>
                    <w:rPr>
                      <w:rFonts w:ascii="仿宋_GB2312" w:hAnsi="仿宋_GB2312" w:cs="仿宋_GB2312" w:eastAsia="仿宋_GB2312"/>
                      <w:sz w:val="18"/>
                      <w:color w:val="000000"/>
                    </w:rPr>
                    <w:t>11、PU扶手：符合GB18584-2024《家具中有害物质限量》标准。</w:t>
                  </w:r>
                  <w:r>
                    <w:br/>
                  </w:r>
                  <w:r>
                    <w:rPr>
                      <w:rFonts w:ascii="仿宋_GB2312" w:hAnsi="仿宋_GB2312" w:cs="仿宋_GB2312" w:eastAsia="仿宋_GB2312"/>
                      <w:sz w:val="18"/>
                      <w:color w:val="000000"/>
                    </w:rPr>
                    <w:t>12、气压棒：采用优质气压棒，升降自如，升降基本无声响，升降达数万次无漏气等现象，密封性能符合GB/T29525-2013《座椅升降气弹簧技术条件》标准。</w:t>
                  </w:r>
                  <w:r>
                    <w:br/>
                  </w:r>
                  <w:r>
                    <w:rPr>
                      <w:rFonts w:ascii="仿宋_GB2312" w:hAnsi="仿宋_GB2312" w:cs="仿宋_GB2312" w:eastAsia="仿宋_GB2312"/>
                      <w:sz w:val="18"/>
                      <w:color w:val="000000"/>
                    </w:rPr>
                    <w:t>13、万向轮：尼龙纤维合成静音阻尼脚轮，移动轻快灵活，移动杂音小，耐磨性大。</w:t>
                  </w:r>
                  <w:r>
                    <w:br/>
                  </w:r>
                  <w:r>
                    <w:rPr>
                      <w:rFonts w:ascii="仿宋_GB2312" w:hAnsi="仿宋_GB2312" w:cs="仿宋_GB2312" w:eastAsia="仿宋_GB2312"/>
                      <w:sz w:val="18"/>
                      <w:color w:val="000000"/>
                    </w:rPr>
                    <w:t>14、转椅符合QB/T2280-2016《办公家具办公椅》标准。</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校长办公桌椅</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1、规格尺寸：宽1800mm*深900mm*高760mm大班台+宽1200mm*深430mm*高650mm侧柜+宽400mm*深475mm*高580mm小柜；</w:t>
                  </w:r>
                  <w:r>
                    <w:br/>
                  </w:r>
                  <w:r>
                    <w:rPr>
                      <w:rFonts w:ascii="仿宋_GB2312" w:hAnsi="仿宋_GB2312" w:cs="仿宋_GB2312" w:eastAsia="仿宋_GB2312"/>
                      <w:sz w:val="18"/>
                      <w:color w:val="000000"/>
                    </w:rPr>
                    <w:t>2、基材：采用优质中纤板，经防电、防虫、防腐等处理，析材硬度强，永不变形，含水率低于9%，通过国家钉力测试标准。</w:t>
                  </w:r>
                  <w:r>
                    <w:br/>
                  </w:r>
                  <w:r>
                    <w:rPr>
                      <w:rFonts w:ascii="仿宋_GB2312" w:hAnsi="仿宋_GB2312" w:cs="仿宋_GB2312" w:eastAsia="仿宋_GB2312"/>
                      <w:sz w:val="18"/>
                      <w:color w:val="000000"/>
                    </w:rPr>
                    <w:t>3、饰面：采用0.6mm厚胡桃木皮贴面，白木封边，符合国家E1环保要求的高密度纤维板；</w:t>
                  </w:r>
                  <w:r>
                    <w:br/>
                  </w:r>
                  <w:r>
                    <w:rPr>
                      <w:rFonts w:ascii="仿宋_GB2312" w:hAnsi="仿宋_GB2312" w:cs="仿宋_GB2312" w:eastAsia="仿宋_GB2312"/>
                      <w:sz w:val="18"/>
                      <w:color w:val="000000"/>
                    </w:rPr>
                    <w:t>4、油漆：采用环保PE底漆等，硬度、厚度、耐磨度、耐酸度、耐湿度达到特级标准。油漆饰面采用八遍打磨工艺（5遍底漆，3遍面漆），手感好。</w:t>
                  </w:r>
                  <w:r>
                    <w:br/>
                  </w:r>
                  <w:r>
                    <w:rPr>
                      <w:rFonts w:ascii="仿宋_GB2312" w:hAnsi="仿宋_GB2312" w:cs="仿宋_GB2312" w:eastAsia="仿宋_GB2312"/>
                      <w:sz w:val="18"/>
                      <w:color w:val="000000"/>
                    </w:rPr>
                    <w:t>5、五金配件：采用优质的五金配件。</w:t>
                  </w:r>
                  <w:r>
                    <w:br/>
                  </w:r>
                  <w:r>
                    <w:rPr>
                      <w:rFonts w:ascii="仿宋_GB2312" w:hAnsi="仿宋_GB2312" w:cs="仿宋_GB2312" w:eastAsia="仿宋_GB2312"/>
                      <w:sz w:val="18"/>
                      <w:color w:val="000000"/>
                    </w:rPr>
                    <w:t xml:space="preserve">6、胶水：采用绿色环保胶水。 </w:t>
                  </w:r>
                  <w:r>
                    <w:br/>
                  </w:r>
                  <w:r>
                    <w:rPr>
                      <w:rFonts w:ascii="仿宋_GB2312" w:hAnsi="仿宋_GB2312" w:cs="仿宋_GB2312" w:eastAsia="仿宋_GB2312"/>
                      <w:sz w:val="18"/>
                      <w:color w:val="000000"/>
                    </w:rPr>
                    <w:t>7、椅子规格：宽460mm*深480mm*高990mm</w:t>
                  </w:r>
                  <w:r>
                    <w:br/>
                  </w:r>
                  <w:r>
                    <w:rPr>
                      <w:rFonts w:ascii="仿宋_GB2312" w:hAnsi="仿宋_GB2312" w:cs="仿宋_GB2312" w:eastAsia="仿宋_GB2312"/>
                      <w:sz w:val="18"/>
                      <w:color w:val="000000"/>
                    </w:rPr>
                    <w:t>8、椅身、座板、扶手、五星脚均为胡桃色橡木，气杆配PU滑轮。椅面采用头层西皮，高密度PU气泡海绵。飞机底盘，具有倾仰功能。</w:t>
                  </w:r>
                  <w:r>
                    <w:br/>
                  </w:r>
                  <w:r>
                    <w:rPr>
                      <w:rFonts w:ascii="仿宋_GB2312" w:hAnsi="仿宋_GB2312" w:cs="仿宋_GB2312" w:eastAsia="仿宋_GB2312"/>
                      <w:sz w:val="18"/>
                      <w:color w:val="000000"/>
                    </w:rPr>
                    <w:t>9、万向轮：尼龙纤维合成静音阻尼脚轮，移动轻快灵活，移动杂音小，耐磨性大。</w:t>
                  </w:r>
                  <w:r>
                    <w:br/>
                  </w:r>
                  <w:r>
                    <w:rPr>
                      <w:rFonts w:ascii="仿宋_GB2312" w:hAnsi="仿宋_GB2312" w:cs="仿宋_GB2312" w:eastAsia="仿宋_GB2312"/>
                      <w:sz w:val="18"/>
                      <w:color w:val="000000"/>
                    </w:rPr>
                    <w:t>10、转椅符合QB/T2280-2016《办公家具办公椅》标准。</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文件柜</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1、外观尺寸：≥高1800mm*宽800mm*深390mm，上部玻璃对开门，下部铁门对开，表面喷塑、隔板可调节；</w:t>
                  </w:r>
                  <w:r>
                    <w:br/>
                  </w:r>
                  <w:r>
                    <w:rPr>
                      <w:rFonts w:ascii="仿宋_GB2312" w:hAnsi="仿宋_GB2312" w:cs="仿宋_GB2312" w:eastAsia="仿宋_GB2312"/>
                      <w:sz w:val="18"/>
                      <w:color w:val="000000"/>
                    </w:rPr>
                    <w:t>2、采用优质冷轧钢板，厚度≥1.0mm，经模具化钣金流水线，酸洗、磷化工序精工而成。亚光灰色，静电粉末喷塑，环保无毒害，无气味，焊接部分采用高标准熔焊接，表面平整光滑。</w:t>
                  </w:r>
                  <w:r>
                    <w:br/>
                  </w:r>
                  <w:r>
                    <w:rPr>
                      <w:rFonts w:ascii="仿宋_GB2312" w:hAnsi="仿宋_GB2312" w:cs="仿宋_GB2312" w:eastAsia="仿宋_GB2312"/>
                      <w:sz w:val="18"/>
                      <w:color w:val="000000"/>
                    </w:rPr>
                    <w:t>3、门锁采用外挂锁模式，便于更换。</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注：</w:t>
                  </w:r>
                </w:p>
                <w:p>
                  <w:pPr>
                    <w:pStyle w:val="null3"/>
                    <w:jc w:val="left"/>
                  </w:pPr>
                  <w:r>
                    <w:rPr>
                      <w:rFonts w:ascii="仿宋_GB2312" w:hAnsi="仿宋_GB2312" w:cs="仿宋_GB2312" w:eastAsia="仿宋_GB2312"/>
                      <w:sz w:val="18"/>
                      <w:color w:val="000000"/>
                    </w:rPr>
                    <w:t>1.该项目核心产品为学生课桌椅，多家投标人提供的核心产品品牌相同的，按同品牌处理。</w:t>
                  </w:r>
                </w:p>
                <w:p>
                  <w:pPr>
                    <w:pStyle w:val="null3"/>
                    <w:jc w:val="left"/>
                  </w:pPr>
                  <w:r>
                    <w:rPr>
                      <w:rFonts w:ascii="仿宋_GB2312" w:hAnsi="仿宋_GB2312" w:cs="仿宋_GB2312" w:eastAsia="仿宋_GB2312"/>
                      <w:sz w:val="18"/>
                      <w:color w:val="000000"/>
                    </w:rPr>
                    <w:t>2.规格尺寸类参数允许不超过±5%的偏差（上述技术参数已有要求的除外）。招标文件中所有的技术参数及其性能（配置）仅起参考作用，目的是为了满足采购人工作的基本要求，投标产品满足（实质相当于）或优于招标文件的采购需求均可。</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1.合同履行期限：合同签订生效之日起60天内交付；</w:t>
            </w:r>
            <w:r>
              <w:rPr>
                <w:rFonts w:ascii="仿宋_GB2312" w:hAnsi="仿宋_GB2312" w:cs="仿宋_GB2312" w:eastAsia="仿宋_GB2312"/>
                <w:sz w:val="32"/>
              </w:rPr>
              <w:t xml:space="preserve">  </w:t>
            </w:r>
          </w:p>
          <w:p>
            <w:pPr>
              <w:pStyle w:val="null3"/>
              <w:ind w:firstLine="640"/>
              <w:jc w:val="both"/>
            </w:pPr>
            <w:r>
              <w:rPr>
                <w:rFonts w:ascii="仿宋_GB2312" w:hAnsi="仿宋_GB2312" w:cs="仿宋_GB2312" w:eastAsia="仿宋_GB2312"/>
                <w:sz w:val="32"/>
              </w:rPr>
              <w:t>2.实施地点：采购人指定地点；</w:t>
            </w:r>
          </w:p>
          <w:p>
            <w:pPr>
              <w:pStyle w:val="null3"/>
              <w:ind w:firstLine="640"/>
              <w:jc w:val="both"/>
            </w:pPr>
            <w:r>
              <w:rPr>
                <w:rFonts w:ascii="仿宋_GB2312" w:hAnsi="仿宋_GB2312" w:cs="仿宋_GB2312" w:eastAsia="仿宋_GB2312"/>
                <w:sz w:val="32"/>
              </w:rPr>
              <w:t>3.验收方式：由采购人组织有关部门按照国家有关标准的规定进行验收；</w:t>
            </w:r>
          </w:p>
          <w:p>
            <w:pPr>
              <w:pStyle w:val="null3"/>
              <w:ind w:firstLine="640"/>
              <w:jc w:val="left"/>
            </w:pPr>
            <w:r>
              <w:rPr>
                <w:rFonts w:ascii="仿宋_GB2312" w:hAnsi="仿宋_GB2312" w:cs="仿宋_GB2312" w:eastAsia="仿宋_GB2312"/>
                <w:sz w:val="32"/>
              </w:rPr>
              <w:t>4.付款方式：</w:t>
            </w:r>
          </w:p>
          <w:p>
            <w:pPr>
              <w:pStyle w:val="null3"/>
              <w:ind w:firstLine="640"/>
              <w:jc w:val="left"/>
            </w:pPr>
            <w:r>
              <w:rPr>
                <w:rFonts w:ascii="仿宋_GB2312" w:hAnsi="仿宋_GB2312" w:cs="仿宋_GB2312" w:eastAsia="仿宋_GB2312"/>
                <w:sz w:val="32"/>
              </w:rPr>
              <w:t>4.1、预付款：</w:t>
            </w:r>
            <w:r>
              <w:rPr>
                <w:rFonts w:ascii="仿宋_GB2312" w:hAnsi="仿宋_GB2312" w:cs="仿宋_GB2312" w:eastAsia="仿宋_GB2312"/>
                <w:sz w:val="32"/>
              </w:rPr>
              <w:t>合同签订后，乙方确保合同正常履行并开具发票，甲方凭乙方开具的发票</w:t>
            </w:r>
            <w:r>
              <w:rPr>
                <w:rFonts w:ascii="仿宋_GB2312" w:hAnsi="仿宋_GB2312" w:cs="仿宋_GB2312" w:eastAsia="仿宋_GB2312"/>
                <w:sz w:val="32"/>
              </w:rPr>
              <w:t>3</w:t>
            </w:r>
            <w:r>
              <w:rPr>
                <w:rFonts w:ascii="仿宋_GB2312" w:hAnsi="仿宋_GB2312" w:cs="仿宋_GB2312" w:eastAsia="仿宋_GB2312"/>
                <w:sz w:val="32"/>
              </w:rPr>
              <w:t>个工作日内支付合同总金额的40%</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4.2、</w:t>
            </w:r>
            <w:r>
              <w:rPr>
                <w:rFonts w:ascii="仿宋_GB2312" w:hAnsi="仿宋_GB2312" w:cs="仿宋_GB2312" w:eastAsia="仿宋_GB2312"/>
                <w:sz w:val="32"/>
              </w:rPr>
              <w:t>进度款：乙方将全部设备送达甲方指定地点后，甲方（设备使用学校）组织人员清点，确认符合招投标文件要求后予以签收，签收后甲方凭乙方开具的发票</w:t>
            </w:r>
            <w:r>
              <w:rPr>
                <w:rFonts w:ascii="仿宋_GB2312" w:hAnsi="仿宋_GB2312" w:cs="仿宋_GB2312" w:eastAsia="仿宋_GB2312"/>
                <w:sz w:val="32"/>
              </w:rPr>
              <w:t>3</w:t>
            </w:r>
            <w:r>
              <w:rPr>
                <w:rFonts w:ascii="仿宋_GB2312" w:hAnsi="仿宋_GB2312" w:cs="仿宋_GB2312" w:eastAsia="仿宋_GB2312"/>
                <w:sz w:val="32"/>
              </w:rPr>
              <w:t>个工作日内支付合同总金额的40%；</w:t>
            </w:r>
          </w:p>
          <w:p>
            <w:pPr>
              <w:pStyle w:val="null3"/>
              <w:ind w:firstLine="640"/>
              <w:jc w:val="left"/>
            </w:pPr>
            <w:r>
              <w:rPr>
                <w:rFonts w:ascii="仿宋_GB2312" w:hAnsi="仿宋_GB2312" w:cs="仿宋_GB2312" w:eastAsia="仿宋_GB2312"/>
                <w:sz w:val="32"/>
              </w:rPr>
              <w:t>4.3、</w:t>
            </w:r>
            <w:r>
              <w:rPr>
                <w:rFonts w:ascii="仿宋_GB2312" w:hAnsi="仿宋_GB2312" w:cs="仿宋_GB2312" w:eastAsia="仿宋_GB2312"/>
                <w:sz w:val="32"/>
              </w:rPr>
              <w:t>余款：乙方负责将设备全部安装调试完成并运行正常达到招投标文件要求且验收合格后，甲方凭乙方开具的发票</w:t>
            </w:r>
            <w:r>
              <w:rPr>
                <w:rFonts w:ascii="仿宋_GB2312" w:hAnsi="仿宋_GB2312" w:cs="仿宋_GB2312" w:eastAsia="仿宋_GB2312"/>
                <w:sz w:val="32"/>
              </w:rPr>
              <w:t>3</w:t>
            </w:r>
            <w:r>
              <w:rPr>
                <w:rFonts w:ascii="仿宋_GB2312" w:hAnsi="仿宋_GB2312" w:cs="仿宋_GB2312" w:eastAsia="仿宋_GB2312"/>
                <w:sz w:val="32"/>
              </w:rPr>
              <w:t>个工作日内支付合同总金额的20%。</w:t>
            </w:r>
          </w:p>
          <w:p>
            <w:pPr>
              <w:pStyle w:val="null3"/>
              <w:ind w:left="645"/>
              <w:jc w:val="left"/>
            </w:pP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.质保期：自验收合格之日起</w:t>
            </w: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年</w:t>
            </w:r>
            <w:r>
              <w:br/>
            </w:r>
            <w:r>
              <w:rPr>
                <w:rFonts w:ascii="仿宋_GB2312" w:hAnsi="仿宋_GB2312" w:cs="仿宋_GB2312" w:eastAsia="仿宋_GB2312"/>
                <w:sz w:val="32"/>
                <w:shd w:fill="FFFFFF" w:val="clear"/>
              </w:rPr>
              <w:t>6.供货及安装要求：</w:t>
            </w:r>
          </w:p>
          <w:p>
            <w:pPr>
              <w:pStyle w:val="null3"/>
              <w:ind w:firstLine="640"/>
              <w:jc w:val="left"/>
            </w:pPr>
            <w:r>
              <w:rPr>
                <w:rFonts w:ascii="仿宋_GB2312" w:hAnsi="仿宋_GB2312" w:cs="仿宋_GB2312" w:eastAsia="仿宋_GB2312"/>
                <w:sz w:val="32"/>
              </w:rPr>
              <w:t>6.1、产品的包装和发运必须符合货物特性要求；</w:t>
            </w:r>
          </w:p>
          <w:p>
            <w:pPr>
              <w:pStyle w:val="null3"/>
              <w:ind w:firstLine="640"/>
              <w:jc w:val="left"/>
            </w:pPr>
            <w:r>
              <w:rPr>
                <w:rFonts w:ascii="仿宋_GB2312" w:hAnsi="仿宋_GB2312" w:cs="仿宋_GB2312" w:eastAsia="仿宋_GB2312"/>
                <w:sz w:val="32"/>
              </w:rPr>
              <w:t>6.2、为了保证产品在长途运输和装卸过程中的安全，包装应符合国家或行业标准规定。由于包装不善导致产品锈蚀、失缺或损坏，由供应商承担一切责任；</w:t>
            </w:r>
          </w:p>
          <w:p>
            <w:pPr>
              <w:pStyle w:val="null3"/>
              <w:ind w:firstLine="640"/>
              <w:jc w:val="left"/>
            </w:pPr>
            <w:r>
              <w:rPr>
                <w:rFonts w:ascii="仿宋_GB2312" w:hAnsi="仿宋_GB2312" w:cs="仿宋_GB2312" w:eastAsia="仿宋_GB2312"/>
                <w:sz w:val="32"/>
              </w:rPr>
              <w:t>6.3、供应商负责产品货到现场过程中的全部运输和装卸，包括运输过程中的中转和货到现场的库存（如有）；</w:t>
            </w:r>
          </w:p>
          <w:p>
            <w:pPr>
              <w:pStyle w:val="null3"/>
              <w:ind w:firstLine="640"/>
              <w:jc w:val="left"/>
            </w:pPr>
            <w:r>
              <w:rPr>
                <w:rFonts w:ascii="仿宋_GB2312" w:hAnsi="仿宋_GB2312" w:cs="仿宋_GB2312" w:eastAsia="仿宋_GB2312"/>
                <w:sz w:val="32"/>
              </w:rPr>
              <w:t>6.4、货物到货后，供应商按采购人通知时间安排安装人员到达指定地点进行安装、调试，直至正常使用。</w:t>
            </w:r>
          </w:p>
          <w:p>
            <w:pPr>
              <w:pStyle w:val="null3"/>
              <w:ind w:firstLine="640"/>
              <w:jc w:val="left"/>
            </w:pPr>
            <w:r>
              <w:rPr>
                <w:rFonts w:ascii="仿宋_GB2312" w:hAnsi="仿宋_GB2312" w:cs="仿宋_GB2312" w:eastAsia="仿宋_GB2312"/>
                <w:sz w:val="32"/>
                <w:shd w:fill="FFFFFF" w:val="clear"/>
              </w:rPr>
              <w:t>7.质量保障：</w:t>
            </w:r>
          </w:p>
          <w:p>
            <w:pPr>
              <w:pStyle w:val="null3"/>
              <w:ind w:firstLine="640"/>
              <w:jc w:val="left"/>
            </w:pPr>
            <w:r>
              <w:rPr>
                <w:rFonts w:ascii="仿宋_GB2312" w:hAnsi="仿宋_GB2312" w:cs="仿宋_GB2312" w:eastAsia="仿宋_GB2312"/>
                <w:sz w:val="32"/>
              </w:rPr>
              <w:t>7.1</w:t>
            </w:r>
            <w:r>
              <w:rPr>
                <w:rFonts w:ascii="仿宋_GB2312" w:hAnsi="仿宋_GB2312" w:cs="仿宋_GB2312" w:eastAsia="仿宋_GB2312"/>
                <w:sz w:val="32"/>
              </w:rPr>
              <w:t>、供应商</w:t>
            </w:r>
            <w:r>
              <w:rPr>
                <w:rFonts w:ascii="仿宋_GB2312" w:hAnsi="仿宋_GB2312" w:cs="仿宋_GB2312" w:eastAsia="仿宋_GB2312"/>
                <w:sz w:val="32"/>
              </w:rPr>
              <w:t>保证产品是全新、未使用过的原装合格正品，不截留、调换任何配件、部件或其他任何随机配备的附属资料，并完全符合合同规定的质量、技术规格和性能的要求。</w:t>
            </w:r>
            <w:r>
              <w:rPr>
                <w:rFonts w:ascii="仿宋_GB2312" w:hAnsi="仿宋_GB2312" w:cs="仿宋_GB2312" w:eastAsia="仿宋_GB2312"/>
                <w:sz w:val="32"/>
              </w:rPr>
              <w:t>供应商</w:t>
            </w:r>
            <w:r>
              <w:rPr>
                <w:rFonts w:ascii="仿宋_GB2312" w:hAnsi="仿宋_GB2312" w:cs="仿宋_GB2312" w:eastAsia="仿宋_GB2312"/>
                <w:sz w:val="32"/>
              </w:rPr>
              <w:t xml:space="preserve">对由于设计、工艺或材料的缺陷导致质量不合格的产品进行更换并承担更换费用。  </w:t>
            </w:r>
          </w:p>
          <w:p>
            <w:pPr>
              <w:pStyle w:val="null3"/>
              <w:ind w:firstLine="640"/>
              <w:jc w:val="both"/>
            </w:pPr>
            <w:r>
              <w:rPr>
                <w:rFonts w:ascii="仿宋_GB2312" w:hAnsi="仿宋_GB2312" w:cs="仿宋_GB2312" w:eastAsia="仿宋_GB2312"/>
                <w:sz w:val="32"/>
              </w:rPr>
              <w:t>7.2、供应商保证其提供的产品在正确安装、正常使用和保养条件下，在其使用寿命内具有良好的性能。</w:t>
            </w:r>
          </w:p>
          <w:p>
            <w:pPr>
              <w:pStyle w:val="null3"/>
              <w:ind w:firstLine="640"/>
              <w:jc w:val="both"/>
            </w:pPr>
            <w:r>
              <w:rPr>
                <w:rFonts w:ascii="仿宋_GB2312" w:hAnsi="仿宋_GB2312" w:cs="仿宋_GB2312" w:eastAsia="仿宋_GB2312"/>
                <w:sz w:val="32"/>
              </w:rPr>
              <w:t>7.3、供应商保证货物来自合法途径，保证货物是制造厂家的原装合格正品，交货时向采购人提供相关证明材料。</w:t>
            </w:r>
          </w:p>
          <w:p>
            <w:pPr>
              <w:pStyle w:val="null3"/>
              <w:ind w:firstLine="640"/>
              <w:jc w:val="both"/>
            </w:pPr>
            <w:r>
              <w:rPr>
                <w:rFonts w:ascii="仿宋_GB2312" w:hAnsi="仿宋_GB2312" w:cs="仿宋_GB2312" w:eastAsia="仿宋_GB2312"/>
                <w:sz w:val="32"/>
              </w:rPr>
              <w:t>7.4、在质量保证期内，如果产品的数量、质量或规格与合同约定不符，或证实产品存在缺陷的，包括潜在的缺陷或使用不符合要求的材料等。</w:t>
            </w:r>
            <w:r>
              <w:rPr>
                <w:rFonts w:ascii="仿宋_GB2312" w:hAnsi="仿宋_GB2312" w:cs="仿宋_GB2312" w:eastAsia="仿宋_GB2312"/>
                <w:sz w:val="32"/>
                <w:shd w:fill="FFFFFF" w:val="clear"/>
              </w:rPr>
              <w:t>因产品自身问题导致采购人无法正常使用的，供应商应无条件负责更换。</w:t>
            </w:r>
          </w:p>
          <w:p>
            <w:pPr>
              <w:pStyle w:val="null3"/>
              <w:ind w:firstLine="640"/>
              <w:jc w:val="left"/>
            </w:pPr>
            <w:r>
              <w:rPr>
                <w:rFonts w:ascii="仿宋_GB2312" w:hAnsi="仿宋_GB2312" w:cs="仿宋_GB2312" w:eastAsia="仿宋_GB2312"/>
                <w:sz w:val="32"/>
                <w:shd w:fill="FFFFFF" w:val="clear"/>
              </w:rPr>
              <w:t>8.培训要求：</w:t>
            </w:r>
          </w:p>
          <w:p>
            <w:pPr>
              <w:pStyle w:val="null3"/>
              <w:ind w:firstLine="640"/>
              <w:jc w:val="left"/>
            </w:pPr>
            <w:r>
              <w:rPr>
                <w:rFonts w:ascii="仿宋_GB2312" w:hAnsi="仿宋_GB2312" w:cs="仿宋_GB2312" w:eastAsia="仿宋_GB2312"/>
                <w:sz w:val="32"/>
                <w:shd w:fill="FFFFFF" w:val="clear"/>
              </w:rPr>
              <w:t>8.1供应商应为采购人免费提供有关产品使用、保养的技术培训资料。</w:t>
            </w:r>
          </w:p>
          <w:p>
            <w:pPr>
              <w:pStyle w:val="null3"/>
              <w:ind w:firstLine="640"/>
              <w:jc w:val="left"/>
            </w:pPr>
            <w:r>
              <w:rPr>
                <w:rFonts w:ascii="仿宋_GB2312" w:hAnsi="仿宋_GB2312" w:cs="仿宋_GB2312" w:eastAsia="仿宋_GB2312"/>
                <w:sz w:val="32"/>
                <w:shd w:fill="FFFFFF" w:val="clear"/>
              </w:rPr>
              <w:t>8.2供应商必须为采购人提供有关产品的安装、调试、使用、维修和保养所需的足够的中文技术文件。</w:t>
            </w:r>
          </w:p>
          <w:p>
            <w:pPr>
              <w:pStyle w:val="null3"/>
              <w:ind w:firstLine="640"/>
              <w:jc w:val="left"/>
            </w:pPr>
            <w:r>
              <w:rPr>
                <w:rFonts w:ascii="仿宋_GB2312" w:hAnsi="仿宋_GB2312" w:cs="仿宋_GB2312" w:eastAsia="仿宋_GB2312"/>
                <w:sz w:val="32"/>
                <w:shd w:fill="FFFFFF" w:val="clear"/>
              </w:rPr>
              <w:t>8.3产品安装调试完成后，供应商应免费提供现场安装、调试及讲解培训，确保采购人相关人员能够掌握基本技能，可以正确操作使用相关设备。</w:t>
            </w:r>
          </w:p>
          <w:p>
            <w:pPr>
              <w:pStyle w:val="null3"/>
              <w:ind w:firstLine="640"/>
              <w:jc w:val="left"/>
            </w:pPr>
            <w:r>
              <w:rPr>
                <w:rFonts w:ascii="仿宋_GB2312" w:hAnsi="仿宋_GB2312" w:cs="仿宋_GB2312" w:eastAsia="仿宋_GB2312"/>
                <w:sz w:val="32"/>
                <w:shd w:fill="FFFFFF" w:val="clear"/>
              </w:rPr>
              <w:t>8.4产品安装调试完成后，供应商应指派专业应用工程师，免费为采购人进行现场应用培训，培训时间不少于3个工作日</w:t>
            </w:r>
          </w:p>
          <w:p>
            <w:pPr>
              <w:pStyle w:val="null3"/>
              <w:ind w:firstLine="640"/>
              <w:jc w:val="left"/>
            </w:pPr>
            <w:r>
              <w:rPr>
                <w:rFonts w:ascii="仿宋_GB2312" w:hAnsi="仿宋_GB2312" w:cs="仿宋_GB2312" w:eastAsia="仿宋_GB2312"/>
                <w:sz w:val="32"/>
                <w:shd w:fill="FFFFFF" w:val="clear"/>
              </w:rPr>
              <w:t>9.售后服务：</w:t>
            </w:r>
          </w:p>
          <w:p>
            <w:pPr>
              <w:pStyle w:val="null3"/>
              <w:ind w:firstLine="640"/>
              <w:jc w:val="both"/>
            </w:pPr>
            <w:r>
              <w:rPr>
                <w:rFonts w:ascii="仿宋_GB2312" w:hAnsi="仿宋_GB2312" w:cs="仿宋_GB2312" w:eastAsia="仿宋_GB2312"/>
                <w:sz w:val="32"/>
                <w:shd w:fill="FFFFFF" w:val="clear"/>
              </w:rPr>
              <w:t>（1）自产品验收合格之日起，提供所投标产品2年的质量保证期，质保期内维修不收取配件费和人工费。</w:t>
            </w:r>
            <w:r>
              <w:br/>
            </w:r>
            <w:r>
              <w:rPr>
                <w:rFonts w:ascii="仿宋_GB2312" w:hAnsi="仿宋_GB2312" w:cs="仿宋_GB2312" w:eastAsia="仿宋_GB2312"/>
                <w:sz w:val="32"/>
                <w:shd w:fill="FFFFFF" w:val="clear"/>
              </w:rPr>
              <w:t xml:space="preserve">   （2）</w:t>
            </w:r>
            <w:r>
              <w:rPr>
                <w:rFonts w:ascii="仿宋_GB2312" w:hAnsi="仿宋_GB2312" w:cs="仿宋_GB2312" w:eastAsia="仿宋_GB2312"/>
                <w:sz w:val="32"/>
              </w:rPr>
              <w:t>供应商应有完善的售后服务体系及专业的售后服务队伍，须做到10分钟电话响应，8小时上门，7×24小时服务。</w:t>
            </w:r>
            <w:r>
              <w:br/>
            </w:r>
            <w:r>
              <w:rPr>
                <w:rFonts w:ascii="仿宋_GB2312" w:hAnsi="仿宋_GB2312" w:cs="仿宋_GB2312" w:eastAsia="仿宋_GB2312"/>
                <w:sz w:val="32"/>
                <w:shd w:fill="FFFFFF" w:val="clear"/>
              </w:rPr>
              <w:t xml:space="preserve">    </w:t>
            </w:r>
            <w:r>
              <w:rPr>
                <w:rFonts w:ascii="仿宋_GB2312" w:hAnsi="仿宋_GB2312" w:cs="仿宋_GB2312" w:eastAsia="仿宋_GB2312"/>
                <w:sz w:val="32"/>
                <w:shd w:fill="FFFFFF" w:val="clear"/>
              </w:rPr>
              <w:t>10.验收</w:t>
            </w:r>
            <w:r>
              <w:br/>
            </w:r>
            <w:r>
              <w:rPr>
                <w:rFonts w:ascii="仿宋_GB2312" w:hAnsi="仿宋_GB2312" w:cs="仿宋_GB2312" w:eastAsia="仿宋_GB2312"/>
                <w:sz w:val="32"/>
              </w:rPr>
              <w:t xml:space="preserve">     </w:t>
            </w:r>
            <w:r>
              <w:rPr>
                <w:rFonts w:ascii="仿宋_GB2312" w:hAnsi="仿宋_GB2312" w:cs="仿宋_GB2312" w:eastAsia="仿宋_GB2312"/>
                <w:sz w:val="32"/>
              </w:rPr>
              <w:t>供应商</w:t>
            </w:r>
            <w:r>
              <w:rPr>
                <w:rFonts w:ascii="仿宋_GB2312" w:hAnsi="仿宋_GB2312" w:cs="仿宋_GB2312" w:eastAsia="仿宋_GB2312"/>
                <w:sz w:val="32"/>
              </w:rPr>
              <w:t>负责提交验收所需文件</w:t>
            </w:r>
          </w:p>
          <w:p>
            <w:pPr>
              <w:pStyle w:val="null3"/>
              <w:ind w:firstLine="640"/>
              <w:jc w:val="both"/>
            </w:pPr>
            <w:r>
              <w:rPr>
                <w:rFonts w:ascii="仿宋_GB2312" w:hAnsi="仿宋_GB2312" w:cs="仿宋_GB2312" w:eastAsia="仿宋_GB2312"/>
                <w:sz w:val="32"/>
              </w:rPr>
              <w:t>10.</w:t>
            </w:r>
            <w:r>
              <w:rPr>
                <w:rFonts w:ascii="仿宋_GB2312" w:hAnsi="仿宋_GB2312" w:cs="仿宋_GB2312" w:eastAsia="仿宋_GB2312"/>
                <w:sz w:val="32"/>
              </w:rPr>
              <w:t>1、验收按国家标准检验验收，确保质量符合采购文件相关规定。</w:t>
            </w:r>
          </w:p>
          <w:p>
            <w:pPr>
              <w:pStyle w:val="null3"/>
              <w:ind w:firstLine="640"/>
              <w:jc w:val="both"/>
            </w:pPr>
            <w:r>
              <w:rPr>
                <w:rFonts w:ascii="仿宋_GB2312" w:hAnsi="仿宋_GB2312" w:cs="仿宋_GB2312" w:eastAsia="仿宋_GB2312"/>
                <w:sz w:val="32"/>
              </w:rPr>
              <w:t>10.</w:t>
            </w:r>
            <w:r>
              <w:rPr>
                <w:rFonts w:ascii="仿宋_GB2312" w:hAnsi="仿宋_GB2312" w:cs="仿宋_GB2312" w:eastAsia="仿宋_GB2312"/>
                <w:sz w:val="32"/>
              </w:rPr>
              <w:t>2、验收时间：</w:t>
            </w:r>
            <w:r>
              <w:rPr>
                <w:rFonts w:ascii="仿宋_GB2312" w:hAnsi="仿宋_GB2312" w:cs="仿宋_GB2312" w:eastAsia="仿宋_GB2312"/>
                <w:sz w:val="32"/>
              </w:rPr>
              <w:t>产安装调试完成</w:t>
            </w:r>
            <w:r>
              <w:rPr>
                <w:rFonts w:ascii="仿宋_GB2312" w:hAnsi="仿宋_GB2312" w:cs="仿宋_GB2312" w:eastAsia="仿宋_GB2312"/>
                <w:sz w:val="32"/>
              </w:rPr>
              <w:t>后三个工作日内采购单位安排验收。</w:t>
            </w:r>
          </w:p>
          <w:p>
            <w:pPr>
              <w:pStyle w:val="null3"/>
              <w:ind w:firstLine="640"/>
              <w:jc w:val="both"/>
            </w:pPr>
            <w:r>
              <w:rPr>
                <w:rFonts w:ascii="仿宋_GB2312" w:hAnsi="仿宋_GB2312" w:cs="仿宋_GB2312" w:eastAsia="仿宋_GB2312"/>
                <w:sz w:val="32"/>
              </w:rPr>
              <w:t>10.</w:t>
            </w:r>
            <w:r>
              <w:rPr>
                <w:rFonts w:ascii="仿宋_GB2312" w:hAnsi="仿宋_GB2312" w:cs="仿宋_GB2312" w:eastAsia="仿宋_GB2312"/>
                <w:sz w:val="32"/>
              </w:rPr>
              <w:t>3、供应商提供的货物不符合质量要求致使货物未达到采购单位要求的使用性能，采购单位可拒收货物。采购单位拒收货物，标的物损毁、丢失及产生一切费用的风险由</w:t>
            </w:r>
            <w:r>
              <w:rPr>
                <w:rFonts w:ascii="仿宋_GB2312" w:hAnsi="仿宋_GB2312" w:cs="仿宋_GB2312" w:eastAsia="仿宋_GB2312"/>
                <w:sz w:val="32"/>
              </w:rPr>
              <w:t>成交</w:t>
            </w:r>
            <w:r>
              <w:rPr>
                <w:rFonts w:ascii="仿宋_GB2312" w:hAnsi="仿宋_GB2312" w:cs="仿宋_GB2312" w:eastAsia="仿宋_GB2312"/>
                <w:sz w:val="32"/>
              </w:rPr>
              <w:t>供应商承担。</w:t>
            </w:r>
          </w:p>
          <w:p>
            <w:pPr>
              <w:pStyle w:val="null3"/>
              <w:ind w:firstLine="640"/>
              <w:jc w:val="both"/>
            </w:pPr>
            <w:r>
              <w:rPr>
                <w:rFonts w:ascii="仿宋_GB2312" w:hAnsi="仿宋_GB2312" w:cs="仿宋_GB2312" w:eastAsia="仿宋_GB2312"/>
                <w:sz w:val="32"/>
              </w:rPr>
              <w:t>10.</w:t>
            </w:r>
            <w:r>
              <w:rPr>
                <w:rFonts w:ascii="仿宋_GB2312" w:hAnsi="仿宋_GB2312" w:cs="仿宋_GB2312" w:eastAsia="仿宋_GB2312"/>
                <w:sz w:val="32"/>
              </w:rPr>
              <w:t>4、验收工作由采购单位和</w:t>
            </w:r>
            <w:r>
              <w:rPr>
                <w:rFonts w:ascii="仿宋_GB2312" w:hAnsi="仿宋_GB2312" w:cs="仿宋_GB2312" w:eastAsia="仿宋_GB2312"/>
                <w:sz w:val="32"/>
              </w:rPr>
              <w:t>成交供应商</w:t>
            </w:r>
            <w:r>
              <w:rPr>
                <w:rFonts w:ascii="仿宋_GB2312" w:hAnsi="仿宋_GB2312" w:cs="仿宋_GB2312" w:eastAsia="仿宋_GB2312"/>
                <w:sz w:val="32"/>
              </w:rPr>
              <w:t>协商进行，验收合格后，验收单上双方签署验收意见并加盖公章。</w:t>
            </w:r>
          </w:p>
          <w:p>
            <w:pPr>
              <w:pStyle w:val="null3"/>
              <w:ind w:firstLine="640"/>
              <w:jc w:val="both"/>
            </w:pPr>
            <w:r>
              <w:rPr>
                <w:rFonts w:ascii="仿宋_GB2312" w:hAnsi="仿宋_GB2312" w:cs="仿宋_GB2312" w:eastAsia="仿宋_GB2312"/>
                <w:sz w:val="32"/>
              </w:rPr>
              <w:t>10.</w:t>
            </w:r>
            <w:r>
              <w:rPr>
                <w:rFonts w:ascii="仿宋_GB2312" w:hAnsi="仿宋_GB2312" w:cs="仿宋_GB2312" w:eastAsia="仿宋_GB2312"/>
                <w:sz w:val="32"/>
              </w:rPr>
              <w:t>5、交货验收时，</w:t>
            </w:r>
            <w:r>
              <w:rPr>
                <w:rFonts w:ascii="仿宋_GB2312" w:hAnsi="仿宋_GB2312" w:cs="仿宋_GB2312" w:eastAsia="仿宋_GB2312"/>
                <w:sz w:val="32"/>
              </w:rPr>
              <w:t>成交供应商</w:t>
            </w:r>
            <w:r>
              <w:rPr>
                <w:rFonts w:ascii="仿宋_GB2312" w:hAnsi="仿宋_GB2312" w:cs="仿宋_GB2312" w:eastAsia="仿宋_GB2312"/>
                <w:sz w:val="32"/>
              </w:rPr>
              <w:t>必须提供</w:t>
            </w:r>
            <w:r>
              <w:rPr>
                <w:rFonts w:ascii="仿宋_GB2312" w:hAnsi="仿宋_GB2312" w:cs="仿宋_GB2312" w:eastAsia="仿宋_GB2312"/>
                <w:sz w:val="32"/>
              </w:rPr>
              <w:t>货物</w:t>
            </w:r>
            <w:r>
              <w:rPr>
                <w:rFonts w:ascii="仿宋_GB2312" w:hAnsi="仿宋_GB2312" w:cs="仿宋_GB2312" w:eastAsia="仿宋_GB2312"/>
                <w:sz w:val="32"/>
              </w:rPr>
              <w:t>验收所需的相关手续。</w:t>
            </w:r>
          </w:p>
          <w:p>
            <w:pPr>
              <w:pStyle w:val="null3"/>
              <w:ind w:firstLine="640"/>
              <w:jc w:val="left"/>
            </w:pPr>
            <w:r>
              <w:rPr>
                <w:rFonts w:ascii="仿宋_GB2312" w:hAnsi="仿宋_GB2312" w:cs="仿宋_GB2312" w:eastAsia="仿宋_GB2312"/>
                <w:sz w:val="32"/>
              </w:rPr>
              <w:t>10.</w:t>
            </w:r>
            <w:r>
              <w:rPr>
                <w:rFonts w:ascii="仿宋_GB2312" w:hAnsi="仿宋_GB2312" w:cs="仿宋_GB2312" w:eastAsia="仿宋_GB2312"/>
                <w:sz w:val="32"/>
              </w:rPr>
              <w:t>6、有关验收费用由</w:t>
            </w:r>
            <w:r>
              <w:rPr>
                <w:rFonts w:ascii="仿宋_GB2312" w:hAnsi="仿宋_GB2312" w:cs="仿宋_GB2312" w:eastAsia="仿宋_GB2312"/>
                <w:sz w:val="32"/>
              </w:rPr>
              <w:t>成交供应商</w:t>
            </w:r>
            <w:r>
              <w:rPr>
                <w:rFonts w:ascii="仿宋_GB2312" w:hAnsi="仿宋_GB2312" w:cs="仿宋_GB2312" w:eastAsia="仿宋_GB2312"/>
                <w:sz w:val="32"/>
              </w:rPr>
              <w:t>承担。</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2.1履约验收标准 中标供应商与采购人应严格按照海南省财政厅关于印发《海南省政府采购履约验收管理暂行办法》的通 知(琼财采规〔2023〕16号)文件及相关法律法规要求、招标文件文件要求和合同约定相关条款进行验收。 2.2所属行业: 根据《统计上大中小微型企业划分办法(2017)》,本项目所属行业为工业。</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诚信投标、诚信履约承诺书 其他材料 中小企业声明函 残疾人福利性单位声明函 供应商应提交的相关证明材料 监狱企业的证明文件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在“信用中国”网站（www.creditchina.gov.cn）、中国政府采购网（www.ccgp.gov.cn）2022年以来没有列入失信被执行人、重大税收违法失信主体、政府采购严重违法失信行为记录名单的供应商。</w:t>
            </w:r>
          </w:p>
        </w:tc>
        <w:tc>
          <w:tcPr>
            <w:tcW w:type="dxa" w:w="3322"/>
          </w:tcPr>
          <w:p>
            <w:pPr>
              <w:pStyle w:val="null3"/>
              <w:jc w:val="left"/>
            </w:pPr>
            <w:r>
              <w:rPr>
                <w:rFonts w:ascii="仿宋_GB2312" w:hAnsi="仿宋_GB2312" w:cs="仿宋_GB2312" w:eastAsia="仿宋_GB2312"/>
              </w:rPr>
              <w:t>在“信用中国”网站（www.creditchina.gov.cn）、中国政府采购网（www.ccgp.gov.cn）2022年以来没有列入失信被执行人、重大税收违法失信主体、政府采购严重违法失信行为记录名单的供应商。（提供信用承诺书加盖公章，格式自拟，由采购人和代理机构在开标现场实时查询核实为准）；</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提供政府采购供应商信用承诺书，在招标文件中附带格式文本，按照信用承诺内容进行承诺</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本项目不接受联合体投标（提供非联合体投标声明，格式自拟）</w:t>
            </w:r>
          </w:p>
        </w:tc>
        <w:tc>
          <w:tcPr>
            <w:tcW w:type="dxa" w:w="1661"/>
          </w:tcPr>
          <w:p>
            <w:pPr>
              <w:pStyle w:val="null3"/>
              <w:jc w:val="left"/>
            </w:pPr>
            <w:r>
              <w:rPr>
                <w:rFonts w:ascii="仿宋_GB2312" w:hAnsi="仿宋_GB2312" w:cs="仿宋_GB2312" w:eastAsia="仿宋_GB2312"/>
              </w:rPr>
              <w:t>提供非联合体投标声明</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提供非进口产品书面声明函</w:t>
            </w:r>
          </w:p>
        </w:tc>
        <w:tc>
          <w:tcPr>
            <w:tcW w:type="dxa" w:w="3322"/>
          </w:tcPr>
          <w:p>
            <w:pPr>
              <w:pStyle w:val="null3"/>
              <w:jc w:val="left"/>
            </w:pPr>
            <w:r>
              <w:rPr>
                <w:rFonts w:ascii="仿宋_GB2312" w:hAnsi="仿宋_GB2312" w:cs="仿宋_GB2312" w:eastAsia="仿宋_GB2312"/>
              </w:rPr>
              <w:t>提供非进口产品书面声明函</w:t>
            </w:r>
          </w:p>
        </w:tc>
        <w:tc>
          <w:tcPr>
            <w:tcW w:type="dxa" w:w="1661"/>
          </w:tcPr>
          <w:p>
            <w:pPr>
              <w:pStyle w:val="null3"/>
              <w:jc w:val="left"/>
            </w:pPr>
            <w:r>
              <w:rPr>
                <w:rFonts w:ascii="仿宋_GB2312" w:hAnsi="仿宋_GB2312" w:cs="仿宋_GB2312" w:eastAsia="仿宋_GB2312"/>
              </w:rPr>
              <w:t>非进口产品投标声明</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不存在企业关联承诺函)。</w:t>
            </w:r>
          </w:p>
        </w:tc>
        <w:tc>
          <w:tcPr>
            <w:tcW w:type="dxa" w:w="1661"/>
          </w:tcPr>
          <w:p>
            <w:pPr>
              <w:pStyle w:val="null3"/>
              <w:jc w:val="left"/>
            </w:pPr>
            <w:r>
              <w:rPr>
                <w:rFonts w:ascii="仿宋_GB2312" w:hAnsi="仿宋_GB2312" w:cs="仿宋_GB2312" w:eastAsia="仿宋_GB2312"/>
              </w:rPr>
              <w:t>未参与本采购项目的整体设计、规范编制等服务的书面声明 与参与本项目的其他投标人之间不存在关联关系的声明</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供应商应提交的相关证明材料 法定代表人资格证明书或法定代表人授权委托书 投标保证金缴纳证明材料 监狱企业的证明文件 具备履行合同所必需设备和专业技术能力的声明函 提供非联合体投标声明 无环保类行政处罚记录声明函 开标（报价）一览表 中小企业声明函 政府采购供应商信用承诺书 非进口产品投标声明 具有独立承担民事责任的能力证明文件 投标人承诺函 投标（响应）报价明细表 投标人无不良信用记录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供应商应提交的相关证明材料 法定代表人资格证明书或法定代表人授权委托书 投标保证金缴纳证明材料 监狱企业的证明文件 具备履行合同所必需设备和专业技术能力的声明函 提供非联合体投标声明 无环保类行政处罚记录声明函 开标（报价）一览表 中小企业声明函 政府采购供应商信用承诺书 非进口产品投标声明 具有独立承担民事责任的能力证明文件 投标人承诺函 投标（响应）报价明细表 投标人无不良信用记录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投标函 其他材料 供应商应提交的相关证明材料 法定代表人资格证明书或法定代表人授权委托书 投标保证金缴纳证明材料 监狱企业的证明文件 具备履行合同所必需设备和专业技术能力的声明函 提供非联合体投标声明 无环保类行政处罚记录声明函 开标（报价）一览表 中小企业声明函 政府采购供应商信用承诺书 非进口产品投标声明 具有独立承担民事责任的能力证明文件 投标人承诺函 投标（响应）报价明细表 投标人无不良信用记录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根据《招标文件》技术部分要求与《投标文件》中技术标偏离表进行比较（合计77项）： （1）完全满足招标文件要求或有正偏离的得30分； （2）①有1-10项一般参数指标不满足或负偏离的得25分； ②有11-20项一般参数指标不满足或负偏离的得20分； ③有21-30项一般参数指标不满足或负偏离的得15分； ④有31-40项一般参数指标不满足或负偏离的得10分； ⑤有41-50项一般参数指标不满足或负偏离的得5分； 有51项及以上一般参数指标不满足或负偏离的得0分。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供货及安装方案</w:t>
            </w:r>
          </w:p>
        </w:tc>
        <w:tc>
          <w:tcPr>
            <w:tcW w:type="dxa" w:w="2492"/>
          </w:tcPr>
          <w:p>
            <w:pPr>
              <w:pStyle w:val="null3"/>
              <w:jc w:val="both"/>
            </w:pPr>
            <w:r>
              <w:rPr>
                <w:rFonts w:ascii="仿宋_GB2312" w:hAnsi="仿宋_GB2312" w:cs="仿宋_GB2312" w:eastAsia="仿宋_GB2312"/>
              </w:rPr>
              <w:t>投标人针对本项目提供的供货及安装方案，内容包括但不限于：①货品组织；②产品包装；③物流运输；④货物装卸；⑤供货时间承诺；⑥安装调试计划及进度安排。评标专家根据投标人提供的方案进行评分：方案中包含且满足全部内容得9分，每缺少一项扣1.5分，每项存在缺陷扣0.5分，以上6项内容因缺陷最多每项扣1分，不提供得0分。 （内容缺陷指不满足本项目采购需求，不适用本项目实际情况，与项目实际不匹配、不符合项目特点、逻辑不清晰、科学原理错误以及不可实现的夸大情形）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质量保障方 案</w:t>
            </w:r>
          </w:p>
        </w:tc>
        <w:tc>
          <w:tcPr>
            <w:tcW w:type="dxa" w:w="2492"/>
          </w:tcPr>
          <w:p>
            <w:pPr>
              <w:pStyle w:val="null3"/>
              <w:jc w:val="both"/>
            </w:pPr>
            <w:r>
              <w:rPr>
                <w:rFonts w:ascii="仿宋_GB2312" w:hAnsi="仿宋_GB2312" w:cs="仿宋_GB2312" w:eastAsia="仿宋_GB2312"/>
              </w:rPr>
              <w:t>投标人针对本项目提供的质量保障措施方案，内容包括但不限于：①质量保障措施；②质量保障承诺；③保障措施资源配置。评标专家根据投标人提供的方案进行评分：方案中包含且满足全部内容得6分，每缺少一项扣2分，每项存在缺陷扣0.5分，以上3项内容因缺陷最多每项扣1分，不提供得0分。 （内容缺陷指不满足本项目采购需求，不适用本项目实际情况，与项目实际不匹配、不符合项目特点、逻辑不清晰、科学原理错误以及不可实现的夸大情形）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提供的培训方案，内容包括但不限于：①培训团队；②培训内容；③培训时间。评标专家根据投标人提供的方案进行评分：方案中包含且满足全部内容得6分，每缺少一项扣2分，每项存在缺陷扣0.5分，以上3项内容因缺项最多每项扣1分，不提供得0分。 （内容缺陷指不满足本项目采购需求，不适用本项目实际情况，与项目实际不匹配、不符合项目特点、逻辑不清晰、科学原理错误以及不可实现的夸大情形）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售后方案</w:t>
            </w:r>
          </w:p>
        </w:tc>
        <w:tc>
          <w:tcPr>
            <w:tcW w:type="dxa" w:w="2492"/>
          </w:tcPr>
          <w:p>
            <w:pPr>
              <w:pStyle w:val="null3"/>
              <w:jc w:val="both"/>
            </w:pPr>
            <w:r>
              <w:rPr>
                <w:rFonts w:ascii="仿宋_GB2312" w:hAnsi="仿宋_GB2312" w:cs="仿宋_GB2312" w:eastAsia="仿宋_GB2312"/>
              </w:rPr>
              <w:t>投标人针对本项目提供的售后方案，内容包括但不限于：①售后团队组建；②售后管理体系；③售后响应时间；④售后维修应急保障能力；评标专家根据投标人提供的方案进行评分：方案中包含且满足全部内容得6分，每缺少一项扣1.5分，每项存在缺陷扣0.5分，以上4项内容因缺陷最多每项扣1分。不提供得0分。 （内容缺陷指不满足本项目采购需求，不适用本项目实际情况，与项目实际不匹配、不符合项目特点、逻辑不清晰、科学原理错误以及不可实现的夸大情形）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投标人企业实 力</w:t>
            </w:r>
          </w:p>
        </w:tc>
        <w:tc>
          <w:tcPr>
            <w:tcW w:type="dxa" w:w="2492"/>
          </w:tcPr>
          <w:p>
            <w:pPr>
              <w:pStyle w:val="null3"/>
              <w:jc w:val="both"/>
            </w:pPr>
            <w:r>
              <w:rPr>
                <w:rFonts w:ascii="仿宋_GB2312" w:hAnsi="仿宋_GB2312" w:cs="仿宋_GB2312" w:eastAsia="仿宋_GB2312"/>
              </w:rPr>
              <w:t>投标人或制造商具有有效期内的“中国环境标志产品认证证书”，证书包含（实木家具、钢木家具、学生床垫、软体家具）。四项共计8分，每一项不满足扣2分，扣完即止。提供有效的上述认证证书扫描件,并须附上中国国家认证认可网查询有效期内的网页截图，备注：若为代理商投标，证书需盖上产品制造商公章佐证。</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类似业 绩</w:t>
            </w:r>
          </w:p>
        </w:tc>
        <w:tc>
          <w:tcPr>
            <w:tcW w:type="dxa" w:w="2492"/>
          </w:tcPr>
          <w:p>
            <w:pPr>
              <w:pStyle w:val="null3"/>
              <w:jc w:val="both"/>
            </w:pPr>
            <w:r>
              <w:rPr>
                <w:rFonts w:ascii="仿宋_GB2312" w:hAnsi="仿宋_GB2312" w:cs="仿宋_GB2312" w:eastAsia="仿宋_GB2312"/>
              </w:rPr>
              <w:t>投标人提供2023年1月至今以来承接过的类似业绩，提供1份业绩得2.5分，满分5分。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SYZFCG-2025-16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2025年高中学校家具类设备采购项目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2025年高中学校家具类设备采购项目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A05019900-其他家具</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4846600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详见附件：非进口产品投标声明</w:t>
      </w:r>
    </w:p>
    <w:p>
      <w:pPr>
        <w:pStyle w:val="null3"/>
        <w:ind w:firstLine="960"/>
        <w:jc w:val="left"/>
      </w:pPr>
      <w:r>
        <w:rPr>
          <w:rFonts w:ascii="仿宋_GB2312" w:hAnsi="仿宋_GB2312" w:cs="仿宋_GB2312" w:eastAsia="仿宋_GB2312"/>
        </w:rPr>
        <w:t>详见附件：提供非联合体投标声明</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详见附件：未参与本采购项目的整体设计、规范编制等服务的书面声明</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详见附件：与参与本项目的其他投标人之间不存在关联关系的声明</w:t>
      </w:r>
    </w:p>
    <w:p>
      <w:pPr>
        <w:pStyle w:val="null3"/>
        <w:ind w:firstLine="960"/>
        <w:jc w:val="left"/>
      </w:pPr>
      <w:r>
        <w:rPr>
          <w:rFonts w:ascii="仿宋_GB2312" w:hAnsi="仿宋_GB2312" w:cs="仿宋_GB2312" w:eastAsia="仿宋_GB2312"/>
        </w:rPr>
        <w:t>详见附件：政府采购供应商信用承诺书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