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育才生态区龙密村玉林小组基础设施提升工程</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HNZXD-2025025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三亚市育才生态区市政管理服务中心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海南致信达项目管理有限公司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三亚市育才生态区市政管理服务中心</w:t>
      </w:r>
      <w:r>
        <w:rPr>
          <w:rFonts w:ascii="仿宋_GB2312" w:hAnsi="仿宋_GB2312" w:cs="仿宋_GB2312" w:eastAsia="仿宋_GB2312"/>
        </w:rPr>
        <w:t xml:space="preserve"> 的委托， </w:t>
      </w:r>
      <w:r>
        <w:rPr>
          <w:rFonts w:ascii="仿宋_GB2312" w:hAnsi="仿宋_GB2312" w:cs="仿宋_GB2312" w:eastAsia="仿宋_GB2312"/>
        </w:rPr>
        <w:t>海南致信达项目管理有限公司</w:t>
      </w:r>
      <w:r>
        <w:rPr>
          <w:rFonts w:ascii="仿宋_GB2312" w:hAnsi="仿宋_GB2312" w:cs="仿宋_GB2312" w:eastAsia="仿宋_GB2312"/>
        </w:rPr>
        <w:t xml:space="preserve"> 对 </w:t>
      </w:r>
      <w:r>
        <w:rPr>
          <w:rFonts w:ascii="仿宋_GB2312" w:hAnsi="仿宋_GB2312" w:cs="仿宋_GB2312" w:eastAsia="仿宋_GB2312"/>
        </w:rPr>
        <w:t>育才生态区龙密村玉林小组基础设施提升工程</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HNZXD-2025025</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育才生态区龙密村玉林小组基础设施提升工程</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2,112,389.02元</w:t>
      </w:r>
      <w:r>
        <w:rPr>
          <w:rFonts w:ascii="仿宋_GB2312" w:hAnsi="仿宋_GB2312" w:cs="仿宋_GB2312" w:eastAsia="仿宋_GB2312"/>
        </w:rPr>
        <w:t>贰佰壹拾壹万贰仟叁佰捌拾玖元零贰分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60日历天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1、供应商资质：供应商须具备建设行政主管部门颁发有效的市政公用工程施工总承包叁级（含）以上资质或根据《住房和城乡建设部关于印发建设工程企业资质管理制度改革方案的通知（【建市〔2020〕94 号】）的规定已换发新证取得相应资质。（提供资质证书复印件加盖公章）</w:t>
      </w:r>
    </w:p>
    <w:p>
      <w:pPr>
        <w:pStyle w:val="null3"/>
        <w:jc w:val="left"/>
      </w:pPr>
      <w:r>
        <w:rPr>
          <w:rFonts w:ascii="仿宋_GB2312" w:hAnsi="仿宋_GB2312" w:cs="仿宋_GB2312" w:eastAsia="仿宋_GB2312"/>
        </w:rPr>
        <w:t>2、安全生产许可证：供应商须具备住房和城乡建设厅颁发有效的《安全生产许可证》。（提供安全生产许可证复印件加盖公章）</w:t>
      </w:r>
    </w:p>
    <w:p>
      <w:pPr>
        <w:pStyle w:val="null3"/>
        <w:jc w:val="left"/>
      </w:pPr>
      <w:r>
        <w:rPr>
          <w:rFonts w:ascii="仿宋_GB2312" w:hAnsi="仿宋_GB2312" w:cs="仿宋_GB2312" w:eastAsia="仿宋_GB2312"/>
        </w:rPr>
        <w:t>3、项目经理：拟派项目经理须具备市政公用工程专业二级（含以上级）注册建造师执业资格，且未担任其他在施建设工程项目的项目经理（提供建造师注册证书、2024年10月至今任意一个月社保证明和项目经理无在建项目声明函）</w:t>
      </w:r>
    </w:p>
    <w:p>
      <w:pPr>
        <w:pStyle w:val="null3"/>
        <w:jc w:val="left"/>
      </w:pPr>
      <w:r>
        <w:rPr>
          <w:rFonts w:ascii="仿宋_GB2312" w:hAnsi="仿宋_GB2312" w:cs="仿宋_GB2312" w:eastAsia="仿宋_GB2312"/>
        </w:rPr>
        <w:t>4、诚信档案手册：供应商须提供在海南省住房和城乡建设厅网站登录海南省房屋建筑工程全过程监管信息平台完成《海南省建筑企业诚信档案手册》登记，并填报项目名称、项目地址、派驻的项目班子人员信息，打印生成诚信档案手册（提供诚信档案手册复印件加盖公章）；</w:t>
      </w:r>
    </w:p>
    <w:p>
      <w:pPr>
        <w:pStyle w:val="null3"/>
        <w:jc w:val="left"/>
      </w:pPr>
      <w:r>
        <w:rPr>
          <w:rFonts w:ascii="仿宋_GB2312" w:hAnsi="仿宋_GB2312" w:cs="仿宋_GB2312" w:eastAsia="仿宋_GB2312"/>
        </w:rPr>
        <w:t>5、政府采购供应商信用承诺书：提供“政府采购供应商信用承诺书”，详见政“政府采购供应商信用承诺书”格式</w:t>
      </w:r>
    </w:p>
    <w:p>
      <w:pPr>
        <w:pStyle w:val="null3"/>
        <w:jc w:val="left"/>
      </w:pPr>
      <w:r>
        <w:rPr>
          <w:rFonts w:ascii="仿宋_GB2312" w:hAnsi="仿宋_GB2312" w:cs="仿宋_GB2312" w:eastAsia="仿宋_GB2312"/>
        </w:rPr>
        <w:t>6、无环保类行政处罚记录声明函：提供无环保类行政处罚记录声明函：详见磋商文件格式</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4001691288。2、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三亚市育才生态区市政管理服务中心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三亚市育才生态区管理委员会办公室二楼210室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0898-88953118</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海南致信达项目管理有限公司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海南省三亚市吉阳区月川中路月川南区安置房2栋22楼2204房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陆工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18876689310</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采购包1：2,112,389.02元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自响应文件递交截止之日起60天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代理服务费收费标准：根据《海南省物价局关于降低部分招标代理服务收费标准的通知》(琼价费管[20111225号)收费，以12094.97元收取本项目的招标代理服务费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1、参照《政府采购促进中小企业发展管理办法》（财库〔2020〕46号）相关规定，发挥政府采购的政策功能，促进中小企业健康发展。本项目为专门面向中小企业采 购 的采购项目，供应商应为中小微企业、监狱企业、残疾人福利性单位。不再执行价 格 评审优惠的扶持政策。 2、根据国家统计局关于印发《统计上大中小微型企业划分办法（2017）》的通知，本项目所属行业：建筑业。3、各投标供应商的相关证 明材料必须在响应文件内提供加盖公章扫描件； 4、响应文件中所附的有关证明、证书、证件等材料均为真实有效的，采购人在开标结束后有权对投标提交的证明、证书、证 件等原件材料进行核实。经核实若虚假材料的，若为成交供应商的还将取消其成交资格，若已签订合同则取消合同并同时上报主管部门进行处罚。5、本项目采用远程不见面方式（供应商无需到现场）。供应商使用“投标客户端”编制、签章、生成加密响应文件，同时生成（同一版的备用响应文件），供应商自行留存，涉及“加盖公章”的内容应使用单位电子公章完成。开启时，供应商应当使用数字证书在解密时 限内完成全部已响应采购包的响应文件在线解密，若出现系统异常情况，工作人员可适当延长解密时长。 6、不接受供应商的备用标书上传。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联系人：陆工</w:t>
      </w:r>
    </w:p>
    <w:p>
      <w:pPr>
        <w:pStyle w:val="null3"/>
        <w:jc w:val="left"/>
      </w:pPr>
      <w:r>
        <w:rPr>
          <w:rFonts w:ascii="仿宋_GB2312" w:hAnsi="仿宋_GB2312" w:cs="仿宋_GB2312" w:eastAsia="仿宋_GB2312"/>
        </w:rPr>
        <w:t>联系电话：18876689310</w:t>
      </w:r>
    </w:p>
    <w:p>
      <w:pPr>
        <w:pStyle w:val="null3"/>
        <w:jc w:val="left"/>
      </w:pPr>
      <w:r>
        <w:rPr>
          <w:rFonts w:ascii="仿宋_GB2312" w:hAnsi="仿宋_GB2312" w:cs="仿宋_GB2312" w:eastAsia="仿宋_GB2312"/>
        </w:rPr>
        <w:t>地址：海南省三亚市吉阳区月川中路月川南区安置房2栋22楼2204房</w:t>
      </w:r>
    </w:p>
    <w:p>
      <w:pPr>
        <w:pStyle w:val="null3"/>
        <w:jc w:val="left"/>
      </w:pPr>
      <w:r>
        <w:rPr>
          <w:rFonts w:ascii="仿宋_GB2312" w:hAnsi="仿宋_GB2312" w:cs="仿宋_GB2312" w:eastAsia="仿宋_GB2312"/>
        </w:rPr>
        <w:t>邮编：572000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1"/>
          <w:color w:val="000000"/>
        </w:rPr>
        <w:t>本项目建设内容</w:t>
      </w:r>
      <w:r>
        <w:rPr>
          <w:rFonts w:ascii="仿宋_GB2312" w:hAnsi="仿宋_GB2312" w:cs="仿宋_GB2312" w:eastAsia="仿宋_GB2312"/>
          <w:sz w:val="21"/>
          <w:color w:val="000000"/>
        </w:rPr>
        <w:t>为对新建防护栏杆、新建挡土墙、垃圾屋翻新、入户路硬化、民舍翻新、壁画、雨水沟改造、公共空间、村庄绿化。</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2,112,389.02</w:t>
      </w:r>
    </w:p>
    <w:p>
      <w:pPr>
        <w:pStyle w:val="null3"/>
        <w:jc w:val="left"/>
      </w:pPr>
      <w:r>
        <w:rPr>
          <w:rFonts w:ascii="仿宋_GB2312" w:hAnsi="仿宋_GB2312" w:cs="仿宋_GB2312" w:eastAsia="仿宋_GB2312"/>
        </w:rPr>
        <w:t>采购包最高限价（元）: 2,112,389.02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B99000000-其他建筑工程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2,112,389.02</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B99000000-其他建筑工程</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2,112,389.02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标的名称：B99000000-其他建筑工程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具体以图纸和工程量清单为准。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color w:val="000000"/>
              </w:rPr>
              <w:t>（1）项目概况</w:t>
            </w:r>
          </w:p>
          <w:p>
            <w:pPr>
              <w:pStyle w:val="null3"/>
              <w:ind w:firstLine="480"/>
              <w:jc w:val="both"/>
            </w:pPr>
            <w:r>
              <w:rPr>
                <w:rFonts w:ascii="仿宋_GB2312" w:hAnsi="仿宋_GB2312" w:cs="仿宋_GB2312" w:eastAsia="仿宋_GB2312"/>
                <w:sz w:val="24"/>
                <w:color w:val="000000"/>
              </w:rPr>
              <w:t>1、项目名称：</w:t>
            </w:r>
            <w:r>
              <w:rPr>
                <w:rFonts w:ascii="仿宋_GB2312" w:hAnsi="仿宋_GB2312" w:cs="仿宋_GB2312" w:eastAsia="仿宋_GB2312"/>
                <w:sz w:val="24"/>
                <w:color w:val="000000"/>
              </w:rPr>
              <w:t>育才生态区龙密村玉林小组基础设施提升工程</w:t>
            </w:r>
          </w:p>
          <w:p>
            <w:pPr>
              <w:pStyle w:val="null3"/>
              <w:ind w:firstLine="480"/>
              <w:jc w:val="both"/>
            </w:pPr>
            <w:r>
              <w:rPr>
                <w:rFonts w:ascii="仿宋_GB2312" w:hAnsi="仿宋_GB2312" w:cs="仿宋_GB2312" w:eastAsia="仿宋_GB2312"/>
                <w:sz w:val="24"/>
                <w:color w:val="000000"/>
              </w:rPr>
              <w:t>2、项目预算：本项目预算金额为</w:t>
            </w:r>
            <w:r>
              <w:rPr>
                <w:rFonts w:ascii="仿宋_GB2312" w:hAnsi="仿宋_GB2312" w:cs="仿宋_GB2312" w:eastAsia="仿宋_GB2312"/>
                <w:sz w:val="24"/>
                <w:color w:val="000000"/>
              </w:rPr>
              <w:t>2112389.02</w:t>
            </w:r>
            <w:r>
              <w:rPr>
                <w:rFonts w:ascii="仿宋_GB2312" w:hAnsi="仿宋_GB2312" w:cs="仿宋_GB2312" w:eastAsia="仿宋_GB2312"/>
                <w:sz w:val="24"/>
                <w:color w:val="000000"/>
              </w:rPr>
              <w:t>元，最高限价为</w:t>
            </w:r>
            <w:r>
              <w:rPr>
                <w:rFonts w:ascii="仿宋_GB2312" w:hAnsi="仿宋_GB2312" w:cs="仿宋_GB2312" w:eastAsia="仿宋_GB2312"/>
                <w:sz w:val="24"/>
                <w:color w:val="000000"/>
              </w:rPr>
              <w:t>2112389.02</w:t>
            </w:r>
            <w:r>
              <w:rPr>
                <w:rFonts w:ascii="仿宋_GB2312" w:hAnsi="仿宋_GB2312" w:cs="仿宋_GB2312" w:eastAsia="仿宋_GB2312"/>
                <w:sz w:val="24"/>
                <w:color w:val="000000"/>
              </w:rPr>
              <w:t>元，超出采购预算金额的投标，按无效投标处理。</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、资金来源：政府资金</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建设规模及内容：新建防护栏杆、新建挡土墙、垃圾屋翻新、入户路硬化、民舍翻新、壁画、雨水沟改造、公共空间、村庄绿化。</w:t>
            </w:r>
          </w:p>
          <w:p>
            <w:pPr>
              <w:pStyle w:val="null3"/>
              <w:ind w:firstLine="480"/>
              <w:jc w:val="both"/>
            </w:pPr>
            <w:r>
              <w:rPr>
                <w:rFonts w:ascii="仿宋_GB2312" w:hAnsi="仿宋_GB2312" w:cs="仿宋_GB2312" w:eastAsia="仿宋_GB2312"/>
                <w:sz w:val="24"/>
                <w:color w:val="000000"/>
              </w:rPr>
              <w:t>5、招标范围：按采购人提供的工程量清单及施工图所包含的全部工作内容进行施工（详见工程量清单和施工设计图）</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项目地</w:t>
            </w:r>
            <w:r>
              <w:rPr>
                <w:rFonts w:ascii="仿宋_GB2312" w:hAnsi="仿宋_GB2312" w:cs="仿宋_GB2312" w:eastAsia="仿宋_GB2312"/>
                <w:sz w:val="24"/>
                <w:color w:val="000000"/>
              </w:rPr>
              <w:t>点</w:t>
            </w:r>
            <w:r>
              <w:rPr>
                <w:rFonts w:ascii="仿宋_GB2312" w:hAnsi="仿宋_GB2312" w:cs="仿宋_GB2312" w:eastAsia="仿宋_GB2312"/>
                <w:sz w:val="24"/>
                <w:color w:val="000000"/>
              </w:rPr>
              <w:t>：</w:t>
            </w:r>
            <w:r>
              <w:rPr>
                <w:rFonts w:ascii="仿宋_GB2312" w:hAnsi="仿宋_GB2312" w:cs="仿宋_GB2312" w:eastAsia="仿宋_GB2312"/>
                <w:sz w:val="24"/>
                <w:color w:val="000000"/>
              </w:rPr>
              <w:t>三亚市育才区</w:t>
            </w:r>
            <w:r>
              <w:rPr>
                <w:rFonts w:ascii="仿宋_GB2312" w:hAnsi="仿宋_GB2312" w:cs="仿宋_GB2312" w:eastAsia="仿宋_GB2312"/>
                <w:sz w:val="32"/>
              </w:rPr>
              <w:t xml:space="preserve"> </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、工期：</w:t>
            </w:r>
            <w:r>
              <w:rPr>
                <w:rFonts w:ascii="仿宋_GB2312" w:hAnsi="仿宋_GB2312" w:cs="仿宋_GB2312" w:eastAsia="仿宋_GB2312"/>
                <w:sz w:val="24"/>
                <w:color w:val="000000"/>
              </w:rPr>
              <w:t xml:space="preserve">60日历天  </w:t>
            </w:r>
          </w:p>
          <w:p>
            <w:pPr>
              <w:pStyle w:val="null3"/>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、技术要求：以《图纸》为准。</w:t>
            </w:r>
          </w:p>
          <w:p>
            <w:pPr>
              <w:pStyle w:val="null3"/>
              <w:ind w:firstLine="48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、质量要求：合格</w:t>
            </w:r>
          </w:p>
          <w:p>
            <w:pPr>
              <w:pStyle w:val="null3"/>
              <w:ind w:firstLine="480"/>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、验收标准：按采购人提供的工程量清单及施工图所包含的全部工作内容进行施工（详见工程量清单和施工设计图）</w:t>
            </w:r>
          </w:p>
          <w:p>
            <w:pPr>
              <w:pStyle w:val="null3"/>
              <w:ind w:firstLine="480"/>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成交</w:t>
            </w:r>
            <w:r>
              <w:rPr>
                <w:rFonts w:ascii="仿宋_GB2312" w:hAnsi="仿宋_GB2312" w:cs="仿宋_GB2312" w:eastAsia="仿宋_GB2312"/>
                <w:sz w:val="24"/>
                <w:color w:val="000000"/>
              </w:rPr>
              <w:t>供应商与采购人应严格按照《财政部关于进一步加强政府采购需求和履约验收管理的指导意见》（财库〔</w:t>
            </w:r>
            <w:r>
              <w:rPr>
                <w:rFonts w:ascii="仿宋_GB2312" w:hAnsi="仿宋_GB2312" w:cs="仿宋_GB2312" w:eastAsia="仿宋_GB2312"/>
                <w:sz w:val="24"/>
                <w:color w:val="000000"/>
              </w:rPr>
              <w:t>2016〕205 号）文件</w:t>
            </w:r>
            <w:r>
              <w:rPr>
                <w:rFonts w:ascii="仿宋_GB2312" w:hAnsi="仿宋_GB2312" w:cs="仿宋_GB2312" w:eastAsia="仿宋_GB2312"/>
                <w:sz w:val="24"/>
                <w:color w:val="000000"/>
              </w:rPr>
              <w:t>、</w:t>
            </w:r>
            <w:r>
              <w:rPr>
                <w:rFonts w:ascii="仿宋_GB2312" w:hAnsi="仿宋_GB2312" w:cs="仿宋_GB2312" w:eastAsia="仿宋_GB2312"/>
                <w:sz w:val="24"/>
                <w:color w:val="000000"/>
              </w:rPr>
              <w:t>竞争性磋商文件及</w:t>
            </w:r>
            <w:r>
              <w:rPr>
                <w:rFonts w:ascii="仿宋_GB2312" w:hAnsi="仿宋_GB2312" w:cs="仿宋_GB2312" w:eastAsia="仿宋_GB2312"/>
                <w:sz w:val="24"/>
                <w:color w:val="000000"/>
              </w:rPr>
              <w:t>相关法律法规要求与合同约定相关条款进行验收。</w:t>
            </w:r>
          </w:p>
          <w:p>
            <w:pPr>
              <w:pStyle w:val="null3"/>
              <w:jc w:val="both"/>
            </w:pPr>
            <w:r>
              <w:rPr>
                <w:rFonts w:ascii="仿宋_GB2312" w:hAnsi="仿宋_GB2312" w:cs="仿宋_GB2312" w:eastAsia="仿宋_GB2312"/>
                <w:sz w:val="24"/>
                <w:b/>
                <w:color w:val="000000"/>
              </w:rPr>
              <w:t>（2）付款方式</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合同签订后甲方向乙方支付</w:t>
            </w:r>
            <w:r>
              <w:rPr>
                <w:rFonts w:ascii="仿宋_GB2312" w:hAnsi="仿宋_GB2312" w:cs="仿宋_GB2312" w:eastAsia="仿宋_GB2312"/>
                <w:sz w:val="24"/>
                <w:b/>
                <w:color w:val="000000"/>
              </w:rPr>
              <w:t>预付款</w:t>
            </w:r>
            <w:r>
              <w:rPr>
                <w:rFonts w:ascii="仿宋_GB2312" w:hAnsi="仿宋_GB2312" w:cs="仿宋_GB2312" w:eastAsia="仿宋_GB2312"/>
                <w:sz w:val="24"/>
                <w:b/>
                <w:color w:val="000000"/>
              </w:rPr>
              <w:t>30%，竣工</w:t>
            </w:r>
            <w:r>
              <w:rPr>
                <w:rFonts w:ascii="仿宋_GB2312" w:hAnsi="仿宋_GB2312" w:cs="仿宋_GB2312" w:eastAsia="仿宋_GB2312"/>
                <w:sz w:val="24"/>
                <w:b/>
                <w:color w:val="000000"/>
              </w:rPr>
              <w:t>后</w:t>
            </w:r>
            <w:r>
              <w:rPr>
                <w:rFonts w:ascii="仿宋_GB2312" w:hAnsi="仿宋_GB2312" w:cs="仿宋_GB2312" w:eastAsia="仿宋_GB2312"/>
                <w:sz w:val="24"/>
                <w:b/>
                <w:color w:val="000000"/>
              </w:rPr>
              <w:t>支付</w:t>
            </w:r>
            <w:r>
              <w:rPr>
                <w:rFonts w:ascii="仿宋_GB2312" w:hAnsi="仿宋_GB2312" w:cs="仿宋_GB2312" w:eastAsia="仿宋_GB2312"/>
                <w:sz w:val="24"/>
                <w:b/>
                <w:color w:val="000000"/>
              </w:rPr>
              <w:t>80%，</w:t>
            </w:r>
            <w:r>
              <w:rPr>
                <w:rFonts w:ascii="仿宋_GB2312" w:hAnsi="仿宋_GB2312" w:cs="仿宋_GB2312" w:eastAsia="仿宋_GB2312"/>
                <w:sz w:val="24"/>
                <w:b/>
                <w:color w:val="000000"/>
              </w:rPr>
              <w:t>剩余</w:t>
            </w:r>
            <w:r>
              <w:rPr>
                <w:rFonts w:ascii="仿宋_GB2312" w:hAnsi="仿宋_GB2312" w:cs="仿宋_GB2312" w:eastAsia="仿宋_GB2312"/>
                <w:sz w:val="24"/>
                <w:b/>
                <w:color w:val="000000"/>
              </w:rPr>
              <w:t>尾款</w:t>
            </w:r>
            <w:r>
              <w:rPr>
                <w:rFonts w:ascii="仿宋_GB2312" w:hAnsi="仿宋_GB2312" w:cs="仿宋_GB2312" w:eastAsia="仿宋_GB2312"/>
                <w:sz w:val="24"/>
                <w:b/>
                <w:color w:val="000000"/>
              </w:rPr>
              <w:t>待</w:t>
            </w:r>
            <w:r>
              <w:rPr>
                <w:rFonts w:ascii="仿宋_GB2312" w:hAnsi="仿宋_GB2312" w:cs="仿宋_GB2312" w:eastAsia="仿宋_GB2312"/>
                <w:sz w:val="24"/>
                <w:b/>
                <w:color w:val="000000"/>
              </w:rPr>
              <w:t>审计结算后付清。</w:t>
            </w:r>
          </w:p>
          <w:p>
            <w:pPr>
              <w:pStyle w:val="null3"/>
              <w:jc w:val="both"/>
            </w:pPr>
            <w:r>
              <w:rPr>
                <w:rFonts w:ascii="仿宋_GB2312" w:hAnsi="仿宋_GB2312" w:cs="仿宋_GB2312" w:eastAsia="仿宋_GB2312"/>
                <w:sz w:val="24"/>
                <w:b/>
                <w:color w:val="000000"/>
              </w:rPr>
              <w:t>（3）其他</w:t>
            </w:r>
          </w:p>
          <w:p>
            <w:pPr>
              <w:pStyle w:val="null3"/>
              <w:jc w:val="both"/>
            </w:pPr>
            <w:r>
              <w:rPr>
                <w:rFonts w:ascii="仿宋_GB2312" w:hAnsi="仿宋_GB2312" w:cs="仿宋_GB2312" w:eastAsia="仿宋_GB2312"/>
                <w:sz w:val="24"/>
                <w:color w:val="000000"/>
              </w:rPr>
              <w:t>凡涉及磋商文件的</w:t>
            </w:r>
            <w:r>
              <w:rPr>
                <w:rFonts w:ascii="仿宋_GB2312" w:hAnsi="仿宋_GB2312" w:cs="仿宋_GB2312" w:eastAsia="仿宋_GB2312"/>
                <w:sz w:val="24"/>
                <w:color w:val="000000"/>
              </w:rPr>
              <w:t>补充说明和修改，均以采购代理机构在中国政府采购网</w:t>
            </w:r>
            <w:r>
              <w:rPr>
                <w:rFonts w:ascii="仿宋_GB2312" w:hAnsi="仿宋_GB2312" w:cs="仿宋_GB2312" w:eastAsia="仿宋_GB2312"/>
                <w:sz w:val="24"/>
                <w:color w:val="000000"/>
              </w:rPr>
              <w:t>（</w:t>
            </w:r>
            <w:r>
              <w:rPr>
                <w:rFonts w:ascii="仿宋_GB2312" w:hAnsi="仿宋_GB2312" w:cs="仿宋_GB2312" w:eastAsia="仿宋_GB2312"/>
                <w:sz w:val="24"/>
                <w:color w:val="000000"/>
              </w:rPr>
              <w:t>www.ccgp.gov.cn</w:t>
            </w:r>
            <w:r>
              <w:rPr>
                <w:rFonts w:ascii="仿宋_GB2312" w:hAnsi="仿宋_GB2312" w:cs="仿宋_GB2312" w:eastAsia="仿宋_GB2312"/>
                <w:sz w:val="24"/>
                <w:color w:val="000000"/>
              </w:rPr>
              <w:t>）、中国政府采购网海南分网</w:t>
            </w:r>
            <w:r>
              <w:rPr>
                <w:rFonts w:ascii="仿宋_GB2312" w:hAnsi="仿宋_GB2312" w:cs="仿宋_GB2312" w:eastAsia="仿宋_GB2312"/>
                <w:sz w:val="24"/>
                <w:color w:val="000000"/>
              </w:rPr>
              <w:t>（</w:t>
            </w:r>
            <w:r>
              <w:rPr>
                <w:rFonts w:ascii="仿宋_GB2312" w:hAnsi="仿宋_GB2312" w:cs="仿宋_GB2312" w:eastAsia="仿宋_GB2312"/>
                <w:sz w:val="24"/>
                <w:color w:val="000000"/>
              </w:rPr>
              <w:t>海南省政府采购智慧云平台</w:t>
            </w:r>
            <w:r>
              <w:rPr>
                <w:rFonts w:ascii="仿宋_GB2312" w:hAnsi="仿宋_GB2312" w:cs="仿宋_GB2312" w:eastAsia="仿宋_GB2312"/>
                <w:sz w:val="24"/>
                <w:color w:val="000000"/>
              </w:rPr>
              <w:t>）（</w:t>
            </w:r>
            <w:r>
              <w:rPr>
                <w:rFonts w:ascii="仿宋_GB2312" w:hAnsi="仿宋_GB2312" w:cs="仿宋_GB2312" w:eastAsia="仿宋_GB2312"/>
                <w:sz w:val="24"/>
                <w:color w:val="000000"/>
              </w:rPr>
              <w:t>https://ccgp-hainan.gov.cn/）</w:t>
            </w:r>
            <w:r>
              <w:rPr>
                <w:rFonts w:ascii="仿宋_GB2312" w:hAnsi="仿宋_GB2312" w:cs="仿宋_GB2312" w:eastAsia="仿宋_GB2312"/>
                <w:sz w:val="24"/>
                <w:color w:val="000000"/>
              </w:rPr>
              <w:t>发布的公告为准。</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供应商资质</w:t>
            </w:r>
          </w:p>
        </w:tc>
        <w:tc>
          <w:tcPr>
            <w:tcW w:type="dxa" w:w="3322"/>
          </w:tcPr>
          <w:p>
            <w:pPr>
              <w:pStyle w:val="null3"/>
              <w:jc w:val="left"/>
            </w:pPr>
            <w:r>
              <w:rPr>
                <w:rFonts w:ascii="仿宋_GB2312" w:hAnsi="仿宋_GB2312" w:cs="仿宋_GB2312" w:eastAsia="仿宋_GB2312"/>
              </w:rPr>
              <w:t>供应商须具备建设行政主管部门颁发有效的市政公用工程施工总承包叁级（含）以上资质或根据《住房和城乡建设部关于印发建设工程企业资质管理制度改革方案的通知（【建市〔2020〕94 号】）的规定已换发新证取得相应资质。（提供资质证书复印件加盖公章）</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安全生产许可证</w:t>
            </w:r>
          </w:p>
        </w:tc>
        <w:tc>
          <w:tcPr>
            <w:tcW w:type="dxa" w:w="3322"/>
          </w:tcPr>
          <w:p>
            <w:pPr>
              <w:pStyle w:val="null3"/>
              <w:jc w:val="left"/>
            </w:pPr>
            <w:r>
              <w:rPr>
                <w:rFonts w:ascii="仿宋_GB2312" w:hAnsi="仿宋_GB2312" w:cs="仿宋_GB2312" w:eastAsia="仿宋_GB2312"/>
              </w:rPr>
              <w:t>供应商须具备住房和城乡建设厅颁发有效的《安全生产许可证》。（提供安全生产许可证复印件加盖公章）</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项目经理</w:t>
            </w:r>
          </w:p>
        </w:tc>
        <w:tc>
          <w:tcPr>
            <w:tcW w:type="dxa" w:w="3322"/>
          </w:tcPr>
          <w:p>
            <w:pPr>
              <w:pStyle w:val="null3"/>
              <w:jc w:val="left"/>
            </w:pPr>
            <w:r>
              <w:rPr>
                <w:rFonts w:ascii="仿宋_GB2312" w:hAnsi="仿宋_GB2312" w:cs="仿宋_GB2312" w:eastAsia="仿宋_GB2312"/>
              </w:rPr>
              <w:t>拟派项目经理须具备市政公用工程专业二级（含以上级）注册建造师执业资格，且未担任其他在施建设工程项目的项目经理（提供建造师注册证书、2024年10月至今任意一个月社保证明和项目经理无在建项目声明函）</w:t>
            </w:r>
          </w:p>
        </w:tc>
        <w:tc>
          <w:tcPr>
            <w:tcW w:type="dxa" w:w="1661"/>
          </w:tcPr>
          <w:p>
            <w:pPr>
              <w:pStyle w:val="null3"/>
              <w:jc w:val="left"/>
            </w:pPr>
            <w:r>
              <w:rPr>
                <w:rFonts w:ascii="仿宋_GB2312" w:hAnsi="仿宋_GB2312" w:cs="仿宋_GB2312" w:eastAsia="仿宋_GB2312"/>
              </w:rPr>
              <w:t>项目管理人员情况表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诚信档案手册</w:t>
            </w:r>
          </w:p>
        </w:tc>
        <w:tc>
          <w:tcPr>
            <w:tcW w:type="dxa" w:w="3322"/>
          </w:tcPr>
          <w:p>
            <w:pPr>
              <w:pStyle w:val="null3"/>
              <w:jc w:val="left"/>
            </w:pPr>
            <w:r>
              <w:rPr>
                <w:rFonts w:ascii="仿宋_GB2312" w:hAnsi="仿宋_GB2312" w:cs="仿宋_GB2312" w:eastAsia="仿宋_GB2312"/>
              </w:rPr>
              <w:t>供应商须提供在海南省住房和城乡建设厅网站登录海南省房屋建筑工程全过程监管信息平台完成《海南省建筑企业诚信档案手册》登记，并填报项目名称、项目地址、派驻的项目班子人员信息，打印生成诚信档案手册（提供诚信档案手册复印件加盖公章）；</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提供“政府采购供应商信用承诺书”，详见政“政府采购供应商信用承诺书”格式</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无环保类行政处罚记录声明函</w:t>
            </w:r>
          </w:p>
        </w:tc>
        <w:tc>
          <w:tcPr>
            <w:tcW w:type="dxa" w:w="3322"/>
          </w:tcPr>
          <w:p>
            <w:pPr>
              <w:pStyle w:val="null3"/>
              <w:jc w:val="left"/>
            </w:pPr>
            <w:r>
              <w:rPr>
                <w:rFonts w:ascii="仿宋_GB2312" w:hAnsi="仿宋_GB2312" w:cs="仿宋_GB2312" w:eastAsia="仿宋_GB2312"/>
              </w:rPr>
              <w:t>提供无环保类行政处罚记录声明函：详见磋商文件格式</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项目管理人员情况表 开标（报价）一览表 中小企业声明函 商务应答表 政府采购供应商信用承诺书 自觉抵制政府采购领域商业贿赂行为承诺书 封面 商业信誉、财务会计制度、缴纳税收和社保的承诺函 具有独立承担民事责任的能力证明文件 供应商承诺函 无不良信用记录承诺书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 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供应商提供的施工方案与技术措施包括但不限于：（1）施工进度、（2）施工方法、（3）人员安排、（4）质量保证措施等内容，提供上述每项内容得1分，满分4分，未提供不得分，在满足上述每项内容得分基础上，评标委员会根据提供的方案内容进行综合评审： A.施工方案与技术措施科学合理，适用性强，思路清晰，内容全面，能够根据实际情况制订，满足采购人的需要，考虑问题周全，实施过程务实，各项指标均能完成的，得4.1-6.0分； B.施工方案与技术措施基本能够满足采购需要，操作性不强的，得2.1-4.0分； C.施工方案与技术措施不合理的，得0.1-2.0分 ； D.不提供的，得0分。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供应商提供的质量管理体系与措施进行比较赋分，包括但不限于：（1）质量保证体系、（2）质量管理制度、（3）质量保证措施等，提供上述每项内容得1分，满分3分，未提供不得分，在满足上述每项内容得分基础上，评标委员会在根据上述提供的内容进行综合评审： A.质量管理体系与措施科学合理，适用性强，思路清晰，内容全面，能够根据实际情况制订，满足采购人的需要，考虑问题周全，实施过程务实，各项指标均能完成的，得5.1-7.0分； B.质量管理体系与措施基本能够满足采购需要，操作性不强的，得3.1-5.0分； C.质量管理体系与措施不合理的，得0.1-3.0分； D.不提供的，得0分。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供应商提供的安全管理体系与措施进行比较赋分，包括但不限于：（1）安全管理制度、（2）安全保证措施、（3）安全文明施工措施等，提供上述每项内容得1分，满分3分，在满足上述每项内容得分基础上，评标委员会在根据上述提供的内容进行综合评审： A.安全管理体系与措施科学合理，适用性强，思路清晰，内容全面，能够根据实际情况制订，满足采购人的需要，考虑问题周全，实施过程务实，各项指标均能完成的，得5.1-7.0分； B.安全管理体系与措施基本能够满足采购需要，操作性不强的，得3.1-5.0分； C.安全管理体系与措施不合理的，得0.1-3.0分； D.不提供的，得0分。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供应商提供的工程进度计划与措施进行比较赋分，包括但不限于：（1）施工进度计划、（2）施工进度保证措施，提供上述每项内容得1.5分，满分3分，在满足上述每项内容得分基础上，评标委员会在根据上述提供的内容进行综合评审： A.工程进度计划与措施科学合理，适用性强，思路清晰，内容全面，能够根据实际情况制订，满足采购人的需要，考虑问题周全，实施过程务实，各项指标均能完成的，得5.1-7.0分； B.工程进度计划与措施基本能够满足采购需要，操作性不强的，得3.1-5.0分； C.工程进度计划与措施不合理的，得0.1-3.0分； D.不提供的，得0分。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根据供应商提供的环保管理体系与措施进行比较赋分，包括但不限于：（1）环保管理体系、（2）施工过程环保措施、（3）环保监督与改进措施，提供上述每项内容得1分，满分3分，在满足上述每项内容得分基础上，评标委员会在根据上述提供的内容进行综合评审： A.环保管理体系与措施科学合理，适用性强，思路清晰，内容全面，能够根据实际情况制订，满足采购人的需要，考虑问题周全，实施过程务实，各项指标均能完成的，得5.1-7.0分 B.环保管理体系与措施基本能够满足采购需要，操作性不强的，得3.1-5.0分 C.环保管理体系与措施不合理的，得0.1-3.0分； D.不提供的，得0分。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2022年1月1日至今，供应商承接的类似项目业绩，每提供一个得5分，最高得10分。 证明材料：提供业绩合同复印件加盖公章（以合同签订时间为准），同一合同不重复计分。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人员实力</w:t>
            </w:r>
          </w:p>
        </w:tc>
        <w:tc>
          <w:tcPr>
            <w:tcW w:type="dxa" w:w="2492"/>
          </w:tcPr>
          <w:p>
            <w:pPr>
              <w:pStyle w:val="null3"/>
              <w:jc w:val="left"/>
            </w:pPr>
            <w:r>
              <w:rPr>
                <w:rFonts w:ascii="仿宋_GB2312" w:hAnsi="仿宋_GB2312" w:cs="仿宋_GB2312" w:eastAsia="仿宋_GB2312"/>
              </w:rPr>
              <w:t>1.技术负责人具有市政公用工程相关专业中级或以上职称得5分。 注：响应文件中须提供有效的职称证书及相关人员2024年10月至今任意一个月在本单位缴纳的社保凭证材料加盖单位公章，提供不齐不得分。 2.除项目经理和技术负责人外要求配备人员：施工员1名、安全员1名、质量员1名、资料员1名（可兼任）、劳资专管员1名，配备齐全得5分，每少一人扣1分，扣完为止，满分 5 分。 证明材料：劳资专管员提供投标单位自行出具的岗位任命书；其他人员提供对应岗位证书或电子培训合格证（安全员还可选择提供安全生产考核合格证（C 证）及上述人员2024年10月至今任意一个月在本单位缴纳的社保证明材料加盖公章。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项目管理人员情况表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详见附件：建设工程施工合同（参考模版）.docx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HNZXD-2025025</w:t>
      </w:r>
    </w:p>
    <w:p>
      <w:pPr>
        <w:pStyle w:val="null3"/>
        <w:jc w:val="left"/>
      </w:pPr>
      <w:r>
        <w:rPr>
          <w:rFonts w:ascii="仿宋_GB2312" w:hAnsi="仿宋_GB2312" w:cs="仿宋_GB2312" w:eastAsia="仿宋_GB2312"/>
        </w:rPr>
        <w:t>项目名称：</w:t>
      </w:r>
      <w:r>
        <w:rPr>
          <w:rFonts w:ascii="仿宋_GB2312" w:hAnsi="仿宋_GB2312" w:cs="仿宋_GB2312" w:eastAsia="仿宋_GB2312"/>
        </w:rPr>
        <w:t>育才生态区龙密村玉林小组基础设施提升工程</w:t>
      </w:r>
    </w:p>
    <w:p>
      <w:pPr>
        <w:pStyle w:val="null3"/>
        <w:jc w:val="left"/>
      </w:pPr>
      <w:r>
        <w:rPr>
          <w:rFonts w:ascii="仿宋_GB2312" w:hAnsi="仿宋_GB2312" w:cs="仿宋_GB2312" w:eastAsia="仿宋_GB2312"/>
        </w:rPr>
        <w:t>采购包：</w:t>
      </w:r>
      <w:r>
        <w:rPr>
          <w:rFonts w:ascii="仿宋_GB2312" w:hAnsi="仿宋_GB2312" w:cs="仿宋_GB2312" w:eastAsia="仿宋_GB2312"/>
        </w:rPr>
        <w:t>育才生态区龙密村玉林小组基础设施提升工程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B99000000-其他建筑工程</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2112389.02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详见附件：无不良信用记录承诺书</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