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overflowPunct w:val="0"/>
        <w:spacing w:before="156" w:beforeLines="50" w:after="156" w:afterLines="50" w:line="360" w:lineRule="auto"/>
        <w:ind w:firstLine="0"/>
        <w:jc w:val="center"/>
        <w:rPr>
          <w:rFonts w:hint="default" w:ascii="Times New Roman" w:hAnsi="Times New Roman" w:eastAsia="宋体" w:cs="Times New Roman"/>
          <w:b/>
          <w:color w:val="auto"/>
          <w:sz w:val="36"/>
          <w:szCs w:val="36"/>
          <w:highlight w:val="none"/>
        </w:rPr>
      </w:pPr>
      <w:r>
        <w:rPr>
          <w:rFonts w:hint="eastAsia" w:eastAsia="宋体" w:cs="Times New Roman"/>
          <w:b/>
          <w:color w:val="auto"/>
          <w:sz w:val="36"/>
          <w:szCs w:val="36"/>
          <w:highlight w:val="none"/>
          <w:lang w:val="en-US" w:eastAsia="zh-CN"/>
        </w:rPr>
        <w:t>商务</w:t>
      </w:r>
      <w:r>
        <w:rPr>
          <w:rFonts w:hint="default" w:ascii="Times New Roman" w:hAnsi="Times New Roman" w:eastAsia="宋体" w:cs="Times New Roman"/>
          <w:b/>
          <w:color w:val="auto"/>
          <w:sz w:val="36"/>
          <w:szCs w:val="36"/>
          <w:highlight w:val="none"/>
        </w:rPr>
        <w:t>技术偏差一览表</w:t>
      </w:r>
    </w:p>
    <w:p>
      <w:pPr>
        <w:spacing w:line="360" w:lineRule="auto"/>
        <w:rPr>
          <w:rFonts w:hint="default" w:ascii="Times New Roman" w:hAnsi="Times New Roman" w:cs="Times New Roman"/>
          <w:i w:val="0"/>
          <w:iCs w:val="0"/>
          <w:color w:val="auto"/>
          <w:sz w:val="24"/>
          <w:highlight w:val="none"/>
          <w:u w:val="none"/>
          <w:lang w:eastAsia="zh-CN"/>
        </w:rPr>
      </w:pPr>
      <w:r>
        <w:rPr>
          <w:rFonts w:hint="default" w:ascii="Times New Roman" w:hAnsi="Times New Roman" w:cs="Times New Roman"/>
          <w:i w:val="0"/>
          <w:iCs w:val="0"/>
          <w:color w:val="auto"/>
          <w:sz w:val="24"/>
          <w:highlight w:val="none"/>
          <w:u w:val="none"/>
        </w:rPr>
        <w:t>项目名称：</w:t>
      </w:r>
    </w:p>
    <w:p>
      <w:pPr>
        <w:spacing w:line="360" w:lineRule="auto"/>
        <w:rPr>
          <w:rFonts w:hint="default" w:ascii="Times New Roman" w:hAnsi="Times New Roman" w:eastAsia="宋体" w:cs="Times New Roman"/>
          <w:i w:val="0"/>
          <w:iCs w:val="0"/>
          <w:color w:val="auto"/>
          <w:u w:val="none"/>
          <w:lang w:val="en-US" w:eastAsia="zh-CN"/>
        </w:rPr>
      </w:pPr>
      <w:r>
        <w:rPr>
          <w:rFonts w:hint="default" w:ascii="Times New Roman" w:hAnsi="Times New Roman" w:cs="Times New Roman"/>
          <w:i w:val="0"/>
          <w:iCs w:val="0"/>
          <w:color w:val="auto"/>
          <w:sz w:val="24"/>
          <w:highlight w:val="none"/>
          <w:u w:val="none"/>
        </w:rPr>
        <w:t>项目编号：</w:t>
      </w:r>
    </w:p>
    <w:tbl>
      <w:tblPr>
        <w:tblStyle w:val="9"/>
        <w:tblW w:w="989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4"/>
        <w:gridCol w:w="6092"/>
        <w:gridCol w:w="1748"/>
        <w:gridCol w:w="13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2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序号</w:t>
            </w:r>
          </w:p>
        </w:tc>
        <w:tc>
          <w:tcPr>
            <w:tcW w:w="6092"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hAnsi="宋体" w:cs="宋体"/>
                <w:color w:val="000000" w:themeColor="text1"/>
                <w:sz w:val="21"/>
                <w:szCs w:val="21"/>
                <w:highlight w:val="none"/>
                <w:lang w:val="en-US" w:eastAsia="zh-CN"/>
                <w14:textFill>
                  <w14:solidFill>
                    <w14:schemeClr w14:val="tx1"/>
                  </w14:solidFill>
                </w14:textFill>
              </w:rPr>
              <w:t>招标</w:t>
            </w:r>
            <w:r>
              <w:rPr>
                <w:rFonts w:hint="eastAsia" w:ascii="宋体" w:hAnsi="宋体" w:eastAsia="宋体" w:cs="宋体"/>
                <w:color w:val="000000" w:themeColor="text1"/>
                <w:sz w:val="21"/>
                <w:szCs w:val="21"/>
                <w:highlight w:val="none"/>
                <w:lang w:val="en-US" w:eastAsia="zh-CN"/>
                <w14:textFill>
                  <w14:solidFill>
                    <w14:schemeClr w14:val="tx1"/>
                  </w14:solidFill>
                </w14:textFill>
              </w:rPr>
              <w:t>文件</w:t>
            </w:r>
            <w:r>
              <w:rPr>
                <w:rFonts w:hint="eastAsia" w:ascii="宋体" w:hAnsi="宋体" w:eastAsia="宋体" w:cs="宋体"/>
                <w:color w:val="000000" w:themeColor="text1"/>
                <w:sz w:val="21"/>
                <w:szCs w:val="21"/>
                <w:highlight w:val="none"/>
                <w14:textFill>
                  <w14:solidFill>
                    <w14:schemeClr w14:val="tx1"/>
                  </w14:solidFill>
                </w14:textFill>
              </w:rPr>
              <w:t>中技术要求</w:t>
            </w:r>
          </w:p>
        </w:tc>
        <w:tc>
          <w:tcPr>
            <w:tcW w:w="1748"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投标人商务技术</w:t>
            </w:r>
            <w:bookmarkStart w:id="0" w:name="_GoBack"/>
            <w:bookmarkEnd w:id="0"/>
            <w:r>
              <w:rPr>
                <w:rFonts w:hint="eastAsia" w:ascii="宋体" w:hAnsi="宋体" w:eastAsia="宋体" w:cs="宋体"/>
                <w:color w:val="000000" w:themeColor="text1"/>
                <w:sz w:val="21"/>
                <w:szCs w:val="21"/>
                <w:highlight w:val="none"/>
                <w:lang w:val="en-US" w:eastAsia="zh-CN"/>
                <w14:textFill>
                  <w14:solidFill>
                    <w14:schemeClr w14:val="tx1"/>
                  </w14:solidFill>
                </w14:textFill>
              </w:rPr>
              <w:t>响应情况描述</w:t>
            </w:r>
          </w:p>
        </w:tc>
        <w:tc>
          <w:tcPr>
            <w:tcW w:w="133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响应情况说</w:t>
            </w:r>
          </w:p>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明（＋/=</w:t>
            </w:r>
          </w:p>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p>
        </w:tc>
        <w:tc>
          <w:tcPr>
            <w:tcW w:w="6092"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(一)蔬菜</w:t>
            </w:r>
          </w:p>
          <w:p>
            <w:pPr>
              <w:pStyle w:val="6"/>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1、瓜、果等蔬菜必须是新鲜，应季的优质货品，不得含有残留农药或污染物，中标人必须保证所供应蔬菜必须符合卫生质量标准，同时承担因所供蔬菜问题引起的一切事故后果。</w:t>
            </w:r>
          </w:p>
        </w:tc>
        <w:tc>
          <w:tcPr>
            <w:tcW w:w="1748"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33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03" w:hRule="atLeast"/>
          <w:jc w:val="center"/>
        </w:trPr>
        <w:tc>
          <w:tcPr>
            <w:tcW w:w="724" w:type="dxa"/>
            <w:shd w:val="clear" w:color="auto" w:fill="auto"/>
            <w:noWrap w:val="0"/>
            <w:vAlign w:val="center"/>
          </w:tcPr>
          <w:p>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p>
        </w:tc>
        <w:tc>
          <w:tcPr>
            <w:tcW w:w="6092" w:type="dxa"/>
            <w:noWrap w:val="0"/>
            <w:vAlign w:val="center"/>
          </w:tcPr>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(二)畜禽肉</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1、采购的肉类食材必须保证新鲜现杀好的，外观颜色正常，有光泽，质地坚实，有弹性，气味正常，严禁出现注水现象。</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2、水产品类必须符合检验检疫标准，需使用食品级牢固塑料袋包装。</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鱼类保证天然色有光泽，腹不膨胀；鱼眼饱满、清亮，角膜无下陷光亮透明;鱼鳃紧合不易脱落，鳃片鲜红带血，鳃丝清晰，呈鲜红或紫红色，不能发白和有黏液;鱼体表面鲜亮有光泽。鱼肉表面无黏液，不黏手；鱼肉坚实有弹性，按后不能留指印；鱼鳞不易剥落；整体无异味，无畸形、无寄生虫。</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3、生鲜食材运至我单位前储存时间不得过长，以保证绝对新鲜。</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t>4、必须保证每次送货运至我单位前储存时间不得过长，以保证不变质，严禁使用违禁药品，无公害、无残药、无激素。大小均匀，新鲜完整、无破损、不变质，表面清洁，无泥污等杂物</w:t>
            </w:r>
          </w:p>
        </w:tc>
        <w:tc>
          <w:tcPr>
            <w:tcW w:w="1748"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33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shd w:val="clear" w:color="auto" w:fill="auto"/>
            <w:noWrap w:val="0"/>
            <w:vAlign w:val="center"/>
          </w:tcPr>
          <w:p>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c>
          <w:tcPr>
            <w:tcW w:w="6092" w:type="dxa"/>
            <w:noWrap w:val="0"/>
            <w:vAlign w:val="center"/>
          </w:tcPr>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(三)碾磨谷物及谷物加工品</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1、（袋装）生产日期为近期，包装完好，无污迹、破裂，干净、卫生；（散装）商品新鲜、有光泽、柔软，分量（规格）够，干净、卫生、封闭的周转箱。</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2、商品在保质期内（不超过 2/3 保质期）并且离保质期还有很长时间，商品的品牌和规格、等级均正确，商品的外包包装良好，无破埙、无受潮、无变质的现象。</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3、必须符合国家卫生标准，不得有腐烂、变质、霉变、生虫、污秽不洁、混有异物或者其他感官性状异常，并可能对人体健康有害的物质。</w:t>
            </w:r>
          </w:p>
        </w:tc>
        <w:tc>
          <w:tcPr>
            <w:tcW w:w="1748"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33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shd w:val="clear" w:color="auto" w:fill="auto"/>
            <w:noWrap w:val="0"/>
            <w:vAlign w:val="center"/>
          </w:tcPr>
          <w:p>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p>
        </w:tc>
        <w:tc>
          <w:tcPr>
            <w:tcW w:w="6092" w:type="dxa"/>
            <w:noWrap w:val="0"/>
            <w:vAlign w:val="center"/>
          </w:tcPr>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（四）植物油及其制品</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使用非转基因油，应色泽良好，无异味、无霉变，有正规生产厂家合格证书，供货时提供产品检验合格证书，包装完整，同时包装要印有注册商标、生产厂家名称、厂址、生产日期、产品合格证、保质期限、产品成分、厂家电话号码等。</w:t>
            </w:r>
          </w:p>
        </w:tc>
        <w:tc>
          <w:tcPr>
            <w:tcW w:w="1748"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33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shd w:val="clear" w:color="auto" w:fill="auto"/>
            <w:noWrap w:val="0"/>
            <w:vAlign w:val="center"/>
          </w:tcPr>
          <w:p>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p>
        </w:tc>
        <w:tc>
          <w:tcPr>
            <w:tcW w:w="6092" w:type="dxa"/>
            <w:noWrap w:val="0"/>
            <w:vAlign w:val="center"/>
          </w:tcPr>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（五）调味品</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为正规厂家生产的品牌产品，厂家信息、产品信息齐全、正规；生产日期清晰、真实、准确，采购人接收日期距货物生产日期的时间不得超过该货物质量保证期的1/3；内外包装完整、干净，无泄漏、涨袋；每批次产品要有明确的产品标准号、生产许可证编号以及生产许可证标识，拒绝一切“三无”产品。</w:t>
            </w:r>
          </w:p>
        </w:tc>
        <w:tc>
          <w:tcPr>
            <w:tcW w:w="1748"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33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noWrap w:val="0"/>
            <w:vAlign w:val="center"/>
          </w:tcPr>
          <w:p>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p>
        </w:tc>
        <w:tc>
          <w:tcPr>
            <w:tcW w:w="6092" w:type="dxa"/>
            <w:noWrap w:val="0"/>
            <w:vAlign w:val="center"/>
          </w:tcPr>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（一）、配送数量及价格</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1、配送数量：以采购人的实际需求为准。</w:t>
            </w:r>
          </w:p>
          <w:p>
            <w:pPr>
              <w:pStyle w:val="7"/>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2、配送价格：按中标折扣率执行。</w:t>
            </w:r>
          </w:p>
        </w:tc>
        <w:tc>
          <w:tcPr>
            <w:tcW w:w="1748"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33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noWrap w:val="0"/>
            <w:vAlign w:val="center"/>
          </w:tcPr>
          <w:p>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p>
        </w:tc>
        <w:tc>
          <w:tcPr>
            <w:tcW w:w="6092" w:type="dxa"/>
            <w:noWrap w:val="0"/>
            <w:vAlign w:val="center"/>
          </w:tcPr>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（二）、产品配送要求</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1、配送</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1.1、中标人需严格按照采购人书面通知配送安全新鲜、符合国家规定标准的标的物。配送的所有标的物，在满足国家、行业标准的基础上，均应达到无公害食品的标准。</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1.2、中标人应在采购合同签订7日内向采购人提供其完善后的配送、储藏、延误、危情处理等工作方案或预案，经采购人审核同意后执行。</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1.3、中标人必须确定专人、专车，按合同的约定，将标的物配送到采购人指定的地点。</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1.4、中标人必须指定专人参加配送及联系工作，必须保证24小时电话畅通，如果被指定专人变更或联系电话发生变化应及时通报采购人。</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1.5、中标人必须保证产品质量安全和运输安全，凡因产品质量安全问题和向采购人派送标的物途中的一切安全问题，均由中标人承担全部责任。</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1.6、中标人应根据采购人相关文件规定的正常工作时间进行配送。</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1.7、如遇临时任务，需要加菜或者台风天气等特殊情况，中标人必须保障准时配送。</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2、储存</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中标人要保证配送的标的物存放场地的环境卫生整洁，空气流通，符合国家卫生要求，避免腐坏、变质或被老鼠、蟑螂或蚂蚁等害虫叮咬。</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3、加工</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中标人要保证配送的副食品是质保期内的合格产品。中标人应安排专人负责副食品的存储管理和加工工作。</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4、验收</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中标人按采购人要求的产品种类及数量送至采购人指定地点，配送的食品由双方共同验收，验收合格后在供货清单上签字确认。不符合验收标准的，采购人有权拒收。所有损失由中标人承担。</w:t>
            </w:r>
          </w:p>
        </w:tc>
        <w:tc>
          <w:tcPr>
            <w:tcW w:w="1748"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33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noWrap w:val="0"/>
            <w:vAlign w:val="center"/>
          </w:tcPr>
          <w:p>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p>
        </w:tc>
        <w:tc>
          <w:tcPr>
            <w:tcW w:w="6092" w:type="dxa"/>
            <w:noWrap w:val="0"/>
            <w:vAlign w:val="center"/>
          </w:tcPr>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（三）、质量保证及售后服务</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1、产品质量保证</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投标人必须书面承诺:配送的标的物，从出厂开始到采购人食用结束全过程的各个环节，均按照最新的国家标准规范配送和存储保鲜，确保卫生安全和新鲜。</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2、售后服务保证</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投标人须对售后服务进行书面承诺(承诺函格式自定)。未进行承诺的投标人，视为无效投标。</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2.1、因标的物质量问题给食用人员身心健康带来影响或发生疾病，伤亡事故，承担全部经济和法律责任。若因产品质量原因出现的安全、卫生问题，由中标人承担全部责任。</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2.2、按质、按时、按量、按合同做好供应服务工作;按照监管部门要求严把质量关。</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2.3、对标的物提供质量保证，对问题食材应于当天无条件更换。</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2.4、确定工作认真负责、身体健康(有健康证)的人员对口衔接采购人，建立接送卡，专人配送。</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2.5、严格执行配送标的物的检验、留样、放行程序，对每批次出厂的配送标的物都留样备查。</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2.6、定期接受随机抽样检查，检验费用由中标人支付。</w:t>
            </w:r>
          </w:p>
        </w:tc>
        <w:tc>
          <w:tcPr>
            <w:tcW w:w="1748"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33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noWrap w:val="0"/>
            <w:vAlign w:val="center"/>
          </w:tcPr>
          <w:p>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w:t>
            </w:r>
          </w:p>
        </w:tc>
        <w:tc>
          <w:tcPr>
            <w:tcW w:w="6092" w:type="dxa"/>
            <w:noWrap w:val="0"/>
            <w:vAlign w:val="center"/>
          </w:tcPr>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(一)交货地点</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中标人在合同规定的起止时间内，指派专人、专车，按照采购人提供的标的物种类及数量、供应时间等，按时将标的物送到采购人指定的地点。</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(二)安全卫生检查</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中标人必须接受由采购人有关职能部门组成的检查小组对标的物供应实施情况进行定期和不定期检查。</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(三)付款方式与结算</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中标人每月凭采购人出具的实际领取的副食统计表(相关有效部门签字及盖章)，经审核后，可到采购人相关部门办理货款支付手续。结算金额以实际配送数量为准。</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(四)配送服务年限:三年，合同采取一年一签</w:t>
            </w:r>
          </w:p>
          <w:p>
            <w:pPr>
              <w:pStyle w:val="7"/>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(五)送过程中产生的税费全部由成交单位负责。</w:t>
            </w:r>
          </w:p>
        </w:tc>
        <w:tc>
          <w:tcPr>
            <w:tcW w:w="1748"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334" w:type="dxa"/>
            <w:noWrap w:val="0"/>
            <w:vAlign w:val="center"/>
          </w:tcPr>
          <w:p>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bl>
    <w:p>
      <w:pPr>
        <w:spacing w:line="360" w:lineRule="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注：1.“响应情况说明”应按下列规定填写对招标文件技术条款的响应情况：优于的视为正偏离，填写“＋”；符合的视为满足，填写“=”；低于的视为负偏离或不满足，填写“-”；如不按规定填写或不填写的，均视为不响应。</w:t>
      </w:r>
    </w:p>
    <w:p>
      <w:pPr>
        <w:adjustRightInd w:val="0"/>
        <w:snapToGrid w:val="0"/>
        <w:spacing w:beforeLines="50" w:afterLines="50"/>
        <w:ind w:firstLine="3840" w:firstLineChars="1600"/>
        <w:rPr>
          <w:sz w:val="24"/>
        </w:rPr>
      </w:pPr>
      <w:r>
        <w:rPr>
          <w:rFonts w:hint="eastAsia"/>
          <w:sz w:val="24"/>
          <w:lang w:val="en-US" w:eastAsia="zh-CN"/>
        </w:rPr>
        <w:t>投标人</w:t>
      </w:r>
      <w:r>
        <w:rPr>
          <w:rFonts w:hint="eastAsia"/>
          <w:sz w:val="24"/>
        </w:rPr>
        <w:t>：</w:t>
      </w:r>
      <w:r>
        <w:rPr>
          <w:rFonts w:hint="eastAsia"/>
          <w:iCs/>
          <w:sz w:val="24"/>
        </w:rPr>
        <w:t>（填写名称并盖章）</w:t>
      </w:r>
    </w:p>
    <w:p>
      <w:pPr>
        <w:adjustRightInd w:val="0"/>
        <w:snapToGrid w:val="0"/>
        <w:spacing w:beforeLines="50"/>
        <w:ind w:firstLine="3840" w:firstLineChars="1600"/>
        <w:rPr>
          <w:iCs/>
          <w:sz w:val="24"/>
          <w:szCs w:val="21"/>
        </w:rPr>
      </w:pPr>
      <w:r>
        <w:rPr>
          <w:rFonts w:hint="eastAsia"/>
          <w:iCs/>
          <w:sz w:val="24"/>
          <w:szCs w:val="21"/>
        </w:rPr>
        <w:t>日期：</w:t>
      </w:r>
    </w:p>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swiss"/>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2ZjZhYzM3MWY0ZWIxMGMwMWZmMjE4OWExNTM4ZGUifQ=="/>
  </w:docVars>
  <w:rsids>
    <w:rsidRoot w:val="3D096BBD"/>
    <w:rsid w:val="01575F1E"/>
    <w:rsid w:val="0A9B28F7"/>
    <w:rsid w:val="1F6B5310"/>
    <w:rsid w:val="3D096BBD"/>
    <w:rsid w:val="505428F9"/>
    <w:rsid w:val="57077FCE"/>
    <w:rsid w:val="68576E73"/>
    <w:rsid w:val="76660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header"/>
    <w:basedOn w:val="1"/>
    <w:next w:val="3"/>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3">
    <w:name w:val="caption"/>
    <w:basedOn w:val="1"/>
    <w:next w:val="1"/>
    <w:qFormat/>
    <w:uiPriority w:val="0"/>
    <w:rPr>
      <w:rFonts w:ascii="Arial" w:hAnsi="Arial" w:eastAsia="黑体"/>
      <w:sz w:val="20"/>
    </w:rPr>
  </w:style>
  <w:style w:type="paragraph" w:styleId="4">
    <w:name w:val="Normal Indent"/>
    <w:basedOn w:val="1"/>
    <w:unhideWhenUsed/>
    <w:qFormat/>
    <w:uiPriority w:val="99"/>
    <w:pPr>
      <w:adjustRightInd w:val="0"/>
      <w:ind w:firstLine="420"/>
      <w:jc w:val="left"/>
      <w:textAlignment w:val="baseline"/>
    </w:pPr>
    <w:rPr>
      <w:rFonts w:eastAsia="楷体_GB2312"/>
      <w:sz w:val="24"/>
      <w:szCs w:val="20"/>
    </w:rPr>
  </w:style>
  <w:style w:type="paragraph" w:styleId="5">
    <w:name w:val="Body Text Indent"/>
    <w:basedOn w:val="1"/>
    <w:unhideWhenUsed/>
    <w:qFormat/>
    <w:uiPriority w:val="99"/>
    <w:pPr>
      <w:spacing w:after="120"/>
      <w:ind w:left="420" w:leftChars="200"/>
    </w:pPr>
  </w:style>
  <w:style w:type="paragraph" w:styleId="6">
    <w:name w:val="Plain Text"/>
    <w:basedOn w:val="1"/>
    <w:next w:val="7"/>
    <w:qFormat/>
    <w:uiPriority w:val="0"/>
    <w:rPr>
      <w:rFonts w:ascii="宋体" w:hAnsi="Courier New"/>
    </w:rPr>
  </w:style>
  <w:style w:type="paragraph" w:customStyle="1" w:styleId="7">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8">
    <w:name w:val="Body Text First Indent 2"/>
    <w:basedOn w:val="5"/>
    <w:unhideWhenUsed/>
    <w:qFormat/>
    <w:uiPriority w:val="99"/>
    <w:pPr>
      <w:ind w:firstLine="420" w:firstLineChars="200"/>
    </w:pPr>
  </w:style>
  <w:style w:type="paragraph" w:customStyle="1" w:styleId="11">
    <w:name w:val="Table Paragraph"/>
    <w:basedOn w:val="1"/>
    <w:qFormat/>
    <w:uiPriority w:val="1"/>
    <w:rPr>
      <w:rFonts w:ascii="宋体" w:hAnsi="宋体" w:cs="宋体"/>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2161</Words>
  <Characters>2168</Characters>
  <Lines>0</Lines>
  <Paragraphs>0</Paragraphs>
  <TotalTime>0</TotalTime>
  <ScaleCrop>false</ScaleCrop>
  <LinksUpToDate>false</LinksUpToDate>
  <CharactersWithSpaces>2170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2025-07-01T10:30:00Z</dcterms:created>
  <dc:creator>Change</dc:creator>
  <cp:lastModifiedBy>Change</cp:lastModifiedBy>
  <dcterms:modified xsi:type="dcterms:W3CDTF">2025-07-23T02:58:45Z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7E7110E606F14B249752009718CB7A0F_11</vt:lpwstr>
  </property>
</Properties>
</file>