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三亚市迎宾中学食堂食材采购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ZRHN-2025-052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三亚市迎宾中学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致瑞（海南）项目管理有限公司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三亚市迎宾中学</w:t>
      </w:r>
      <w:r>
        <w:rPr>
          <w:rFonts w:ascii="仿宋_GB2312" w:hAnsi="仿宋_GB2312" w:cs="仿宋_GB2312" w:eastAsia="仿宋_GB2312"/>
        </w:rPr>
        <w:t xml:space="preserve"> 委托， </w:t>
      </w:r>
      <w:r>
        <w:rPr>
          <w:rFonts w:ascii="仿宋_GB2312" w:hAnsi="仿宋_GB2312" w:cs="仿宋_GB2312" w:eastAsia="仿宋_GB2312"/>
        </w:rPr>
        <w:t>致瑞（海南）项目管理有限公司</w:t>
      </w:r>
      <w:r>
        <w:rPr>
          <w:rFonts w:ascii="仿宋_GB2312" w:hAnsi="仿宋_GB2312" w:cs="仿宋_GB2312" w:eastAsia="仿宋_GB2312"/>
        </w:rPr>
        <w:t xml:space="preserve"> 对 </w:t>
      </w:r>
      <w:r>
        <w:rPr>
          <w:rFonts w:ascii="仿宋_GB2312" w:hAnsi="仿宋_GB2312" w:cs="仿宋_GB2312" w:eastAsia="仿宋_GB2312"/>
        </w:rPr>
        <w:t>三亚市迎宾中学食堂食材采购</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ZRHN-2025-052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三亚市迎宾中学食堂食材采购</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3,800,000.00元</w:t>
      </w:r>
      <w:r>
        <w:rPr>
          <w:rFonts w:ascii="仿宋_GB2312" w:hAnsi="仿宋_GB2312" w:cs="仿宋_GB2312" w:eastAsia="仿宋_GB2312"/>
        </w:rPr>
        <w:t>叁佰捌拾万元整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三年，合同采取一年一签</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1、无环保类行政处罚记录：参加政府采购活动前三年内（2022年1月1日起至今，成立不满三年的自公司成立之日起算），无环保类行政处罚记录声明函（提供声明函）</w:t>
      </w:r>
    </w:p>
    <w:p>
      <w:pPr>
        <w:pStyle w:val="null3"/>
        <w:jc w:val="left"/>
      </w:pPr>
      <w:r>
        <w:rPr>
          <w:rFonts w:ascii="仿宋_GB2312" w:hAnsi="仿宋_GB2312" w:cs="仿宋_GB2312" w:eastAsia="仿宋_GB2312"/>
        </w:rPr>
        <w:t>2、具有有效的食品经营许可证：具有有效的食品经营许可证（提供有效的食品经营许可证）</w:t>
      </w:r>
    </w:p>
    <w:p>
      <w:pPr>
        <w:pStyle w:val="null3"/>
        <w:jc w:val="left"/>
      </w:pPr>
      <w:r>
        <w:rPr>
          <w:rFonts w:ascii="仿宋_GB2312" w:hAnsi="仿宋_GB2312" w:cs="仿宋_GB2312" w:eastAsia="仿宋_GB2312"/>
        </w:rPr>
        <w:t>3、提供政府采购供应商信用承诺书：提供政府采购供应商信用承诺书</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2.有关本项目招标文件的补遗、澄清及变更信息以上述网站公告与下载为准，采购代理机构不再另行通知，招标文件与更正公告的内容相互矛盾时，以最后发出的更正公告内容为准。 3.本项目为远程不见面方式（供应商无需到现场）。 4.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银行的公司业务部申请信用贷款。</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三亚市迎宾中学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三亚市吉阳区海螺东路3号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0898-88330919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致瑞（海南）项目管理有限公司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海南省三亚市吉阳区迎宾路蓝立方苏商大厦1205室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0898-38210812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采购包1：3,800,000.00元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投标截止时间届满后90日历天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代理服务费收费标准：在中标通知书发出前由中标人一次性向我司支付100%的招标代理服务费84800元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（1）本次采购标的所属行业为批发业。 （2）本项目采用折扣报价，投标人报价不得低于85%。</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联系人：胡工</w:t>
      </w:r>
    </w:p>
    <w:p>
      <w:pPr>
        <w:pStyle w:val="null3"/>
        <w:jc w:val="left"/>
      </w:pPr>
      <w:r>
        <w:rPr>
          <w:rFonts w:ascii="仿宋_GB2312" w:hAnsi="仿宋_GB2312" w:cs="仿宋_GB2312" w:eastAsia="仿宋_GB2312"/>
        </w:rPr>
        <w:t>联系电话：0898-38210812</w:t>
      </w:r>
    </w:p>
    <w:p>
      <w:pPr>
        <w:pStyle w:val="null3"/>
        <w:jc w:val="left"/>
      </w:pPr>
      <w:r>
        <w:rPr>
          <w:rFonts w:ascii="仿宋_GB2312" w:hAnsi="仿宋_GB2312" w:cs="仿宋_GB2312" w:eastAsia="仿宋_GB2312"/>
        </w:rPr>
        <w:t>地址：三亚市吉阳区苏商大厦1205室</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19"/>
          <w:color w:val="000000"/>
        </w:rPr>
        <w:t>为贯彻落实关于</w:t>
      </w:r>
      <w:r>
        <w:rPr>
          <w:rFonts w:ascii="仿宋_GB2312" w:hAnsi="仿宋_GB2312" w:cs="仿宋_GB2312" w:eastAsia="仿宋_GB2312"/>
          <w:sz w:val="19"/>
          <w:color w:val="000000"/>
        </w:rPr>
        <w:t>“</w:t>
      </w:r>
      <w:r>
        <w:rPr>
          <w:rFonts w:ascii="仿宋_GB2312" w:hAnsi="仿宋_GB2312" w:cs="仿宋_GB2312" w:eastAsia="仿宋_GB2312"/>
          <w:sz w:val="19"/>
          <w:color w:val="000000"/>
        </w:rPr>
        <w:t>厉行节约、反对浪费</w:t>
      </w:r>
      <w:r>
        <w:rPr>
          <w:rFonts w:ascii="仿宋_GB2312" w:hAnsi="仿宋_GB2312" w:cs="仿宋_GB2312" w:eastAsia="仿宋_GB2312"/>
          <w:sz w:val="19"/>
          <w:color w:val="000000"/>
        </w:rPr>
        <w:t>”</w:t>
      </w:r>
      <w:r>
        <w:rPr>
          <w:rFonts w:ascii="仿宋_GB2312" w:hAnsi="仿宋_GB2312" w:cs="仿宋_GB2312" w:eastAsia="仿宋_GB2312"/>
          <w:sz w:val="19"/>
          <w:color w:val="000000"/>
        </w:rPr>
        <w:t>的重要指示，严格落实各项节约措施，进一步降低食材成本，推进标准化食堂建设</w:t>
      </w:r>
      <w:r>
        <w:rPr>
          <w:rFonts w:ascii="仿宋_GB2312" w:hAnsi="仿宋_GB2312" w:cs="仿宋_GB2312" w:eastAsia="仿宋_GB2312"/>
          <w:sz w:val="19"/>
          <w:color w:val="000000"/>
        </w:rPr>
        <w:t>，提升服务保障水平。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3,800,000.00</w:t>
      </w:r>
    </w:p>
    <w:p>
      <w:pPr>
        <w:pStyle w:val="null3"/>
        <w:jc w:val="left"/>
      </w:pPr>
      <w:r>
        <w:rPr>
          <w:rFonts w:ascii="仿宋_GB2312" w:hAnsi="仿宋_GB2312" w:cs="仿宋_GB2312" w:eastAsia="仿宋_GB2312"/>
        </w:rPr>
        <w:t>采购包最高限价（元）: 3,800,000.00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A07060206-调味品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A07060102-碾磨谷物及谷物加工品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114,000.00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A07060107-畜禽肉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A07031201-蔬菜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A07060105-植物油及其制品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266,000.00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A07060206-调味品</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本次报价采取折扣率的形式进行报价。以市场询价确定的价格作为参考基准价。（例如：参考基准价=100元， 折扣率90%， 结算价格=100 *0.9*实际发生数量）。 1.基准价的确定：以三亚市发展和改革委员会公布的第一、第二、第三和港华农贸市场当日行情表内公布的价格作为基准价；2.投标人报价折扣不得低于85%。</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A07060102-碾磨谷物及谷物加工品</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本次报价采取折扣率的形式进行报价。以市场询价确定的价格作为参考基准价。（例如：参考基准价=100元， 折扣率90%， 结算价格=100 *0.9*实际发生数量）。 1.基准价的确定：以三亚市发展和改革委员会公布的第一、第二、第三和港华农贸市场当日行情表内公布的价格作为基准价；2.投标人报价折扣不得低于85%。</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A07060107-畜禽肉</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本次报价采取折扣率的形式进行报价。以市场询价确定的价格作为参考基准价。（例如：参考基准价=100元， 折扣率90%， 结算价格=100 *0.9*实际发生数量）。 1.基准价的确定：以三亚市发展和改革委员会公布的第一、第二、第三和港华农贸市场当日行情表内公布的价格作为基准价；2.投标人报价折扣不得低于85%。</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A07031201-蔬菜</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本次报价采取折扣率的形式进行报价。以市场询价确定的价格作为参考基准价。（例如：参考基准价=100元， 折扣率90%， 结算价格=100 *0.9*实际发生数量）。 1.基准价的确定：以三亚市发展和改革委员会公布的第一、第二、第三和港华农贸市场当日行情表内公布的价格作为基准价；2.投标人报价折扣不得低于85%。</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A07060105-植物油及其制品</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本次报价采取折扣率的形式进行报价。以市场询价确定的价格作为参考基准价。（例如：参考基准价=100元， 折扣率90%， 结算价格=100 *0.9*实际发生数量）。 1.基准价的确定：以三亚市发展和改革委员会公布的第一、第二、第三和港华农贸市场当日行情表内公布的价格作为基准价；2.投标人报价折扣不得低于85%。</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A07060206-调味品</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A07060206-调味品</w:t>
            </w:r>
          </w:p>
        </w:tc>
        <w:tc>
          <w:tcPr>
            <w:tcW w:type="dxa" w:w="2076"/>
          </w:tcPr>
          <w:p>
            <w:pPr>
              <w:pStyle w:val="null3"/>
              <w:jc w:val="left"/>
            </w:pPr>
            <w:r>
              <w:rPr>
                <w:rFonts w:ascii="仿宋_GB2312" w:hAnsi="仿宋_GB2312" w:cs="仿宋_GB2312" w:eastAsia="仿宋_GB2312"/>
              </w:rPr>
              <w:t>A07060206-调味品</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本次报价采取折扣率的形式进行报价。以市场询价确定的价格作为参考基准价。（例如：参考基准价=100元， 折扣率90%， 结算价格=100 *0.9*实际发生数量）。 1.基准价的确定：以三亚市发展和改革委员会公布的第一、第二、第三和港华农贸市场当日行情表内公布的价格作为基准价；2.投标人报价折扣不得低于85%。</w:t>
            </w:r>
          </w:p>
        </w:tc>
      </w:tr>
    </w:tbl>
    <w:p>
      <w:pPr>
        <w:pStyle w:val="null3"/>
        <w:jc w:val="left"/>
      </w:pPr>
      <w:r>
        <w:rPr>
          <w:rFonts w:ascii="仿宋_GB2312" w:hAnsi="仿宋_GB2312" w:cs="仿宋_GB2312" w:eastAsia="仿宋_GB2312"/>
        </w:rPr>
        <w:t>A07060102-碾磨谷物及谷物加工品</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A07060102-碾磨谷物及谷物加工品</w:t>
            </w:r>
          </w:p>
        </w:tc>
        <w:tc>
          <w:tcPr>
            <w:tcW w:type="dxa" w:w="2076"/>
          </w:tcPr>
          <w:p>
            <w:pPr>
              <w:pStyle w:val="null3"/>
              <w:jc w:val="left"/>
            </w:pPr>
            <w:r>
              <w:rPr>
                <w:rFonts w:ascii="仿宋_GB2312" w:hAnsi="仿宋_GB2312" w:cs="仿宋_GB2312" w:eastAsia="仿宋_GB2312"/>
              </w:rPr>
              <w:t>A07060102-碾磨谷物及谷物加工品</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本次报价采取折扣率的形式进行报价。以市场询价确定的价格作为参考基准价。（例如：参考基准价=100元， 折扣率90%， 结算价格=100 *0.9*实际发生数量）。 1.基准价的确定：以三亚市发展和改革委员会公布的第一、第二、第三和港华农贸市场当日行情表内公布的价格作为基准价；2.投标人报价折扣不得低于85%。</w:t>
            </w:r>
          </w:p>
        </w:tc>
      </w:tr>
    </w:tbl>
    <w:p>
      <w:pPr>
        <w:pStyle w:val="null3"/>
        <w:jc w:val="left"/>
      </w:pPr>
      <w:r>
        <w:rPr>
          <w:rFonts w:ascii="仿宋_GB2312" w:hAnsi="仿宋_GB2312" w:cs="仿宋_GB2312" w:eastAsia="仿宋_GB2312"/>
        </w:rPr>
        <w:t>A07060107-畜禽肉</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A07060107-畜禽肉</w:t>
            </w:r>
          </w:p>
        </w:tc>
        <w:tc>
          <w:tcPr>
            <w:tcW w:type="dxa" w:w="2076"/>
          </w:tcPr>
          <w:p>
            <w:pPr>
              <w:pStyle w:val="null3"/>
              <w:jc w:val="left"/>
            </w:pPr>
            <w:r>
              <w:rPr>
                <w:rFonts w:ascii="仿宋_GB2312" w:hAnsi="仿宋_GB2312" w:cs="仿宋_GB2312" w:eastAsia="仿宋_GB2312"/>
              </w:rPr>
              <w:t>A07060107-畜禽肉</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本次报价采取折扣率的形式进行报价。以市场询价确定的价格作为参考基准价。（例如：参考基准价=100元， 折扣率90%， 结算价格=100 *0.9*实际发生数量）。 1.基准价的确定：以三亚市发展和改革委员会公布的第一、第二、第三和港华农贸市场当日行情表内公布的价格作为基准价；2.投标人报价折扣不得低于85%。</w:t>
            </w:r>
          </w:p>
        </w:tc>
      </w:tr>
    </w:tbl>
    <w:p>
      <w:pPr>
        <w:pStyle w:val="null3"/>
        <w:jc w:val="left"/>
      </w:pPr>
      <w:r>
        <w:rPr>
          <w:rFonts w:ascii="仿宋_GB2312" w:hAnsi="仿宋_GB2312" w:cs="仿宋_GB2312" w:eastAsia="仿宋_GB2312"/>
        </w:rPr>
        <w:t>A07031201-蔬菜</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A07031201-蔬菜</w:t>
            </w:r>
          </w:p>
        </w:tc>
        <w:tc>
          <w:tcPr>
            <w:tcW w:type="dxa" w:w="2076"/>
          </w:tcPr>
          <w:p>
            <w:pPr>
              <w:pStyle w:val="null3"/>
              <w:jc w:val="left"/>
            </w:pPr>
            <w:r>
              <w:rPr>
                <w:rFonts w:ascii="仿宋_GB2312" w:hAnsi="仿宋_GB2312" w:cs="仿宋_GB2312" w:eastAsia="仿宋_GB2312"/>
              </w:rPr>
              <w:t>A07031201-蔬菜</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本次报价采取折扣率的形式进行报价。以市场询价确定的价格作为参考基准价。（例如：参考基准价=100元， 折扣率90%， 结算价格=100 *0.9*实际发生数量）。 1.基准价的确定：以三亚市发展和改革委员会公布的第一、第二、第三和港华农贸市场当日行情表内公布的价格作为基准价；2.投标人报价折扣不得低于85%。</w:t>
            </w:r>
          </w:p>
        </w:tc>
      </w:tr>
    </w:tbl>
    <w:p>
      <w:pPr>
        <w:pStyle w:val="null3"/>
        <w:jc w:val="left"/>
      </w:pPr>
      <w:r>
        <w:rPr>
          <w:rFonts w:ascii="仿宋_GB2312" w:hAnsi="仿宋_GB2312" w:cs="仿宋_GB2312" w:eastAsia="仿宋_GB2312"/>
        </w:rPr>
        <w:t>A07060105-植物油及其制品</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A07060105-植物油及其制品</w:t>
            </w:r>
          </w:p>
        </w:tc>
        <w:tc>
          <w:tcPr>
            <w:tcW w:type="dxa" w:w="2076"/>
          </w:tcPr>
          <w:p>
            <w:pPr>
              <w:pStyle w:val="null3"/>
              <w:jc w:val="left"/>
            </w:pPr>
            <w:r>
              <w:rPr>
                <w:rFonts w:ascii="仿宋_GB2312" w:hAnsi="仿宋_GB2312" w:cs="仿宋_GB2312" w:eastAsia="仿宋_GB2312"/>
              </w:rPr>
              <w:t>A07060105-植物油及其制品</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本次报价采取折扣率的形式进行报价。以市场询价确定的价格作为参考基准价。（例如：参考基准价=100元， 折扣率90%， 结算价格=100 *0.9*实际发生数量）。 1.基准价的确定：以三亚市发展和改革委员会公布的第一、第二、第三和港华农贸市场当日行情表内公布的价格作为基准价；2.投标人报价折扣不得低于85%。</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标的名称：A07060206-调味品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为正规厂家生产的品牌产品，厂家信息、产品信息齐全、正规；生产日期清晰、真实、准确，采购人接收日期距货物生产日期的时间不得超过该货物质量保证期的</w:t>
            </w:r>
            <w:r>
              <w:rPr>
                <w:rFonts w:ascii="仿宋_GB2312" w:hAnsi="仿宋_GB2312" w:cs="仿宋_GB2312" w:eastAsia="仿宋_GB2312"/>
                <w:sz w:val="28"/>
              </w:rPr>
              <w:t>1/3；内外包装完整、干净，无泄漏、涨袋；每批次产品要有明确的产品标准号、生产许可证编号以及生产许可证标识，拒绝一切“三无”产品。</w:t>
            </w:r>
          </w:p>
        </w:tc>
      </w:tr>
    </w:tbl>
    <w:p>
      <w:pPr>
        <w:pStyle w:val="null3"/>
        <w:jc w:val="left"/>
      </w:pPr>
      <w:r>
        <w:rPr>
          <w:rFonts w:ascii="仿宋_GB2312" w:hAnsi="仿宋_GB2312" w:cs="仿宋_GB2312" w:eastAsia="仿宋_GB2312"/>
        </w:rPr>
        <w:t>标的名称：A07060102-碾磨谷物及谷物加工品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（袋装）生产日期为</w:t>
            </w:r>
            <w:r>
              <w:rPr>
                <w:rFonts w:ascii="仿宋_GB2312" w:hAnsi="仿宋_GB2312" w:cs="仿宋_GB2312" w:eastAsia="仿宋_GB2312"/>
                <w:sz w:val="28"/>
              </w:rPr>
              <w:t>近期</w:t>
            </w:r>
            <w:r>
              <w:rPr>
                <w:rFonts w:ascii="仿宋_GB2312" w:hAnsi="仿宋_GB2312" w:cs="仿宋_GB2312" w:eastAsia="仿宋_GB2312"/>
                <w:sz w:val="28"/>
              </w:rPr>
              <w:t>，包装完好，无污迹、破裂，干净、卫生；（散装）商品新鲜、有光泽、柔软，分量（规格）够，干净、卫生、封闭的周转箱</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商品在保质期内（不超过</w:t>
            </w:r>
            <w:r>
              <w:rPr>
                <w:rFonts w:ascii="仿宋_GB2312" w:hAnsi="仿宋_GB2312" w:cs="仿宋_GB2312" w:eastAsia="仿宋_GB2312"/>
                <w:sz w:val="28"/>
              </w:rPr>
              <w:t xml:space="preserve"> 2/3 保质期）并且离保质期还有很长时间，商品的品牌和规格、等级均正确，商品的外包包装良好，无破埙、无受潮、无变质的现象。</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必须符合国家卫生标准，不得有腐烂、变质、霉变、生虫、污秽不洁、混有异物或者其他感官性状异常，并可能对人体健康有害的物质。</w:t>
            </w:r>
          </w:p>
        </w:tc>
      </w:tr>
    </w:tbl>
    <w:p>
      <w:pPr>
        <w:pStyle w:val="null3"/>
        <w:jc w:val="left"/>
      </w:pPr>
      <w:r>
        <w:rPr>
          <w:rFonts w:ascii="仿宋_GB2312" w:hAnsi="仿宋_GB2312" w:cs="仿宋_GB2312" w:eastAsia="仿宋_GB2312"/>
        </w:rPr>
        <w:t>标的名称：A07060107-畜禽肉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采购的肉类食材必须保证新鲜现杀好的，外观颜色正常，有光泽，质地坚实，有弹性，气味正常，严禁出现注水现象。</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水产品类必须符合检验检疫标准，需使用食品级牢固塑料袋包装。</w:t>
            </w:r>
          </w:p>
          <w:p>
            <w:pPr>
              <w:pStyle w:val="null3"/>
              <w:ind w:firstLine="560"/>
              <w:jc w:val="both"/>
            </w:pPr>
            <w:r>
              <w:rPr>
                <w:rFonts w:ascii="仿宋_GB2312" w:hAnsi="仿宋_GB2312" w:cs="仿宋_GB2312" w:eastAsia="仿宋_GB2312"/>
                <w:sz w:val="28"/>
              </w:rPr>
              <w:t>鱼类保证天然色有光泽，腹不膨胀；鱼眼饱满、清亮，角膜无下陷光亮透明</w:t>
            </w:r>
            <w:r>
              <w:rPr>
                <w:rFonts w:ascii="仿宋_GB2312" w:hAnsi="仿宋_GB2312" w:cs="仿宋_GB2312" w:eastAsia="仿宋_GB2312"/>
                <w:sz w:val="28"/>
              </w:rPr>
              <w:t>;鱼鳃紧合不易脱落，鳃片鲜红带血，鳃丝清晰，呈鲜红或紫红色，不能发白和有黏液;鱼体表面鲜亮有光泽。鱼肉表面无黏液，不黏手；鱼肉坚实有弹性，按后不能留指印；鱼鳞不易剥落；整体无异味，无畸形、无寄生虫。</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生鲜食材运至我单位前储存时间不得过长，以保证绝对新鲜。</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8"/>
              </w:rPr>
              <w:t>4、</w:t>
            </w:r>
            <w:r>
              <w:rPr>
                <w:rFonts w:ascii="仿宋_GB2312" w:hAnsi="仿宋_GB2312" w:cs="仿宋_GB2312" w:eastAsia="仿宋_GB2312"/>
                <w:sz w:val="28"/>
              </w:rPr>
              <w:t>必须保证每次送货运至我单位前储存时间不得过长，以保证不变质，严禁使用违禁药品，无公害、无残药、无激素。大小均匀，新鲜完整、无破损、不变质，表面清洁，无泥污等杂物</w:t>
            </w:r>
          </w:p>
        </w:tc>
      </w:tr>
    </w:tbl>
    <w:p>
      <w:pPr>
        <w:pStyle w:val="null3"/>
        <w:jc w:val="left"/>
      </w:pPr>
      <w:r>
        <w:rPr>
          <w:rFonts w:ascii="仿宋_GB2312" w:hAnsi="仿宋_GB2312" w:cs="仿宋_GB2312" w:eastAsia="仿宋_GB2312"/>
        </w:rPr>
        <w:t>标的名称：A07031201-蔬菜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瓜、果</w:t>
            </w:r>
            <w:r>
              <w:rPr>
                <w:rFonts w:ascii="仿宋_GB2312" w:hAnsi="仿宋_GB2312" w:cs="仿宋_GB2312" w:eastAsia="仿宋_GB2312"/>
                <w:sz w:val="28"/>
              </w:rPr>
              <w:t>等</w:t>
            </w:r>
            <w:r>
              <w:rPr>
                <w:rFonts w:ascii="仿宋_GB2312" w:hAnsi="仿宋_GB2312" w:cs="仿宋_GB2312" w:eastAsia="仿宋_GB2312"/>
                <w:sz w:val="28"/>
              </w:rPr>
              <w:t>蔬菜必须是新鲜，应季的优质货品，不得含有残留农药或污染物，</w:t>
            </w:r>
            <w:r>
              <w:rPr>
                <w:rFonts w:ascii="仿宋_GB2312" w:hAnsi="仿宋_GB2312" w:cs="仿宋_GB2312" w:eastAsia="仿宋_GB2312"/>
                <w:sz w:val="28"/>
              </w:rPr>
              <w:t>中标</w:t>
            </w:r>
            <w:r>
              <w:rPr>
                <w:rFonts w:ascii="仿宋_GB2312" w:hAnsi="仿宋_GB2312" w:cs="仿宋_GB2312" w:eastAsia="仿宋_GB2312"/>
                <w:sz w:val="28"/>
              </w:rPr>
              <w:t>人必须保证所供应蔬菜</w:t>
            </w:r>
            <w:r>
              <w:rPr>
                <w:rFonts w:ascii="仿宋_GB2312" w:hAnsi="仿宋_GB2312" w:cs="仿宋_GB2312" w:eastAsia="仿宋_GB2312"/>
                <w:sz w:val="28"/>
              </w:rPr>
              <w:t>必须</w:t>
            </w:r>
            <w:r>
              <w:rPr>
                <w:rFonts w:ascii="仿宋_GB2312" w:hAnsi="仿宋_GB2312" w:cs="仿宋_GB2312" w:eastAsia="仿宋_GB2312"/>
                <w:sz w:val="28"/>
              </w:rPr>
              <w:t>符合卫生质量标准，同时承担因所供蔬菜问题引起的一切事故后果。</w:t>
            </w:r>
          </w:p>
        </w:tc>
      </w:tr>
    </w:tbl>
    <w:p>
      <w:pPr>
        <w:pStyle w:val="null3"/>
        <w:jc w:val="left"/>
      </w:pPr>
      <w:r>
        <w:rPr>
          <w:rFonts w:ascii="仿宋_GB2312" w:hAnsi="仿宋_GB2312" w:cs="仿宋_GB2312" w:eastAsia="仿宋_GB2312"/>
        </w:rPr>
        <w:t>标的名称：A07060105-植物油及其制品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使用非转基因油，应色泽良好，无异味、无霉变，有正规生产厂家合格证书，供货时提供产品检验合格证书，包装完整，同时包装要印有注册商标、生产厂家名称、厂址、生产日期、产品合格证、保质期限、产品成分、厂家电话号码等。</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交付（服务）地点</w:t>
            </w:r>
          </w:p>
          <w:p>
            <w:pPr>
              <w:pStyle w:val="null3"/>
              <w:jc w:val="both"/>
            </w:pPr>
            <w:r>
              <w:rPr>
                <w:rFonts w:ascii="仿宋_GB2312" w:hAnsi="仿宋_GB2312" w:cs="仿宋_GB2312" w:eastAsia="仿宋_GB2312"/>
                <w:sz w:val="21"/>
              </w:rPr>
              <w:t>中标人在合同规定的起止时间内，指派专人、专车，按照采购人提供的标的物种类及数量、供应时间等，按时将标的物送到采购人指定的地点。</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安全卫生检查</w:t>
            </w:r>
          </w:p>
          <w:p>
            <w:pPr>
              <w:pStyle w:val="null3"/>
              <w:jc w:val="both"/>
            </w:pPr>
            <w:r>
              <w:rPr>
                <w:rFonts w:ascii="仿宋_GB2312" w:hAnsi="仿宋_GB2312" w:cs="仿宋_GB2312" w:eastAsia="仿宋_GB2312"/>
                <w:sz w:val="21"/>
              </w:rPr>
              <w:t>中标人必须接受由采购人有关职能部门组成的检查小组对标的物供应实施情况进行定期和不定期检查。</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付款方式与结算</w:t>
            </w:r>
          </w:p>
          <w:p>
            <w:pPr>
              <w:pStyle w:val="null3"/>
              <w:jc w:val="both"/>
            </w:pPr>
            <w:r>
              <w:rPr>
                <w:rFonts w:ascii="仿宋_GB2312" w:hAnsi="仿宋_GB2312" w:cs="仿宋_GB2312" w:eastAsia="仿宋_GB2312"/>
                <w:sz w:val="21"/>
              </w:rPr>
              <w:t>中标人每月凭采购人出具的实际领取的副食统计表</w:t>
            </w:r>
            <w:r>
              <w:rPr>
                <w:rFonts w:ascii="仿宋_GB2312" w:hAnsi="仿宋_GB2312" w:cs="仿宋_GB2312" w:eastAsia="仿宋_GB2312"/>
                <w:sz w:val="21"/>
              </w:rPr>
              <w:t>（</w:t>
            </w:r>
            <w:r>
              <w:rPr>
                <w:rFonts w:ascii="仿宋_GB2312" w:hAnsi="仿宋_GB2312" w:cs="仿宋_GB2312" w:eastAsia="仿宋_GB2312"/>
                <w:sz w:val="21"/>
              </w:rPr>
              <w:t>相关有效部门签字及盖章</w:t>
            </w:r>
            <w:r>
              <w:rPr>
                <w:rFonts w:ascii="仿宋_GB2312" w:hAnsi="仿宋_GB2312" w:cs="仿宋_GB2312" w:eastAsia="仿宋_GB2312"/>
                <w:sz w:val="21"/>
              </w:rPr>
              <w:t>）</w:t>
            </w:r>
            <w:r>
              <w:rPr>
                <w:rFonts w:ascii="仿宋_GB2312" w:hAnsi="仿宋_GB2312" w:cs="仿宋_GB2312" w:eastAsia="仿宋_GB2312"/>
                <w:sz w:val="21"/>
              </w:rPr>
              <w:t>，经审核后，可到采购人相关部门办理货款支付手续。结算金额以实际配送数量为准。</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交付（服务）期</w:t>
            </w:r>
            <w:r>
              <w:rPr>
                <w:rFonts w:ascii="仿宋_GB2312" w:hAnsi="仿宋_GB2312" w:cs="仿宋_GB2312" w:eastAsia="仿宋_GB2312"/>
                <w:sz w:val="21"/>
              </w:rPr>
              <w:t>/</w:t>
            </w:r>
            <w:r>
              <w:rPr>
                <w:rFonts w:ascii="仿宋_GB2312" w:hAnsi="仿宋_GB2312" w:cs="仿宋_GB2312" w:eastAsia="仿宋_GB2312"/>
                <w:sz w:val="21"/>
              </w:rPr>
              <w:t>合同履行期限</w:t>
            </w:r>
            <w:r>
              <w:rPr>
                <w:rFonts w:ascii="仿宋_GB2312" w:hAnsi="仿宋_GB2312" w:cs="仿宋_GB2312" w:eastAsia="仿宋_GB2312"/>
                <w:sz w:val="21"/>
              </w:rPr>
              <w:t>:</w:t>
            </w:r>
            <w:r>
              <w:rPr>
                <w:rFonts w:ascii="仿宋_GB2312" w:hAnsi="仿宋_GB2312" w:cs="仿宋_GB2312" w:eastAsia="仿宋_GB2312"/>
                <w:sz w:val="21"/>
              </w:rPr>
              <w:t>三年，合同采取一年一签</w:t>
            </w:r>
          </w:p>
          <w:p>
            <w:pPr>
              <w:pStyle w:val="null3"/>
              <w:jc w:val="both"/>
            </w:pPr>
            <w:r>
              <w:rPr>
                <w:rFonts w:ascii="仿宋_GB2312" w:hAnsi="仿宋_GB2312" w:cs="仿宋_GB2312" w:eastAsia="仿宋_GB2312"/>
                <w:sz w:val="21"/>
              </w:rPr>
              <w:t>（五）</w:t>
            </w:r>
            <w:r>
              <w:rPr>
                <w:rFonts w:ascii="仿宋_GB2312" w:hAnsi="仿宋_GB2312" w:cs="仿宋_GB2312" w:eastAsia="仿宋_GB2312"/>
                <w:sz w:val="21"/>
              </w:rPr>
              <w:t>送过程中产生的税费全部由中标单位负责</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b/>
        </w:rPr>
        <w:t>（一）</w:t>
      </w:r>
      <w:r>
        <w:rPr>
          <w:rFonts w:ascii="仿宋_GB2312" w:hAnsi="仿宋_GB2312" w:cs="仿宋_GB2312" w:eastAsia="仿宋_GB2312"/>
          <w:sz w:val="28"/>
          <w:b/>
        </w:rPr>
        <w:t>、配送数量及价格</w:t>
      </w:r>
    </w:p>
    <w:p>
      <w:pPr>
        <w:pStyle w:val="null3"/>
        <w:ind w:firstLine="560"/>
        <w:jc w:val="both"/>
      </w:pPr>
      <w:r>
        <w:rPr>
          <w:rFonts w:ascii="仿宋_GB2312" w:hAnsi="仿宋_GB2312" w:cs="仿宋_GB2312" w:eastAsia="仿宋_GB2312"/>
          <w:sz w:val="28"/>
        </w:rPr>
        <w:t>1、配送数量：以采购人的实际需求为准。</w:t>
      </w:r>
    </w:p>
    <w:p>
      <w:pPr>
        <w:pStyle w:val="null3"/>
        <w:ind w:firstLine="560"/>
        <w:jc w:val="both"/>
      </w:pPr>
      <w:r>
        <w:rPr>
          <w:rFonts w:ascii="仿宋_GB2312" w:hAnsi="仿宋_GB2312" w:cs="仿宋_GB2312" w:eastAsia="仿宋_GB2312"/>
          <w:sz w:val="28"/>
        </w:rPr>
        <w:t>2、配送价格：</w:t>
      </w:r>
      <w:r>
        <w:rPr>
          <w:rFonts w:ascii="仿宋_GB2312" w:hAnsi="仿宋_GB2312" w:cs="仿宋_GB2312" w:eastAsia="仿宋_GB2312"/>
          <w:sz w:val="28"/>
        </w:rPr>
        <w:t>按</w:t>
      </w:r>
      <w:r>
        <w:rPr>
          <w:rFonts w:ascii="仿宋_GB2312" w:hAnsi="仿宋_GB2312" w:cs="仿宋_GB2312" w:eastAsia="仿宋_GB2312"/>
          <w:sz w:val="28"/>
        </w:rPr>
        <w:t>中标折扣率</w:t>
      </w:r>
      <w:r>
        <w:rPr>
          <w:rFonts w:ascii="仿宋_GB2312" w:hAnsi="仿宋_GB2312" w:cs="仿宋_GB2312" w:eastAsia="仿宋_GB2312"/>
          <w:sz w:val="28"/>
        </w:rPr>
        <w:t>执</w:t>
      </w:r>
      <w:r>
        <w:rPr>
          <w:rFonts w:ascii="仿宋_GB2312" w:hAnsi="仿宋_GB2312" w:cs="仿宋_GB2312" w:eastAsia="仿宋_GB2312"/>
          <w:sz w:val="28"/>
        </w:rPr>
        <w:t>行</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（二）</w:t>
      </w:r>
      <w:r>
        <w:rPr>
          <w:rFonts w:ascii="仿宋_GB2312" w:hAnsi="仿宋_GB2312" w:cs="仿宋_GB2312" w:eastAsia="仿宋_GB2312"/>
          <w:sz w:val="28"/>
          <w:b/>
        </w:rPr>
        <w:t>、产品配送要求</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配送</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1、中标人需严格按照采购人书面通知配送安全新鲜、符合国家规定标准的标的物。配送的所有标的物，在满足国家、行业标准的基础上，均应达到无公害食品的标准。</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2、中标人应在采购合同签订7日内向采购人提供其完善后的配送、储藏、延误、危情处理等工作方案或预案，经采购人审核同意后执行。</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3、中标人必须确定专人、专车，按合同的约定，将标的物配送到采购人指定的地点。</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中标人必须指定专人参加配送及联系工作，必须保证</w:t>
      </w:r>
      <w:r>
        <w:rPr>
          <w:rFonts w:ascii="仿宋_GB2312" w:hAnsi="仿宋_GB2312" w:cs="仿宋_GB2312" w:eastAsia="仿宋_GB2312"/>
          <w:sz w:val="28"/>
        </w:rPr>
        <w:t>24小时电话畅通，如果被指定专人变更或联系电话发生变化应及时通报采购人。</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5、中标人必须保证产品质量安全和运输安全，凡因产品质量安全问题和向采购人派送标的物途中的一切安全问题，均由中标人承担全部责任。</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6、中标人应根据采购人相关文件规定的正常工作时间进行配送。</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7、如遇临时任务，需要加菜或者台风天气等特殊情况，中标人必须保障准时配送。</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储存</w:t>
      </w:r>
    </w:p>
    <w:p>
      <w:pPr>
        <w:pStyle w:val="null3"/>
        <w:ind w:firstLine="560"/>
        <w:jc w:val="both"/>
      </w:pPr>
      <w:r>
        <w:rPr>
          <w:rFonts w:ascii="仿宋_GB2312" w:hAnsi="仿宋_GB2312" w:cs="仿宋_GB2312" w:eastAsia="仿宋_GB2312"/>
          <w:sz w:val="28"/>
        </w:rPr>
        <w:t>中标人要保证配送的标的物存放场地的环境卫生整洁，空气流通，符合国家卫生要求，避免腐坏、变质或被老鼠、蟑螂或蚂蚁等害虫叮咬。</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加工</w:t>
      </w:r>
    </w:p>
    <w:p>
      <w:pPr>
        <w:pStyle w:val="null3"/>
        <w:ind w:firstLine="560"/>
        <w:jc w:val="both"/>
      </w:pPr>
      <w:r>
        <w:rPr>
          <w:rFonts w:ascii="仿宋_GB2312" w:hAnsi="仿宋_GB2312" w:cs="仿宋_GB2312" w:eastAsia="仿宋_GB2312"/>
          <w:sz w:val="28"/>
        </w:rPr>
        <w:t>中标人要保证配送的副食品是质保期内的合格产品。中标人应安排专人负责副食品的存储管理和加工工作。</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验收</w:t>
      </w:r>
    </w:p>
    <w:p>
      <w:pPr>
        <w:pStyle w:val="null3"/>
        <w:ind w:firstLine="560"/>
        <w:jc w:val="both"/>
      </w:pPr>
      <w:r>
        <w:rPr>
          <w:rFonts w:ascii="仿宋_GB2312" w:hAnsi="仿宋_GB2312" w:cs="仿宋_GB2312" w:eastAsia="仿宋_GB2312"/>
          <w:sz w:val="28"/>
        </w:rPr>
        <w:t>中标人按采购人要求的产品种类及数量送至采购人指定地点，配送的食品由双方共同验收，验收合格后在供货清单上签字确认。不符合验收标准的，采购人有权拒收。所有损失由中标人承担。</w:t>
      </w:r>
    </w:p>
    <w:p>
      <w:pPr>
        <w:pStyle w:val="null3"/>
        <w:jc w:val="both"/>
      </w:pPr>
      <w:r>
        <w:rPr>
          <w:rFonts w:ascii="仿宋_GB2312" w:hAnsi="仿宋_GB2312" w:cs="仿宋_GB2312" w:eastAsia="仿宋_GB2312"/>
          <w:sz w:val="28"/>
          <w:b/>
        </w:rPr>
        <w:t>（三）</w:t>
      </w:r>
      <w:r>
        <w:rPr>
          <w:rFonts w:ascii="仿宋_GB2312" w:hAnsi="仿宋_GB2312" w:cs="仿宋_GB2312" w:eastAsia="仿宋_GB2312"/>
          <w:sz w:val="28"/>
          <w:b/>
        </w:rPr>
        <w:t>、质量保证及售后服务</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产品质量保证</w:t>
      </w:r>
    </w:p>
    <w:p>
      <w:pPr>
        <w:pStyle w:val="null3"/>
        <w:ind w:firstLine="560"/>
        <w:jc w:val="both"/>
      </w:pPr>
      <w:r>
        <w:rPr>
          <w:rFonts w:ascii="仿宋_GB2312" w:hAnsi="仿宋_GB2312" w:cs="仿宋_GB2312" w:eastAsia="仿宋_GB2312"/>
          <w:sz w:val="28"/>
        </w:rPr>
        <w:t>投标人必须书面承诺</w:t>
      </w:r>
      <w:r>
        <w:rPr>
          <w:rFonts w:ascii="仿宋_GB2312" w:hAnsi="仿宋_GB2312" w:cs="仿宋_GB2312" w:eastAsia="仿宋_GB2312"/>
          <w:sz w:val="28"/>
        </w:rPr>
        <w:t>:配送的标的物，从出厂开始到采购人食用结束全过程的各个环节，均按照最新的国家标准规范配送和存储保鲜，确保卫生安全和新鲜。</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售后服务保证</w:t>
      </w:r>
    </w:p>
    <w:p>
      <w:pPr>
        <w:pStyle w:val="null3"/>
        <w:ind w:firstLine="560"/>
        <w:jc w:val="both"/>
      </w:pPr>
      <w:r>
        <w:rPr>
          <w:rFonts w:ascii="仿宋_GB2312" w:hAnsi="仿宋_GB2312" w:cs="仿宋_GB2312" w:eastAsia="仿宋_GB2312"/>
          <w:sz w:val="28"/>
        </w:rPr>
        <w:t>投标人须对售后服务进行书面承诺</w:t>
      </w:r>
      <w:r>
        <w:rPr>
          <w:rFonts w:ascii="仿宋_GB2312" w:hAnsi="仿宋_GB2312" w:cs="仿宋_GB2312" w:eastAsia="仿宋_GB2312"/>
          <w:sz w:val="28"/>
        </w:rPr>
        <w:t>(承诺函格式自定)。未进行承诺的投标人，视为无效投标。</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因标的物质量问题给食用人员身心健康带来影响或发生疾病，伤亡事故，承担全部经济和法律责任。若因产品质量原因出现的安全、卫生问题，由中标人承担全部责任。</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2、按质、按时、按量、按合同做好供应服务工作;按照监管部门要求严把质量关。</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3、对标的物提供质量保证，对问题食材应于当天无条件更换。</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确定工作认真负责、身体健康</w:t>
      </w:r>
      <w:r>
        <w:rPr>
          <w:rFonts w:ascii="仿宋_GB2312" w:hAnsi="仿宋_GB2312" w:cs="仿宋_GB2312" w:eastAsia="仿宋_GB2312"/>
          <w:sz w:val="28"/>
        </w:rPr>
        <w:t>(有健康证)的人员对口衔接采购人，建立接送卡，专人配送。</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5、严格执行配送标的物的检验、留样、放行程序，对每批次出厂的配送标的物都留样备查。</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6、定期接受随机抽样检查，检验费用由中标人支付。</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信用查询承诺函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参加政府采购活动前三年内（2022年1月1日起至今，成立不满三年的自公司成立之日起算），无环保类行政处罚记录声明函（提供声明函）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具有有效的食品经营许可证</w:t>
            </w:r>
          </w:p>
        </w:tc>
        <w:tc>
          <w:tcPr>
            <w:tcW w:type="dxa" w:w="3322"/>
          </w:tcPr>
          <w:p>
            <w:pPr>
              <w:pStyle w:val="null3"/>
              <w:jc w:val="left"/>
            </w:pPr>
            <w:r>
              <w:rPr>
                <w:rFonts w:ascii="仿宋_GB2312" w:hAnsi="仿宋_GB2312" w:cs="仿宋_GB2312" w:eastAsia="仿宋_GB2312"/>
              </w:rPr>
              <w:t>具有有效的食品经营许可证（提供有效的食品经营许可证）</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中小企业声明函 政府采购供应商信用承诺书 商务技术偏差一览表 自觉抵制政府采购领域商业贿赂行为承诺书 封面 商业信誉、财务会计制度、缴纳税收和社保的承诺函 具有独立承担民事责任的能力证明文件 投标人承诺函 信用查询承诺函 法律、行政法规规定的其他条件的声明函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商务技术偏差一览表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需求响应</w:t>
            </w:r>
          </w:p>
        </w:tc>
        <w:tc>
          <w:tcPr>
            <w:tcW w:type="dxa" w:w="2492"/>
          </w:tcPr>
          <w:p>
            <w:pPr>
              <w:pStyle w:val="null3"/>
              <w:jc w:val="both"/>
            </w:pPr>
            <w:r>
              <w:rPr>
                <w:rFonts w:ascii="仿宋_GB2312" w:hAnsi="仿宋_GB2312" w:cs="仿宋_GB2312" w:eastAsia="仿宋_GB2312"/>
              </w:rPr>
              <w:t>根据招标文件“第三章采购需求”的内容与投标文件的《商务技术偏差一览表》逐项对照，《商务技术偏差一览表》的内容必须与招标文件“第三章采购需求”的内容逐项对应。评委会逐项审查响应情况，每出现一项不满足扣1分，共9项，扣完为止。本项满分9分。 注：投标人须根据招标文件提供的格式填写《商务技术偏差一览表》，未按要求提供不得分。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商务技术偏差一览表</w:t>
            </w:r>
          </w:p>
        </w:tc>
      </w:tr>
      <w:tr>
        <w:tc>
          <w:tcPr>
            <w:tcW w:type="dxa" w:w="831"/>
            <w:vMerge/>
          </w:tcPr>
          <w:p/>
        </w:tc>
        <w:tc>
          <w:tcPr>
            <w:tcW w:type="dxa" w:w="1661"/>
          </w:tcPr>
          <w:p>
            <w:pPr>
              <w:pStyle w:val="null3"/>
              <w:jc w:val="both"/>
            </w:pPr>
            <w:r>
              <w:rPr>
                <w:rFonts w:ascii="仿宋_GB2312" w:hAnsi="仿宋_GB2312" w:cs="仿宋_GB2312" w:eastAsia="仿宋_GB2312"/>
              </w:rPr>
              <w:t>供货、配送方案</w:t>
            </w:r>
          </w:p>
        </w:tc>
        <w:tc>
          <w:tcPr>
            <w:tcW w:type="dxa" w:w="2492"/>
          </w:tcPr>
          <w:p>
            <w:pPr>
              <w:pStyle w:val="null3"/>
              <w:jc w:val="both"/>
            </w:pPr>
            <w:r>
              <w:rPr>
                <w:rFonts w:ascii="仿宋_GB2312" w:hAnsi="仿宋_GB2312" w:cs="仿宋_GB2312" w:eastAsia="仿宋_GB2312"/>
              </w:rPr>
              <w:t>1、供货、配送方案包括但不限于：（1）供货准备方案；（2）食材配送进度计划；（3）供货、配送保障措施；（4）配送突发事件处理方案；（5）食材供应的管理制度；（6）食品安全管理制度。 投标人提供上述内容的，每提供1项得1分，满分6分。 2、根据投标人提供的供货、配送方案进行评审赋分： （1）完全响应且思路清晰，方案内容完整全面详细，针对性强具有可操作性，方案总体设计合理得7分； （2）无缺漏项，能满足项目需求，但缺乏针对性及可操作性；得5分； （3）存在缺漏项，方案总体设计不合理、思路不清晰，无针对性及可操作性，无法满足采购需求，得3分； （4）方案很差，得1分； （5）不提供方案者得0分。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质量保障方案</w:t>
            </w:r>
          </w:p>
        </w:tc>
        <w:tc>
          <w:tcPr>
            <w:tcW w:type="dxa" w:w="2492"/>
          </w:tcPr>
          <w:p>
            <w:pPr>
              <w:pStyle w:val="null3"/>
              <w:jc w:val="both"/>
            </w:pPr>
            <w:r>
              <w:rPr>
                <w:rFonts w:ascii="仿宋_GB2312" w:hAnsi="仿宋_GB2312" w:cs="仿宋_GB2312" w:eastAsia="仿宋_GB2312"/>
              </w:rPr>
              <w:t>1、质量保障方案包括但不限于：（1）质量保障体系及质量目标；（2）质量控制的保证措施；（3）质量管理制度及检查制度。 投标人提供上述内容的，每提供1项得2分，满分6分，未提供不得分。 2、根据投标人提供的质量保障方案进行评审赋分： （1）完全响应且思路清晰，方案内容完整全面详细，针对性强具有可操作性，方案总体设计合理得6分； （2）无缺漏项，能满足项目需求，但缺乏针对性及可操作性；得5分； （3）存在缺漏项，方案总体设计不合理、思路不清晰，无针对性及可操作性，无法满足采购需求，得3分； （4）方案很差，得1分； （5）不提供方案者得0分。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安全卫生管理方案</w:t>
            </w:r>
          </w:p>
        </w:tc>
        <w:tc>
          <w:tcPr>
            <w:tcW w:type="dxa" w:w="2492"/>
          </w:tcPr>
          <w:p>
            <w:pPr>
              <w:pStyle w:val="null3"/>
              <w:jc w:val="both"/>
            </w:pPr>
            <w:r>
              <w:rPr>
                <w:rFonts w:ascii="仿宋_GB2312" w:hAnsi="仿宋_GB2312" w:cs="仿宋_GB2312" w:eastAsia="仿宋_GB2312"/>
              </w:rPr>
              <w:t>1、安全卫生管理方案包括但不限于：（1）食品采购安全管理；（2）食品的保管、储存；（3）配送过程中的安全卫生管理措施。 投标人提供上述内容的，每提供1项得2分，满分6分，未提供不得分。 2、根据投标人提供的安全卫生管理方案进行评审赋分： （1）完全响应且思路清晰，方案内容完整全面详细，针对性强具有可操作性，方案总体设计合理得6分； （2）无缺漏项，能满足项目需求，但缺乏针对性及可操作性；得5分； （3）存在缺漏项，方案总体设计不合理、思路不清晰，无针对性及可操作性，无法满足采购需求，得3分； （4）方案很差，得1分； （5）不提供方案者得0分。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应急处置方案</w:t>
            </w:r>
          </w:p>
        </w:tc>
        <w:tc>
          <w:tcPr>
            <w:tcW w:type="dxa" w:w="2492"/>
          </w:tcPr>
          <w:p>
            <w:pPr>
              <w:pStyle w:val="null3"/>
              <w:jc w:val="both"/>
            </w:pPr>
            <w:r>
              <w:rPr>
                <w:rFonts w:ascii="仿宋_GB2312" w:hAnsi="仿宋_GB2312" w:cs="仿宋_GB2312" w:eastAsia="仿宋_GB2312"/>
              </w:rPr>
              <w:t>1、应急处置方案包括但不限于：（1）特殊时段食堂临时需求；（2）发生影响正常配送（如交通管制、极端天气、疫情等）的突发情况；（3）食品安全应急处置预案。 投标人提供上述内容的，每提供1项得2分，满分6分，未提供不得分。 2、根据投标人提供的应急处置方案进行评审赋分： （1）完全响应且思路清晰，方案内容完整全面详细，针对性强具有可操作性，方案总体设计合理得6分； （2）无缺漏项，能满足项目需求，但缺乏针对性及可操作性；得5分； （3）存在缺漏项，方案总体设计不合理、思路不清晰，无针对性及可操作性，无法满足采购需求，得3分； （4）方案很差，得1分； （5）不提供方案者得0分。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内部管理制度</w:t>
            </w:r>
          </w:p>
        </w:tc>
        <w:tc>
          <w:tcPr>
            <w:tcW w:type="dxa" w:w="2492"/>
          </w:tcPr>
          <w:p>
            <w:pPr>
              <w:pStyle w:val="null3"/>
              <w:jc w:val="both"/>
            </w:pPr>
            <w:r>
              <w:rPr>
                <w:rFonts w:ascii="仿宋_GB2312" w:hAnsi="仿宋_GB2312" w:cs="仿宋_GB2312" w:eastAsia="仿宋_GB2312"/>
              </w:rPr>
              <w:t>1、内部管理制度包括但不限于：（1）监督检查制度；（2）仓库管理制度；（3）技术培训制度。 投标人提供上述内容的，每提供1项得2分，满分6分。 2、根据投标人提供的内部管理制度进行评审赋分： （1）完全响应且思路清晰，方案内容完整全面详细，针对性强具有可操作性，方案总体设计合理得6分； （2）无缺漏项，能满足项目需求，但缺乏针对性及可操作性；得5分； （3）存在缺漏项，方案总体设计不合理、思路不清晰，无针对性及可操作性，无法满足采购需求，得3分； （4）方案很差，得1分； （5）不提供方案者得0分。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调味品价格分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报价一览表</w:t>
            </w:r>
          </w:p>
        </w:tc>
      </w:tr>
      <w:tr>
        <w:tc>
          <w:tcPr>
            <w:tcW w:type="dxa" w:w="831"/>
            <w:vMerge/>
          </w:tcPr>
          <w:p/>
        </w:tc>
        <w:tc>
          <w:tcPr>
            <w:tcW w:type="dxa" w:w="1661"/>
          </w:tcPr>
          <w:p>
            <w:pPr>
              <w:pStyle w:val="null3"/>
              <w:jc w:val="both"/>
            </w:pPr>
            <w:r>
              <w:rPr>
                <w:rFonts w:ascii="仿宋_GB2312" w:hAnsi="仿宋_GB2312" w:cs="仿宋_GB2312" w:eastAsia="仿宋_GB2312"/>
              </w:rPr>
              <w:t>碾磨谷物及谷物加工品价格分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报价一览表</w:t>
            </w:r>
          </w:p>
        </w:tc>
      </w:tr>
      <w:tr>
        <w:tc>
          <w:tcPr>
            <w:tcW w:type="dxa" w:w="831"/>
            <w:vMerge/>
          </w:tcPr>
          <w:p/>
        </w:tc>
        <w:tc>
          <w:tcPr>
            <w:tcW w:type="dxa" w:w="1661"/>
          </w:tcPr>
          <w:p>
            <w:pPr>
              <w:pStyle w:val="null3"/>
              <w:jc w:val="both"/>
            </w:pPr>
            <w:r>
              <w:rPr>
                <w:rFonts w:ascii="仿宋_GB2312" w:hAnsi="仿宋_GB2312" w:cs="仿宋_GB2312" w:eastAsia="仿宋_GB2312"/>
              </w:rPr>
              <w:t>畜禽肉价格分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报价一览表</w:t>
            </w:r>
          </w:p>
        </w:tc>
      </w:tr>
      <w:tr>
        <w:tc>
          <w:tcPr>
            <w:tcW w:type="dxa" w:w="831"/>
            <w:vMerge/>
          </w:tcPr>
          <w:p/>
        </w:tc>
        <w:tc>
          <w:tcPr>
            <w:tcW w:type="dxa" w:w="1661"/>
          </w:tcPr>
          <w:p>
            <w:pPr>
              <w:pStyle w:val="null3"/>
              <w:jc w:val="both"/>
            </w:pPr>
            <w:r>
              <w:rPr>
                <w:rFonts w:ascii="仿宋_GB2312" w:hAnsi="仿宋_GB2312" w:cs="仿宋_GB2312" w:eastAsia="仿宋_GB2312"/>
              </w:rPr>
              <w:t>蔬菜价格分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报价一览表</w:t>
            </w:r>
          </w:p>
        </w:tc>
      </w:tr>
      <w:tr>
        <w:tc>
          <w:tcPr>
            <w:tcW w:type="dxa" w:w="831"/>
            <w:vMerge/>
          </w:tcPr>
          <w:p/>
        </w:tc>
        <w:tc>
          <w:tcPr>
            <w:tcW w:type="dxa" w:w="1661"/>
          </w:tcPr>
          <w:p>
            <w:pPr>
              <w:pStyle w:val="null3"/>
              <w:jc w:val="both"/>
            </w:pPr>
            <w:r>
              <w:rPr>
                <w:rFonts w:ascii="仿宋_GB2312" w:hAnsi="仿宋_GB2312" w:cs="仿宋_GB2312" w:eastAsia="仿宋_GB2312"/>
              </w:rPr>
              <w:t>植物油及其制品价格分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ZRHN-2025-052</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三亚市迎宾中学食堂食材采购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三亚市迎宾中学食堂食材采购</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A07060206-调味品</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A07060206-调味品</w:t>
            </w:r>
          </w:p>
        </w:tc>
        <w:tc>
          <w:tcPr>
            <w:tcW w:type="dxa" w:w="755"/>
          </w:tcPr>
          <w:p>
            <w:pPr>
              <w:pStyle w:val="null3"/>
              <w:jc w:val="left"/>
            </w:pPr>
            <w:r>
              <w:rPr>
                <w:rFonts w:ascii="仿宋_GB2312" w:hAnsi="仿宋_GB2312" w:cs="仿宋_GB2312" w:eastAsia="仿宋_GB2312"/>
              </w:rPr>
              <w:t xml:space="preserve"> A07060206-调味品</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A07060102-碾磨谷物及谷物加工品</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A07060102-碾磨谷物及谷物加工品</w:t>
            </w:r>
          </w:p>
        </w:tc>
        <w:tc>
          <w:tcPr>
            <w:tcW w:type="dxa" w:w="755"/>
          </w:tcPr>
          <w:p>
            <w:pPr>
              <w:pStyle w:val="null3"/>
              <w:jc w:val="left"/>
            </w:pPr>
            <w:r>
              <w:rPr>
                <w:rFonts w:ascii="仿宋_GB2312" w:hAnsi="仿宋_GB2312" w:cs="仿宋_GB2312" w:eastAsia="仿宋_GB2312"/>
              </w:rPr>
              <w:t xml:space="preserve"> A07060102-碾磨谷物及谷物加工品</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A07060107-畜禽肉</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A07060107-畜禽肉</w:t>
            </w:r>
          </w:p>
        </w:tc>
        <w:tc>
          <w:tcPr>
            <w:tcW w:type="dxa" w:w="755"/>
          </w:tcPr>
          <w:p>
            <w:pPr>
              <w:pStyle w:val="null3"/>
              <w:jc w:val="left"/>
            </w:pPr>
            <w:r>
              <w:rPr>
                <w:rFonts w:ascii="仿宋_GB2312" w:hAnsi="仿宋_GB2312" w:cs="仿宋_GB2312" w:eastAsia="仿宋_GB2312"/>
              </w:rPr>
              <w:t xml:space="preserve"> A07060107-畜禽肉</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A07031201-蔬菜</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A07031201-蔬菜</w:t>
            </w:r>
          </w:p>
        </w:tc>
        <w:tc>
          <w:tcPr>
            <w:tcW w:type="dxa" w:w="755"/>
          </w:tcPr>
          <w:p>
            <w:pPr>
              <w:pStyle w:val="null3"/>
              <w:jc w:val="left"/>
            </w:pPr>
            <w:r>
              <w:rPr>
                <w:rFonts w:ascii="仿宋_GB2312" w:hAnsi="仿宋_GB2312" w:cs="仿宋_GB2312" w:eastAsia="仿宋_GB2312"/>
              </w:rPr>
              <w:t xml:space="preserve"> A07031201-蔬菜</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A07060105-植物油及其制品</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A07060105-植物油及其制品</w:t>
            </w:r>
          </w:p>
        </w:tc>
        <w:tc>
          <w:tcPr>
            <w:tcW w:type="dxa" w:w="755"/>
          </w:tcPr>
          <w:p>
            <w:pPr>
              <w:pStyle w:val="null3"/>
              <w:jc w:val="left"/>
            </w:pPr>
            <w:r>
              <w:rPr>
                <w:rFonts w:ascii="仿宋_GB2312" w:hAnsi="仿宋_GB2312" w:cs="仿宋_GB2312" w:eastAsia="仿宋_GB2312"/>
              </w:rPr>
              <w:t xml:space="preserve"> A07060105-植物油及其制品</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ZRHN-2025-052</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三亚市迎宾中学食堂食材采购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三亚市迎宾中学食堂食材采购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A07060206-调味品</w:t>
            </w:r>
          </w:p>
        </w:tc>
        <w:tc>
          <w:tcPr>
            <w:tcW w:type="dxa" w:w="1187"/>
          </w:tcPr>
          <w:p>
            <w:pPr>
              <w:pStyle w:val="null3"/>
              <w:jc w:val="left"/>
            </w:pPr>
            <w:r>
              <w:rPr>
                <w:rFonts w:ascii="仿宋_GB2312" w:hAnsi="仿宋_GB2312" w:cs="仿宋_GB2312" w:eastAsia="仿宋_GB2312"/>
              </w:rPr>
              <w:t xml:space="preserve"> 项</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r>
        <w:tc>
          <w:tcPr>
            <w:tcW w:type="dxa" w:w="1187"/>
          </w:tcPr>
          <w:p>
            <w:pPr>
              <w:pStyle w:val="null3"/>
              <w:jc w:val="left"/>
            </w:pPr>
            <w:r>
              <w:rPr>
                <w:rFonts w:ascii="仿宋_GB2312" w:hAnsi="仿宋_GB2312" w:cs="仿宋_GB2312" w:eastAsia="仿宋_GB2312"/>
              </w:rPr>
              <w:t xml:space="preserve"> 2</w:t>
            </w:r>
          </w:p>
        </w:tc>
        <w:tc>
          <w:tcPr>
            <w:tcW w:type="dxa" w:w="1187"/>
          </w:tcPr>
          <w:p>
            <w:pPr>
              <w:pStyle w:val="null3"/>
              <w:jc w:val="left"/>
            </w:pPr>
            <w:r>
              <w:rPr>
                <w:rFonts w:ascii="仿宋_GB2312" w:hAnsi="仿宋_GB2312" w:cs="仿宋_GB2312" w:eastAsia="仿宋_GB2312"/>
              </w:rPr>
              <w:t xml:space="preserve"> A07060102-碾磨谷物及谷物加工品</w:t>
            </w:r>
          </w:p>
        </w:tc>
        <w:tc>
          <w:tcPr>
            <w:tcW w:type="dxa" w:w="1187"/>
          </w:tcPr>
          <w:p>
            <w:pPr>
              <w:pStyle w:val="null3"/>
              <w:jc w:val="left"/>
            </w:pPr>
            <w:r>
              <w:rPr>
                <w:rFonts w:ascii="仿宋_GB2312" w:hAnsi="仿宋_GB2312" w:cs="仿宋_GB2312" w:eastAsia="仿宋_GB2312"/>
              </w:rPr>
              <w:t xml:space="preserve"> 项</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r>
        <w:tc>
          <w:tcPr>
            <w:tcW w:type="dxa" w:w="1187"/>
          </w:tcPr>
          <w:p>
            <w:pPr>
              <w:pStyle w:val="null3"/>
              <w:jc w:val="left"/>
            </w:pPr>
            <w:r>
              <w:rPr>
                <w:rFonts w:ascii="仿宋_GB2312" w:hAnsi="仿宋_GB2312" w:cs="仿宋_GB2312" w:eastAsia="仿宋_GB2312"/>
              </w:rPr>
              <w:t xml:space="preserve"> 3</w:t>
            </w:r>
          </w:p>
        </w:tc>
        <w:tc>
          <w:tcPr>
            <w:tcW w:type="dxa" w:w="1187"/>
          </w:tcPr>
          <w:p>
            <w:pPr>
              <w:pStyle w:val="null3"/>
              <w:jc w:val="left"/>
            </w:pPr>
            <w:r>
              <w:rPr>
                <w:rFonts w:ascii="仿宋_GB2312" w:hAnsi="仿宋_GB2312" w:cs="仿宋_GB2312" w:eastAsia="仿宋_GB2312"/>
              </w:rPr>
              <w:t xml:space="preserve"> A07060107-畜禽肉</w:t>
            </w:r>
          </w:p>
        </w:tc>
        <w:tc>
          <w:tcPr>
            <w:tcW w:type="dxa" w:w="1187"/>
          </w:tcPr>
          <w:p>
            <w:pPr>
              <w:pStyle w:val="null3"/>
              <w:jc w:val="left"/>
            </w:pPr>
            <w:r>
              <w:rPr>
                <w:rFonts w:ascii="仿宋_GB2312" w:hAnsi="仿宋_GB2312" w:cs="仿宋_GB2312" w:eastAsia="仿宋_GB2312"/>
              </w:rPr>
              <w:t xml:space="preserve"> 项</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r>
        <w:tc>
          <w:tcPr>
            <w:tcW w:type="dxa" w:w="1187"/>
          </w:tcPr>
          <w:p>
            <w:pPr>
              <w:pStyle w:val="null3"/>
              <w:jc w:val="left"/>
            </w:pPr>
            <w:r>
              <w:rPr>
                <w:rFonts w:ascii="仿宋_GB2312" w:hAnsi="仿宋_GB2312" w:cs="仿宋_GB2312" w:eastAsia="仿宋_GB2312"/>
              </w:rPr>
              <w:t xml:space="preserve"> 4</w:t>
            </w:r>
          </w:p>
        </w:tc>
        <w:tc>
          <w:tcPr>
            <w:tcW w:type="dxa" w:w="1187"/>
          </w:tcPr>
          <w:p>
            <w:pPr>
              <w:pStyle w:val="null3"/>
              <w:jc w:val="left"/>
            </w:pPr>
            <w:r>
              <w:rPr>
                <w:rFonts w:ascii="仿宋_GB2312" w:hAnsi="仿宋_GB2312" w:cs="仿宋_GB2312" w:eastAsia="仿宋_GB2312"/>
              </w:rPr>
              <w:t xml:space="preserve"> A07031201-蔬菜</w:t>
            </w:r>
          </w:p>
        </w:tc>
        <w:tc>
          <w:tcPr>
            <w:tcW w:type="dxa" w:w="1187"/>
          </w:tcPr>
          <w:p>
            <w:pPr>
              <w:pStyle w:val="null3"/>
              <w:jc w:val="left"/>
            </w:pPr>
            <w:r>
              <w:rPr>
                <w:rFonts w:ascii="仿宋_GB2312" w:hAnsi="仿宋_GB2312" w:cs="仿宋_GB2312" w:eastAsia="仿宋_GB2312"/>
              </w:rPr>
              <w:t xml:space="preserve"> 项</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r>
        <w:tc>
          <w:tcPr>
            <w:tcW w:type="dxa" w:w="1187"/>
          </w:tcPr>
          <w:p>
            <w:pPr>
              <w:pStyle w:val="null3"/>
              <w:jc w:val="left"/>
            </w:pPr>
            <w:r>
              <w:rPr>
                <w:rFonts w:ascii="仿宋_GB2312" w:hAnsi="仿宋_GB2312" w:cs="仿宋_GB2312" w:eastAsia="仿宋_GB2312"/>
              </w:rPr>
              <w:t xml:space="preserve"> 5</w:t>
            </w:r>
          </w:p>
        </w:tc>
        <w:tc>
          <w:tcPr>
            <w:tcW w:type="dxa" w:w="1187"/>
          </w:tcPr>
          <w:p>
            <w:pPr>
              <w:pStyle w:val="null3"/>
              <w:jc w:val="left"/>
            </w:pPr>
            <w:r>
              <w:rPr>
                <w:rFonts w:ascii="仿宋_GB2312" w:hAnsi="仿宋_GB2312" w:cs="仿宋_GB2312" w:eastAsia="仿宋_GB2312"/>
              </w:rPr>
              <w:t xml:space="preserve"> A07060105-植物油及其制品</w:t>
            </w:r>
          </w:p>
        </w:tc>
        <w:tc>
          <w:tcPr>
            <w:tcW w:type="dxa" w:w="1187"/>
          </w:tcPr>
          <w:p>
            <w:pPr>
              <w:pStyle w:val="null3"/>
              <w:jc w:val="left"/>
            </w:pPr>
            <w:r>
              <w:rPr>
                <w:rFonts w:ascii="仿宋_GB2312" w:hAnsi="仿宋_GB2312" w:cs="仿宋_GB2312" w:eastAsia="仿宋_GB2312"/>
              </w:rPr>
              <w:t xml:space="preserve"> 项</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详见附件：法律、行政法规规定的其他条件的声明函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详见附件：信用查询承诺函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详见附件：商务技术偏差一览表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