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三亚市迎宾中学食堂管理服务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ZRHN-2025-053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三亚市迎宾中学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致瑞（海南）项目管理有限公司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三亚市迎宾中学</w:t>
      </w:r>
      <w:r>
        <w:rPr>
          <w:rFonts w:ascii="仿宋_GB2312" w:hAnsi="仿宋_GB2312" w:cs="仿宋_GB2312" w:eastAsia="仿宋_GB2312"/>
        </w:rPr>
        <w:t xml:space="preserve"> 委托， </w:t>
      </w:r>
      <w:r>
        <w:rPr>
          <w:rFonts w:ascii="仿宋_GB2312" w:hAnsi="仿宋_GB2312" w:cs="仿宋_GB2312" w:eastAsia="仿宋_GB2312"/>
        </w:rPr>
        <w:t>致瑞（海南）项目管理有限公司</w:t>
      </w:r>
      <w:r>
        <w:rPr>
          <w:rFonts w:ascii="仿宋_GB2312" w:hAnsi="仿宋_GB2312" w:cs="仿宋_GB2312" w:eastAsia="仿宋_GB2312"/>
        </w:rPr>
        <w:t xml:space="preserve"> 对 </w:t>
      </w:r>
      <w:r>
        <w:rPr>
          <w:rFonts w:ascii="仿宋_GB2312" w:hAnsi="仿宋_GB2312" w:cs="仿宋_GB2312" w:eastAsia="仿宋_GB2312"/>
        </w:rPr>
        <w:t>三亚市迎宾中学食堂管理服务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ZRHN-2025-053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三亚市迎宾中学食堂管理服务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三年，合同采取一年一签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1、政府采购供应商信用承诺书：提供政府采购供应商信用承诺书</w:t>
      </w:r>
    </w:p>
    <w:p>
      <w:pPr>
        <w:pStyle w:val="null3"/>
        <w:jc w:val="left"/>
      </w:pPr>
      <w:r>
        <w:rPr>
          <w:rFonts w:ascii="仿宋_GB2312" w:hAnsi="仿宋_GB2312" w:cs="仿宋_GB2312" w:eastAsia="仿宋_GB2312"/>
        </w:rPr>
        <w:t>2、无环保类行政处罚记录：参加政府采购活动前三年内（2022年1月1日起至今，成立不满三年的自公司成立之日起算），无环保类行政处罚记录声明函（提供声明函）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2.有关本项目招标文件的补遗、澄清及变更信息以上述网站公告与下载为准，采购代理机构不再另行通知，招标文件与更正公告的内容相互矛盾时，以最后发出的更正公告内容为准 。 3.本项目为远程不见面方式（供应商无需到现场）。 4.根据《三亚市人民政府办公室关于印发&lt;三亚市创建一流营商环境 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 向开展政府采购合同融资业务的银行的公司业务部申请信用贷款。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三亚市迎宾中学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三亚市吉阳区海螺东路3号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0898-88330919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致瑞（海南）项目管理有限公司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海南省三亚市吉阳区迎宾路蓝立方苏商大厦1205室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0898-38210812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投标截止时间届满后90日历天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代理服务费收费标准：在中标通知书发出前由中标人一次性向我司支付100%的招标代理服务费41200元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预算金额（最高限价）：2000000元/年；服务期限（合同履行期限）：三年，合同采取一年一签</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联系人：胡工</w:t>
      </w:r>
    </w:p>
    <w:p>
      <w:pPr>
        <w:pStyle w:val="null3"/>
        <w:jc w:val="left"/>
      </w:pPr>
      <w:r>
        <w:rPr>
          <w:rFonts w:ascii="仿宋_GB2312" w:hAnsi="仿宋_GB2312" w:cs="仿宋_GB2312" w:eastAsia="仿宋_GB2312"/>
        </w:rPr>
        <w:t>联系电话：0898-38210812</w:t>
      </w:r>
    </w:p>
    <w:p>
      <w:pPr>
        <w:pStyle w:val="null3"/>
        <w:jc w:val="left"/>
      </w:pPr>
      <w:r>
        <w:rPr>
          <w:rFonts w:ascii="仿宋_GB2312" w:hAnsi="仿宋_GB2312" w:cs="仿宋_GB2312" w:eastAsia="仿宋_GB2312"/>
        </w:rPr>
        <w:t>地址：三亚市吉阳区苏商大厦1205室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保障学校食堂的正常运行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三亚市迎宾中学食堂管理服务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三亚市迎宾中学食堂管理服务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标的名称：三亚市迎宾中学食堂管理服务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1、项目基本情况</w:t>
            </w:r>
          </w:p>
          <w:p>
            <w:pPr>
              <w:pStyle w:val="null3"/>
              <w:ind w:firstLine="560"/>
              <w:jc w:val="left"/>
            </w:pPr>
            <w:r>
              <w:rPr>
                <w:rFonts w:ascii="仿宋_GB2312" w:hAnsi="仿宋_GB2312" w:cs="仿宋_GB2312" w:eastAsia="仿宋_GB2312"/>
                <w:sz w:val="28"/>
              </w:rPr>
              <w:t>项目需求人数：</w:t>
            </w:r>
            <w:r>
              <w:rPr>
                <w:rFonts w:ascii="仿宋_GB2312" w:hAnsi="仿宋_GB2312" w:cs="仿宋_GB2312" w:eastAsia="仿宋_GB2312"/>
                <w:sz w:val="28"/>
              </w:rPr>
              <w:t>30人（项目负责人1名、食品安全员1名、会计1名、出纳 1名、库管 1名、厨师长 1名、厨师 4名、糕点厨师2名、粉面厨师1名、切配 9名、洗消保洁 8名）。</w:t>
            </w:r>
          </w:p>
          <w:p>
            <w:pPr>
              <w:pStyle w:val="null3"/>
              <w:jc w:val="left"/>
            </w:pPr>
            <w:r>
              <w:rPr>
                <w:rFonts w:ascii="仿宋_GB2312" w:hAnsi="仿宋_GB2312" w:cs="仿宋_GB2312" w:eastAsia="仿宋_GB2312"/>
                <w:sz w:val="28"/>
                <w:b/>
              </w:rPr>
              <w:t>2、服务的内容、工作要求与标准</w:t>
            </w:r>
          </w:p>
          <w:p>
            <w:pPr>
              <w:pStyle w:val="null3"/>
              <w:ind w:firstLine="560"/>
              <w:jc w:val="left"/>
            </w:pPr>
            <w:r>
              <w:rPr>
                <w:rFonts w:ascii="仿宋_GB2312" w:hAnsi="仿宋_GB2312" w:cs="仿宋_GB2312" w:eastAsia="仿宋_GB2312"/>
                <w:sz w:val="28"/>
              </w:rPr>
              <w:t>（一）服从单位食堂管理人员的安排，遵守各项规章制度，协助食堂管理工作人员做好菜品购置工作。</w:t>
            </w:r>
          </w:p>
          <w:p>
            <w:pPr>
              <w:pStyle w:val="null3"/>
              <w:ind w:firstLine="560"/>
              <w:jc w:val="left"/>
            </w:pPr>
            <w:r>
              <w:rPr>
                <w:rFonts w:ascii="仿宋_GB2312" w:hAnsi="仿宋_GB2312" w:cs="仿宋_GB2312" w:eastAsia="仿宋_GB2312"/>
                <w:sz w:val="28"/>
              </w:rPr>
              <w:t>（二）熟悉和掌握菜品的基本制作技术，要求色、香、味、形符合质量标准，每日根据拟定的菜单烹制，保障一日三餐按时开饭，出色完成本岗位承担的工作任务。</w:t>
            </w:r>
          </w:p>
          <w:p>
            <w:pPr>
              <w:pStyle w:val="null3"/>
              <w:ind w:firstLine="560"/>
              <w:jc w:val="left"/>
            </w:pPr>
            <w:r>
              <w:rPr>
                <w:rFonts w:ascii="仿宋_GB2312" w:hAnsi="仿宋_GB2312" w:cs="仿宋_GB2312" w:eastAsia="仿宋_GB2312"/>
                <w:sz w:val="28"/>
              </w:rPr>
              <w:t>（三）计划用料，精工细作，经常变化花色品种，掌握火候，菜肴用料、配料恰当，味道适口，并虚心听取反馈意见，研究改善伙食的措施，改善制作方法，提高烹饪技巧，不断提高烹饪技术。</w:t>
            </w:r>
          </w:p>
          <w:p>
            <w:pPr>
              <w:pStyle w:val="null3"/>
              <w:ind w:firstLine="560"/>
              <w:jc w:val="left"/>
            </w:pPr>
            <w:r>
              <w:rPr>
                <w:rFonts w:ascii="仿宋_GB2312" w:hAnsi="仿宋_GB2312" w:cs="仿宋_GB2312" w:eastAsia="仿宋_GB2312"/>
                <w:sz w:val="28"/>
              </w:rPr>
              <w:t>（四）烹调时应注意个人卫生，接触食品要洗手，生熟用具要分开，菜盆、盛器等必须清洗干净方可盛菜，加工菜肴必须做好无泥沙、无虫、无黄叶烂叶和其他杂物，要严格遵守卫生要求。</w:t>
            </w:r>
          </w:p>
          <w:p>
            <w:pPr>
              <w:pStyle w:val="null3"/>
              <w:ind w:firstLine="560"/>
              <w:jc w:val="left"/>
            </w:pPr>
            <w:r>
              <w:rPr>
                <w:rFonts w:ascii="仿宋_GB2312" w:hAnsi="仿宋_GB2312" w:cs="仿宋_GB2312" w:eastAsia="仿宋_GB2312"/>
                <w:sz w:val="28"/>
              </w:rPr>
              <w:t>（五）配合单位全体就餐人员搞好厨房卫生，确保厨房地面干爽洁净，无污渍、积水等，厨台、厨具、灶面等干净无灰尘。</w:t>
            </w:r>
          </w:p>
          <w:p>
            <w:pPr>
              <w:pStyle w:val="null3"/>
              <w:ind w:firstLine="560"/>
              <w:jc w:val="left"/>
            </w:pPr>
            <w:r>
              <w:rPr>
                <w:rFonts w:ascii="仿宋_GB2312" w:hAnsi="仿宋_GB2312" w:cs="仿宋_GB2312" w:eastAsia="仿宋_GB2312"/>
                <w:sz w:val="28"/>
              </w:rPr>
              <w:t>（六）注意节水、节电、节煤气，爱护公物，注意安全，做好防火、防盗、防煤气中毒、防腐等工作。</w:t>
            </w:r>
          </w:p>
          <w:p>
            <w:pPr>
              <w:pStyle w:val="null3"/>
              <w:ind w:firstLine="560"/>
              <w:jc w:val="left"/>
            </w:pPr>
            <w:r>
              <w:rPr>
                <w:rFonts w:ascii="仿宋_GB2312" w:hAnsi="仿宋_GB2312" w:cs="仿宋_GB2312" w:eastAsia="仿宋_GB2312"/>
                <w:sz w:val="28"/>
              </w:rPr>
              <w:t>（七）根据单位工作实际情况配合食堂管理人员做好饮食保障工作。</w:t>
            </w:r>
          </w:p>
          <w:p>
            <w:pPr>
              <w:pStyle w:val="null3"/>
              <w:jc w:val="left"/>
            </w:pPr>
            <w:r>
              <w:rPr>
                <w:rFonts w:ascii="仿宋_GB2312" w:hAnsi="仿宋_GB2312" w:cs="仿宋_GB2312" w:eastAsia="仿宋_GB2312"/>
                <w:sz w:val="28"/>
                <w:b/>
                <w:color w:val="000000"/>
              </w:rPr>
              <w:t>3、特别说明</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投标人应当充分考虑各种因素，包括但不限于食堂所有工种的基本劳务费、管理费、培训费、相关社会福利、保险以及国家和地区对该行业规定必须缴纳的费用、税金及物价上涨等，测算出合理的报价。</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其他要求：投标人在服务期内，因自身原因造成采购合同终止或考核全年有</w:t>
            </w:r>
            <w:r>
              <w:rPr>
                <w:rFonts w:ascii="仿宋_GB2312" w:hAnsi="仿宋_GB2312" w:cs="仿宋_GB2312" w:eastAsia="仿宋_GB2312"/>
                <w:sz w:val="28"/>
              </w:rPr>
              <w:t>3次及以上不合格的，采购人有权终止合同。因此产生的所有经济损失由投标人自行承担，如给采购人造成经济损失的，采购人将依法追究其法律责任。</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（一）服务期限（合同履行期限）：三年，合同采取一年一签</w:t>
            </w:r>
            <w:r>
              <w:rPr>
                <w:rFonts w:ascii="仿宋_GB2312" w:hAnsi="仿宋_GB2312" w:cs="仿宋_GB2312" w:eastAsia="仿宋_GB2312"/>
                <w:sz w:val="28"/>
              </w:rPr>
              <w:t xml:space="preserve">  </w:t>
            </w:r>
          </w:p>
          <w:p>
            <w:pPr>
              <w:pStyle w:val="null3"/>
              <w:ind w:firstLine="560"/>
              <w:jc w:val="left"/>
            </w:pPr>
            <w:r>
              <w:rPr>
                <w:rFonts w:ascii="仿宋_GB2312" w:hAnsi="仿宋_GB2312" w:cs="仿宋_GB2312" w:eastAsia="仿宋_GB2312"/>
                <w:sz w:val="28"/>
              </w:rPr>
              <w:t>（二）服务地点：采购人指定地点</w:t>
            </w:r>
          </w:p>
          <w:p>
            <w:pPr>
              <w:pStyle w:val="null3"/>
              <w:ind w:firstLine="560"/>
              <w:jc w:val="left"/>
            </w:pPr>
            <w:r>
              <w:rPr>
                <w:rFonts w:ascii="仿宋_GB2312" w:hAnsi="仿宋_GB2312" w:cs="仿宋_GB2312" w:eastAsia="仿宋_GB2312"/>
                <w:sz w:val="28"/>
              </w:rPr>
              <w:t>（三）投标有效期：投标截止时间届满后90日历天</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（一）付款进度安排：按合同约定执行</w:t>
      </w:r>
    </w:p>
    <w:p>
      <w:pPr>
        <w:pStyle w:val="null3"/>
        <w:ind w:firstLine="560"/>
        <w:jc w:val="left"/>
      </w:pPr>
      <w:r>
        <w:rPr>
          <w:rFonts w:ascii="仿宋_GB2312" w:hAnsi="仿宋_GB2312" w:cs="仿宋_GB2312" w:eastAsia="仿宋_GB2312"/>
          <w:sz w:val="28"/>
        </w:rPr>
        <w:t>（二）验收、交付标准和方法：中标投标人与采购人应严格按照《财政部关于进一步加强政府采购需求和履约验收管理的指导意见》（财库〔</w:t>
      </w:r>
      <w:r>
        <w:rPr>
          <w:rFonts w:ascii="仿宋_GB2312" w:hAnsi="仿宋_GB2312" w:cs="仿宋_GB2312" w:eastAsia="仿宋_GB2312"/>
          <w:sz w:val="28"/>
        </w:rPr>
        <w:t>2016〕205 号）文件及相关法律法规要求与合同约定相关条款进行验收。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参加政府采购活动前三年内（2022年1月1日起至今，成立不满三年的自公司成立之日起算），无环保类行政处罚记录声明函（提供声明函）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政府采购供应商信用承诺书 自觉抵制政府采购领域商业贿赂行为承诺书 封面 商业信誉、财务会计制度、缴纳税收和社保的承诺函 具有独立承担民事责任的能力证明文件 投标人承诺函 信用查询承诺函 技术偏差一览表 法律、行政法规规定的其他条件的声明函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需求响应</w:t>
            </w:r>
          </w:p>
        </w:tc>
        <w:tc>
          <w:tcPr>
            <w:tcW w:type="dxa" w:w="2492"/>
          </w:tcPr>
          <w:p>
            <w:pPr>
              <w:pStyle w:val="null3"/>
              <w:jc w:val="both"/>
            </w:pPr>
            <w:r>
              <w:rPr>
                <w:rFonts w:ascii="仿宋_GB2312" w:hAnsi="仿宋_GB2312" w:cs="仿宋_GB2312" w:eastAsia="仿宋_GB2312"/>
              </w:rPr>
              <w:t>根据招标文件“第三章采购需求”的内容与投标文件的《技术偏差一览表》逐项对照，《技术偏差一览表》的内容必须与招标文件“第三章采购需求”的内容逐项对应。评委会逐项审查响应情况，每出现一项不满足扣2分，共10项，扣完为止。本项满分20分。 注：投标人须根据招标文件提供的格式填写《技术偏差一览表》，未按要求提供不得分。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食堂经营服务方案</w:t>
            </w:r>
          </w:p>
        </w:tc>
        <w:tc>
          <w:tcPr>
            <w:tcW w:type="dxa" w:w="2492"/>
          </w:tcPr>
          <w:p>
            <w:pPr>
              <w:pStyle w:val="null3"/>
              <w:jc w:val="both"/>
            </w:pPr>
            <w:r>
              <w:rPr>
                <w:rFonts w:ascii="仿宋_GB2312" w:hAnsi="仿宋_GB2312" w:cs="仿宋_GB2312" w:eastAsia="仿宋_GB2312"/>
              </w:rPr>
              <w:t>1、经营服务方案包括但不限于：（1）人员用工管理；（2）增值及创新服务方案；（3）菜单方案；（4）经营管理制度。 投标人提供上述内容的，每提供1项得2分，满分8分。 2、根据投标人提供的食堂经营服务方案进行评审赋分： （1）完全响应且思路清晰，方案内容完整全面详细，针对性强具有可操作性，方案总体设计合理得7分； （2）无缺漏项，能满足项目需求，但缺乏针对性及可操作性，方案总体设计较合理得5分； （3）存在缺漏项，方案总体设计基本合理、思路不清晰，无针对性及可操作性，无法满足采购需求，得3分；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突发情况及意外事故应急处理方案</w:t>
            </w:r>
          </w:p>
        </w:tc>
        <w:tc>
          <w:tcPr>
            <w:tcW w:type="dxa" w:w="2492"/>
          </w:tcPr>
          <w:p>
            <w:pPr>
              <w:pStyle w:val="null3"/>
              <w:jc w:val="both"/>
            </w:pPr>
            <w:r>
              <w:rPr>
                <w:rFonts w:ascii="仿宋_GB2312" w:hAnsi="仿宋_GB2312" w:cs="仿宋_GB2312" w:eastAsia="仿宋_GB2312"/>
              </w:rPr>
              <w:t>1、突发情况及意外事故应急处理方案包括但不限于：（1）加工；（2）仓储、运输；（3）食物中毒事故应急处理措施；（4）火灾、台风应急预案；（5）工伤事故应急处理措施。 投标人提供上述内容的，每提供1项得2分，满分10分。 2、根据投标人提供的突发情况及意外事故应急处理方案进行评审赋分： （1）完全响应且思路清晰，方案内容完整全面详细，针对性强具有可操作性，方案总体设计合理得5分； （2）无缺漏项，能满足项目需求，但缺乏针对性及可操作性，方案总体设计较合理得4分； （3）存在缺漏项，方案总体设计基本合理、思路不清晰，无针对性及可操作性，无法满足采购需求，得3分；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食品安全及质量保证措施</w:t>
            </w:r>
          </w:p>
        </w:tc>
        <w:tc>
          <w:tcPr>
            <w:tcW w:type="dxa" w:w="2492"/>
          </w:tcPr>
          <w:p>
            <w:pPr>
              <w:pStyle w:val="null3"/>
              <w:jc w:val="both"/>
            </w:pPr>
            <w:r>
              <w:rPr>
                <w:rFonts w:ascii="仿宋_GB2312" w:hAnsi="仿宋_GB2312" w:cs="仿宋_GB2312" w:eastAsia="仿宋_GB2312"/>
              </w:rPr>
              <w:t>1、食品安全及质量保证措施包括但不限于：（1）食材食品检测检验、定期查验；（2）服务质量要求；（3）服务质量考核。 投标人提供上述内容的，每提供1项得3分，满分9分。 2、根据投标人提供的食品安全及质量保证措施进行评审赋分： （1）完全响应且思路清晰，方案内容完整全面详细，针对性强具有可操作性，方案总体设计合理得6分； （2）无缺漏项，能满足项目需求，但缺乏针对性及可操作性，方案总体设计较合理得5分； （3）存在缺漏项，方案总体设计基本合理、思路不清晰，无针对性及可操作性，无法满足采购需求，得3分；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卫生管理方案</w:t>
            </w:r>
          </w:p>
        </w:tc>
        <w:tc>
          <w:tcPr>
            <w:tcW w:type="dxa" w:w="2492"/>
          </w:tcPr>
          <w:p>
            <w:pPr>
              <w:pStyle w:val="null3"/>
              <w:jc w:val="both"/>
            </w:pPr>
            <w:r>
              <w:rPr>
                <w:rFonts w:ascii="仿宋_GB2312" w:hAnsi="仿宋_GB2312" w:cs="仿宋_GB2312" w:eastAsia="仿宋_GB2312"/>
              </w:rPr>
              <w:t>1、卫生管理方案包括但不限于：（1）环境卫生；（2）食品卫生；（3）人员卫生；（4）病媒生物消杀；（5）餐厨废弃物处理。 投标人提供上述内容的，每提供1项得2分，满分10分。 2、根据投标人提供的卫生管理方案进行评审赋分： （1）完全响应且思路清晰，方案内容完整全面详细，针对性强具有可操作性，方案总体设计合理得5分； （2）无缺漏项，能满足项目需求，但缺乏针对性及可操作性，方案总体设计较合理得4分； （3）存在缺漏项，方案总体设计基本合理、思路不清晰，无针对性及可操作性，无法满足采购需求，得3分；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人员配置</w:t>
            </w:r>
          </w:p>
        </w:tc>
        <w:tc>
          <w:tcPr>
            <w:tcW w:type="dxa" w:w="2492"/>
          </w:tcPr>
          <w:p>
            <w:pPr>
              <w:pStyle w:val="null3"/>
              <w:jc w:val="both"/>
            </w:pPr>
            <w:r>
              <w:rPr>
                <w:rFonts w:ascii="仿宋_GB2312" w:hAnsi="仿宋_GB2312" w:cs="仿宋_GB2312" w:eastAsia="仿宋_GB2312"/>
              </w:rPr>
              <w:t>除本项目要求的30名配备人员外： 1.配备1名现场经理，具有大专及以上学历得6分，满分6分。 证明材料：提供学历证书、劳动合同。 2.配备1名公共营养师证书的人员得4分，满分4分。 证明材料：提供证书、劳动合同。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ZRHN-2025-053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三亚市迎宾中学食堂管理服务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三亚市迎宾中学食堂管理服务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三亚市迎宾中学食堂管理服务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详见附件：法律、行政法规规定的其他条件的声明函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详见附件：信用查询承诺函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详见附件：技术偏差一览表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