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</w:rPr>
        <w:t>三亚市人民医院医疗集团分院物业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outlineLvl w:val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48"/>
          <w:szCs w:val="48"/>
        </w:rPr>
        <w:t>保洁服务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>-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</w:rPr>
        <w:t>采购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lang w:val="en-US" w:eastAsia="zh-CN"/>
        </w:rPr>
        <w:t>包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val="en-US" w:eastAsia="zh-CN"/>
        </w:rPr>
        <w:t>1、2、3、4、5、6）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</w:rPr>
        <w:t>合同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val="en-US" w:eastAsia="zh-CN"/>
        </w:rPr>
        <w:t>范本</w:t>
      </w:r>
      <w:r>
        <w:rPr>
          <w:rFonts w:hint="eastAsia" w:ascii="宋体" w:hAnsi="宋体" w:cs="宋体"/>
          <w:b/>
          <w:bCs/>
          <w:color w:val="auto"/>
          <w:sz w:val="48"/>
          <w:szCs w:val="4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</w:p>
    <w:p>
      <w:pPr>
        <w:pStyle w:val="6"/>
        <w:rPr>
          <w:rFonts w:hint="eastAsia"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b w:val="0"/>
          <w:bCs/>
          <w:color w:val="auto"/>
          <w:sz w:val="24"/>
          <w:lang w:val="en-US" w:eastAsia="zh-CN"/>
        </w:rPr>
        <w:t>2：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bookmarkStart w:id="4" w:name="_GoBack"/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依据《中华人民共和国政府采购法》和《中华人民共和国合同法》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kern w:val="2"/>
          <w:sz w:val="24"/>
          <w:szCs w:val="24"/>
          <w:u w:val="none"/>
          <w:lang w:val="en-US" w:eastAsia="zh-CN" w:bidi="ar-SA"/>
        </w:rPr>
        <w:t>及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******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kern w:val="2"/>
          <w:sz w:val="24"/>
          <w:szCs w:val="24"/>
          <w:u w:val="none"/>
          <w:lang w:val="en-US" w:eastAsia="zh-CN" w:bidi="ar-SA"/>
        </w:rPr>
        <w:t>_采购项目（项目编号：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*****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kern w:val="2"/>
          <w:sz w:val="24"/>
          <w:szCs w:val="24"/>
          <w:u w:val="none"/>
          <w:lang w:val="en-US" w:eastAsia="zh-CN" w:bidi="ar-SA"/>
        </w:rPr>
        <w:t>）的《招标文件》、乙方的《投标文件》及《中标通知书》，甲、乙双方在平等互利、协商一致的基础上签订本合同。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1、服务清单</w:t>
      </w:r>
    </w:p>
    <w:tbl>
      <w:tblPr>
        <w:tblStyle w:val="17"/>
        <w:tblW w:w="83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0"/>
        <w:gridCol w:w="2767"/>
        <w:gridCol w:w="866"/>
        <w:gridCol w:w="878"/>
        <w:gridCol w:w="1579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0" w:hRule="atLeast"/>
          <w:jc w:val="center"/>
        </w:trPr>
        <w:tc>
          <w:tcPr>
            <w:tcW w:w="80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276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服务项目名称</w:t>
            </w:r>
          </w:p>
        </w:tc>
        <w:tc>
          <w:tcPr>
            <w:tcW w:w="86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单位</w:t>
            </w:r>
          </w:p>
        </w:tc>
        <w:tc>
          <w:tcPr>
            <w:tcW w:w="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数量</w:t>
            </w:r>
          </w:p>
        </w:tc>
        <w:tc>
          <w:tcPr>
            <w:tcW w:w="157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单价</w:t>
            </w:r>
          </w:p>
        </w:tc>
        <w:tc>
          <w:tcPr>
            <w:tcW w:w="147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exact"/>
          <w:jc w:val="center"/>
        </w:trPr>
        <w:tc>
          <w:tcPr>
            <w:tcW w:w="80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76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6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7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47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356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合计金额：</w:t>
            </w:r>
          </w:p>
        </w:tc>
        <w:tc>
          <w:tcPr>
            <w:tcW w:w="4794" w:type="dxa"/>
            <w:gridSpan w:val="4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大写：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元整（小写￥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2、下列文件为本合同不可分割部分：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_Toc1744_WPSOffice_Level3"/>
      <w:r>
        <w:rPr>
          <w:rFonts w:hint="eastAsia" w:ascii="宋体" w:hAnsi="宋体" w:eastAsia="宋体" w:cs="宋体"/>
          <w:color w:val="auto"/>
          <w:sz w:val="24"/>
          <w:szCs w:val="24"/>
        </w:rPr>
        <w:t>① 中标通知书；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1" w:name="_Toc12118_WPSOffice_Level3"/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②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2" w:name="_Toc1840_WPSOffice_Level3"/>
      <w:r>
        <w:rPr>
          <w:rFonts w:hint="eastAsia" w:ascii="宋体" w:hAnsi="宋体" w:eastAsia="宋体" w:cs="宋体"/>
          <w:color w:val="auto"/>
          <w:sz w:val="24"/>
          <w:szCs w:val="24"/>
        </w:rPr>
        <w:t>③ 乙方的投标文件；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3" w:name="_Toc28561_WPSOffice_Level3"/>
      <w:r>
        <w:rPr>
          <w:rFonts w:hint="eastAsia" w:ascii="宋体" w:hAnsi="宋体" w:eastAsia="宋体" w:cs="宋体"/>
          <w:color w:val="auto"/>
          <w:sz w:val="24"/>
          <w:szCs w:val="24"/>
        </w:rPr>
        <w:t>④ 乙方在招投标过程中所作的其它承诺、声明、书面澄清等。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3、服务期限、地点和方式：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9" w:leftChars="228" w:hanging="240" w:hangingChars="10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服务期限：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服务期限3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，合同一年一签。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每年续签需经考核合格后签订，如果中标人考核不合格，采购人有权终止合同。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9" w:leftChars="228" w:hanging="240" w:hanging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本合同起止时间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日至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3.2、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服务地点: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采购包1服务地点为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三亚市吉阳区海罗社区卫生健康服务中心；采购包2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：三亚市吉阳区河东社区卫生健康服务中心；采购包3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三亚市吉阳区田独卫生院；采购包4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三亚市吉阳区荔枝沟卫生院；采购包5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三亚市吉阳区南新医院；采购包6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服务地点为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三亚市吉阳区福海苑卫生院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3.3、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服务方式：按采购人要求进行。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合同价款及支付方式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合同价款按此次中标价格执行，三年价款为（含税）：¥      （大写：     ）元/三年，一年价款为（含税）：¥      （大写：     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元/年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。该费用包括人工、设备、保险、税费等完成本合同约定物业服务内容所需的全部费用。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2、支付方式：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1、付款方式: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第一个月服务费在签订合同后3个工作日内向中标人支付服务费。第二个月起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经每月经考核合格后，按月支付服务费。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2、采购单位每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按照供应商服务状况评定达标后，签署付款凭证后拨付。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3、投标报价采用总价包干制。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4、每月服务考核标准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（附件2）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服务内容及具体标准要求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科学管理，规范服务，创造整洁、文明、安全、舒适的办公环境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按采购需求实施。</w:t>
      </w:r>
    </w:p>
    <w:p>
      <w:pPr>
        <w:pStyle w:val="6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乙方将承担物业服务提供人员的工资、津贴、奖金和与其工作相关的、国</w:t>
      </w:r>
    </w:p>
    <w:p>
      <w:pPr>
        <w:pStyle w:val="6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家或地方法规所征收或要求的其他税收、费用、社会福利和其他费用或保险，并承担他们相应的工伤、疾病、休假等用人单位的责任。</w:t>
      </w:r>
    </w:p>
    <w:p>
      <w:pPr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服务期间，乙方应提供乙方服务人员符合相关岗位职业需求的相关证件，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并做好对乙方服务人员的职业风险评估，入职前是否有传染病的相关检查，日常工作中出现的职业暴露，甲方配合给予相应检查及辅助预防用药，乙方负责费用的支出。乙方必须对自己的员工负责，做好员工的安全防护工作，因乙方工作原因造成乙方员工发生的任何意外和事故（如各种疾病、工伤等）均由乙方负责，甲方不为此承担责任。</w:t>
      </w:r>
    </w:p>
    <w:p>
      <w:pPr>
        <w:pStyle w:val="6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乙方的所有员工必须遵守国家法律法规，遵守医院的相关制度和规定。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在合同期内或合同终止后，未征得甲方同意，乙方不得泄露服务期间所知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悉的甲方未公开信息、资料或患者个人信息，不得擅自公开发表或用作其他用途，该保密义务的期限为永久，且不因本合同无效、撤销或终止而无效。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验收要求：中标供应商与采购人应严格按照海南省财政厅关于印发《海南省政府采购履约验收管理暂行办法》的通知（琼财采规〔2023〕16号）文件及相关法律法规要求、招标文件文件要求和合同约定相关条款进行验收。</w:t>
      </w:r>
    </w:p>
    <w:p>
      <w:pPr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违约责任及赔偿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乙方有违反本合同的有关规定，未能保证甲方的权利，甲方有权要求乙方限期整改，逾期无正当理由未整改的，甲方有权终止合同，造成甲方经济损失的，乙方应给予甲方经济赔偿。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甲方违反本合同的有关约定，致使乙方未完成服务目标，乙方有权要求甲方在一定期限内解决，逾期无正当理由未解决的，乙方有权终止合同，造成乙方经济损失的，甲方应给予乙方经济赔偿。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任何一方无正当理由提前终止合同的，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自终止合同之日起，剩余服务期限内每日应支付合同价款的千分之二作为违约金，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违约金总金额不超过合同总价的百分之二十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造成损失的应承担赔偿责任。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甲方未按合同约定按时支付物业服务费的，每逾期一日，向乙方支付应付合同价款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万分之一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/天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的违约金。如因财政国库资金支付受限、疫情等不可抗力因素及甲方内部审批等原因导致甲方付款延迟的，不视为甲方违约，乙方应予以理解。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本合同发生争议产生的诉讼，由三亚市城郊人民法院管辖。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合同生效及其它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本合同经双方代表签字并加盖公章后生效。本合同正本一式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份，甲方留存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份，乙方留存二份，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服务地点留存一份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不可抗力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在合同规定的履行期限内，由于受不可抗力事件影响而不能履行合同时，受阻一方在提供合法证明后可免予承担违约责任，本合同自行终止。不可抗力事件系指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双方在缔结合同时所不能预见的，并且它的发生及其后果是无法避免和无法克服的事件。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纠纷处理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在合同执行过程中发生的与本合同有关的争议，双方应通过友好协商解决。经协商在60天内不能达成协议时，按照《中华人民共和国民法典》有关条款执行。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十、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合同的修改和补充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欲对合同条款作出任何修改和补充，均须由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双方法定代表人或其授权的代表签署书面协议。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（以下无正文）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/>
          <w:color w:va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方：三亚市人民医院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（盖章）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13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地址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 xml:space="preserve">三亚市人民医院解放路558路 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法定（授权）代表人：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签订日期：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年   月   日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（分院）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（盖章）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14"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地址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：(分院）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法定（授权）代表人：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签订日期：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年   月   日</w:t>
      </w:r>
    </w:p>
    <w:p>
      <w:pPr>
        <w:pStyle w:val="14"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</w:p>
    <w:p>
      <w:pPr>
        <w:pStyle w:val="1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1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1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（盖章）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pStyle w:val="13"/>
        <w:rPr>
          <w:rFonts w:hint="eastAsia"/>
          <w:color w:val="auto"/>
        </w:rPr>
      </w:pPr>
      <w:r>
        <w:rPr>
          <w:rFonts w:hint="eastAsia" w:hAnsi="宋体" w:cs="宋体"/>
          <w:color w:val="auto"/>
          <w:sz w:val="24"/>
          <w:szCs w:val="24"/>
          <w:lang w:val="en-US" w:eastAsia="zh-CN"/>
        </w:rPr>
        <w:t>地址：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法定（授权）代表人：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联系人及联系电话：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开户行：</w:t>
      </w:r>
    </w:p>
    <w:p>
      <w:pPr>
        <w:pStyle w:val="14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账号：</w:t>
      </w:r>
    </w:p>
    <w:p>
      <w:pPr>
        <w:pStyle w:val="14"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eastAsia="zh-CN"/>
        </w:rPr>
        <w:t>签订时间：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年    月   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附件1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lang w:val="en-US" w:eastAsia="zh-CN"/>
        </w:rPr>
        <w:t>中标通知书</w:t>
      </w:r>
    </w:p>
    <w:p>
      <w:pPr>
        <w:pStyle w:val="6"/>
        <w:rPr>
          <w:rFonts w:hint="eastAsia"/>
          <w:color w:val="auto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32"/>
          <w:szCs w:val="32"/>
          <w:lang w:val="en-US" w:eastAsia="zh-CN"/>
        </w:rPr>
        <w:br w:type="page"/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32"/>
          <w:szCs w:val="32"/>
          <w:lang w:val="en-US" w:eastAsia="zh-CN"/>
        </w:rPr>
        <w:t xml:space="preserve">附件2                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    考核标准</w:t>
      </w:r>
    </w:p>
    <w:p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</w:p>
    <w:tbl>
      <w:tblPr>
        <w:tblStyle w:val="17"/>
        <w:tblW w:w="908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918"/>
        <w:gridCol w:w="1583"/>
        <w:gridCol w:w="3799"/>
        <w:gridCol w:w="697"/>
        <w:gridCol w:w="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9081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三亚市人民医院医疗集团分院物业保洁服务考核标准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81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服务范围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标准与要求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考核得分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大厅走廊办公室（包括公共区域）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无烟头、果皮、纸屑、污渍；</w:t>
            </w:r>
          </w:p>
        </w:tc>
        <w:tc>
          <w:tcPr>
            <w:tcW w:w="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浮尘、树叶、纸屑、塑料袋；地面面貌 一新无杂物、积水、泥沙；马桶、下水道疏通等。</w:t>
            </w:r>
          </w:p>
        </w:tc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公共卫生间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卫生间无异味、地面无尘土、碎纸烟头等；洗手池无污垢；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楼梯电梯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地面无尘土、碎纸烟头；电梯门无尘土、污迹等。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生活垃圾及医疗垃圾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收集及转运至指定地点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服务频次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清洁2次/日；消毒1次/两周；物体表面2次/日；收集生活垃圾至少2次/日。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应急服务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处理突发事件应急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配合单位处理突发事件、自然灾害、传染疫情等。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管理及培训要求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员工管理和考核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保洁人员必须着装整齐、举止端庄、挂牌上岗；具备相关的岗位工作能力；是否进行员工岗前培训、考核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文档管理体系</w:t>
            </w:r>
          </w:p>
        </w:tc>
        <w:tc>
          <w:tcPr>
            <w:tcW w:w="3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对所有的保洁设备、设施进行编号和登记；建立完善的技术资料。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5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90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注：100分制得分；具体考核内容可根据实际工作进行调整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（考核≥80分合格，按标准发放，＜80分不合格，经整改后，重新考核，经二次整改后均不合格，不予支付本月费用）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TvZET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ZpRoprCjy9cvl28/Lt8/E+gAUGv9An47C8/QvTYdnEe9hzLO3VVO&#10;xRsTEdgB9fkKr+gC4TFoPpvPc5g4bOMD+bOncOt8eCOMIlEoqMP+EqzstPWhdx1dYjVtNo2UaYdS&#10;k7agNy9f5SngakFyqVEjDtE3G6XQ7bthsr0pzxjMmZ4b3vJNg+Jb5sMjcyADGgbBwwOOShoUMYNE&#10;SW3cp7/poz92BCslLchVUA32UyLfauwu8nAU3CjsR0Ef1Z0BW6f4OJYnEQEuyFGsnFEfwfp1rAET&#10;0xyVChpG8S70BMev4WK9Tk5H65pD3QeAeZaFrd5ZHstEIL1dHwPATBhHgHpUBtzAvbSl4Z9Ecv/6&#10;Tl5Pv3n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BIk72REwIAABU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2A084"/>
    <w:multiLevelType w:val="singleLevel"/>
    <w:tmpl w:val="4E92A08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3F2CD13"/>
    <w:multiLevelType w:val="singleLevel"/>
    <w:tmpl w:val="53F2CD1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WExNTY4YjAzNmFiNjI0NTk0NzZlYjkzYjIyYTIifQ=="/>
  </w:docVars>
  <w:rsids>
    <w:rsidRoot w:val="645714A4"/>
    <w:rsid w:val="00311A5F"/>
    <w:rsid w:val="005518FA"/>
    <w:rsid w:val="008A18CA"/>
    <w:rsid w:val="010047FF"/>
    <w:rsid w:val="01926023"/>
    <w:rsid w:val="01B7167F"/>
    <w:rsid w:val="01EC266B"/>
    <w:rsid w:val="02615578"/>
    <w:rsid w:val="02D05584"/>
    <w:rsid w:val="03C316B1"/>
    <w:rsid w:val="03D27812"/>
    <w:rsid w:val="047071EC"/>
    <w:rsid w:val="05177476"/>
    <w:rsid w:val="0584694C"/>
    <w:rsid w:val="05FA265C"/>
    <w:rsid w:val="06D6041C"/>
    <w:rsid w:val="06F55E8D"/>
    <w:rsid w:val="078C4F85"/>
    <w:rsid w:val="07A331FF"/>
    <w:rsid w:val="0896632F"/>
    <w:rsid w:val="089E5D70"/>
    <w:rsid w:val="09E955EB"/>
    <w:rsid w:val="0A4F424A"/>
    <w:rsid w:val="0AB3183D"/>
    <w:rsid w:val="0ACE4B98"/>
    <w:rsid w:val="0C6B7A2A"/>
    <w:rsid w:val="0CBB417C"/>
    <w:rsid w:val="0DEE6380"/>
    <w:rsid w:val="0E132219"/>
    <w:rsid w:val="0E796AAB"/>
    <w:rsid w:val="0E8D49DE"/>
    <w:rsid w:val="0F3237FC"/>
    <w:rsid w:val="0FB008D3"/>
    <w:rsid w:val="10883BCF"/>
    <w:rsid w:val="10BA25DD"/>
    <w:rsid w:val="111B6540"/>
    <w:rsid w:val="11811177"/>
    <w:rsid w:val="118A78A3"/>
    <w:rsid w:val="120A5EF5"/>
    <w:rsid w:val="130715DC"/>
    <w:rsid w:val="13572E52"/>
    <w:rsid w:val="14CD0FC1"/>
    <w:rsid w:val="16273291"/>
    <w:rsid w:val="16AB43D1"/>
    <w:rsid w:val="16B80F6A"/>
    <w:rsid w:val="185E118D"/>
    <w:rsid w:val="189512D7"/>
    <w:rsid w:val="18F356AC"/>
    <w:rsid w:val="19614D0C"/>
    <w:rsid w:val="19CD2623"/>
    <w:rsid w:val="1A4877FD"/>
    <w:rsid w:val="1AFA12D1"/>
    <w:rsid w:val="1B68132D"/>
    <w:rsid w:val="1CA7512B"/>
    <w:rsid w:val="1DAE6572"/>
    <w:rsid w:val="1E11115E"/>
    <w:rsid w:val="1E7456FA"/>
    <w:rsid w:val="1F3D75DD"/>
    <w:rsid w:val="1F425ED3"/>
    <w:rsid w:val="1FBB6D1C"/>
    <w:rsid w:val="21212769"/>
    <w:rsid w:val="21BB2F8B"/>
    <w:rsid w:val="227745F2"/>
    <w:rsid w:val="22D13EAF"/>
    <w:rsid w:val="235C0A1E"/>
    <w:rsid w:val="238B4E5F"/>
    <w:rsid w:val="239F360A"/>
    <w:rsid w:val="24343749"/>
    <w:rsid w:val="24504A0A"/>
    <w:rsid w:val="247E2C16"/>
    <w:rsid w:val="25447850"/>
    <w:rsid w:val="25DC7398"/>
    <w:rsid w:val="26B05195"/>
    <w:rsid w:val="26C32978"/>
    <w:rsid w:val="27F762A3"/>
    <w:rsid w:val="280851D8"/>
    <w:rsid w:val="28D526DE"/>
    <w:rsid w:val="28F811E9"/>
    <w:rsid w:val="29C068A2"/>
    <w:rsid w:val="2AA446AC"/>
    <w:rsid w:val="2D2F29E8"/>
    <w:rsid w:val="2D5F4D29"/>
    <w:rsid w:val="2D674D63"/>
    <w:rsid w:val="2DF9057F"/>
    <w:rsid w:val="30174D80"/>
    <w:rsid w:val="30536D05"/>
    <w:rsid w:val="30B8300C"/>
    <w:rsid w:val="311C1EEE"/>
    <w:rsid w:val="312E7B2F"/>
    <w:rsid w:val="34097C06"/>
    <w:rsid w:val="3525226D"/>
    <w:rsid w:val="39A1376A"/>
    <w:rsid w:val="39C478AD"/>
    <w:rsid w:val="3A146E69"/>
    <w:rsid w:val="3A77667E"/>
    <w:rsid w:val="3B16051F"/>
    <w:rsid w:val="3B380EFD"/>
    <w:rsid w:val="3BCE1C32"/>
    <w:rsid w:val="3BDB32CC"/>
    <w:rsid w:val="3C033842"/>
    <w:rsid w:val="3DEF3A27"/>
    <w:rsid w:val="3E33150C"/>
    <w:rsid w:val="3E952BDE"/>
    <w:rsid w:val="3EAC3162"/>
    <w:rsid w:val="3FA03DA4"/>
    <w:rsid w:val="40860A30"/>
    <w:rsid w:val="40B26733"/>
    <w:rsid w:val="41434B73"/>
    <w:rsid w:val="416D030A"/>
    <w:rsid w:val="42920CC5"/>
    <w:rsid w:val="42AD6748"/>
    <w:rsid w:val="42FB6059"/>
    <w:rsid w:val="43E6435A"/>
    <w:rsid w:val="45300237"/>
    <w:rsid w:val="45A2455E"/>
    <w:rsid w:val="465A33E1"/>
    <w:rsid w:val="46737941"/>
    <w:rsid w:val="47354DB2"/>
    <w:rsid w:val="47752319"/>
    <w:rsid w:val="48110E2E"/>
    <w:rsid w:val="48A40FB1"/>
    <w:rsid w:val="48AC292F"/>
    <w:rsid w:val="4A912BC2"/>
    <w:rsid w:val="4AD533F5"/>
    <w:rsid w:val="4AE85BEC"/>
    <w:rsid w:val="4B362F99"/>
    <w:rsid w:val="4BBE3CC6"/>
    <w:rsid w:val="4C1B107E"/>
    <w:rsid w:val="4D766CE9"/>
    <w:rsid w:val="4D8E361A"/>
    <w:rsid w:val="4E1E72CB"/>
    <w:rsid w:val="4E2E3CD8"/>
    <w:rsid w:val="4E400BA9"/>
    <w:rsid w:val="4E450304"/>
    <w:rsid w:val="4EB32690"/>
    <w:rsid w:val="4F1E7DF1"/>
    <w:rsid w:val="4F3532E2"/>
    <w:rsid w:val="51CB3D9B"/>
    <w:rsid w:val="52B15A48"/>
    <w:rsid w:val="54090778"/>
    <w:rsid w:val="549D3B23"/>
    <w:rsid w:val="569C71B8"/>
    <w:rsid w:val="56A65F33"/>
    <w:rsid w:val="57C50EDE"/>
    <w:rsid w:val="585A7A90"/>
    <w:rsid w:val="590A227E"/>
    <w:rsid w:val="594A103A"/>
    <w:rsid w:val="5A984D78"/>
    <w:rsid w:val="5AF00CC5"/>
    <w:rsid w:val="5B3B2FEC"/>
    <w:rsid w:val="5BEE4543"/>
    <w:rsid w:val="5EB95A4C"/>
    <w:rsid w:val="5FCA265D"/>
    <w:rsid w:val="60722209"/>
    <w:rsid w:val="614D1CB4"/>
    <w:rsid w:val="62077630"/>
    <w:rsid w:val="627E4321"/>
    <w:rsid w:val="645714A4"/>
    <w:rsid w:val="64786C96"/>
    <w:rsid w:val="6510307C"/>
    <w:rsid w:val="65235E30"/>
    <w:rsid w:val="65E67DB1"/>
    <w:rsid w:val="668C5F8E"/>
    <w:rsid w:val="66D14F53"/>
    <w:rsid w:val="67326068"/>
    <w:rsid w:val="673F5746"/>
    <w:rsid w:val="68C00FF9"/>
    <w:rsid w:val="6B18546D"/>
    <w:rsid w:val="6BEF4116"/>
    <w:rsid w:val="6C065941"/>
    <w:rsid w:val="6C0B69EF"/>
    <w:rsid w:val="6D813184"/>
    <w:rsid w:val="6E16352F"/>
    <w:rsid w:val="6E5B69A8"/>
    <w:rsid w:val="6F015DAB"/>
    <w:rsid w:val="702A606B"/>
    <w:rsid w:val="71890614"/>
    <w:rsid w:val="71F1786A"/>
    <w:rsid w:val="721C22FF"/>
    <w:rsid w:val="72FD1286"/>
    <w:rsid w:val="73A62BBC"/>
    <w:rsid w:val="73E57D86"/>
    <w:rsid w:val="742443F6"/>
    <w:rsid w:val="74F81B70"/>
    <w:rsid w:val="75022074"/>
    <w:rsid w:val="750D7DBE"/>
    <w:rsid w:val="766248EC"/>
    <w:rsid w:val="788A55D2"/>
    <w:rsid w:val="797920A6"/>
    <w:rsid w:val="7BE349AD"/>
    <w:rsid w:val="7C090879"/>
    <w:rsid w:val="7D2178CD"/>
    <w:rsid w:val="7E7C3540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21"/>
    <w:qFormat/>
    <w:uiPriority w:val="0"/>
    <w:pPr>
      <w:spacing w:before="0" w:beforeAutospacing="1" w:after="0" w:afterAutospacing="1" w:line="560" w:lineRule="exact"/>
      <w:jc w:val="center"/>
      <w:outlineLvl w:val="0"/>
    </w:pPr>
    <w:rPr>
      <w:rFonts w:hint="eastAsia" w:ascii="宋体" w:hAnsi="宋体" w:eastAsia="宋体" w:cs="宋体"/>
      <w:b/>
      <w:bCs/>
      <w:color w:val="000000" w:themeColor="text1"/>
      <w:kern w:val="44"/>
      <w:sz w:val="30"/>
      <w:szCs w:val="48"/>
      <w:lang w:bidi="ar"/>
      <w14:textFill>
        <w14:solidFill>
          <w14:schemeClr w14:val="tx1"/>
        </w14:solidFill>
      </w14:textFill>
    </w:rPr>
  </w:style>
  <w:style w:type="paragraph" w:styleId="6">
    <w:name w:val="heading 2"/>
    <w:basedOn w:val="1"/>
    <w:next w:val="1"/>
    <w:link w:val="19"/>
    <w:semiHidden/>
    <w:unhideWhenUsed/>
    <w:qFormat/>
    <w:uiPriority w:val="0"/>
    <w:pPr>
      <w:keepNext/>
      <w:keepLines/>
      <w:snapToGrid w:val="0"/>
      <w:spacing w:before="160" w:beforeAutospacing="0" w:after="160" w:afterAutospacing="0" w:line="240" w:lineRule="auto"/>
      <w:jc w:val="left"/>
      <w:outlineLvl w:val="1"/>
    </w:pPr>
    <w:rPr>
      <w:rFonts w:ascii="Arial" w:hAnsi="Arial" w:eastAsia="仿宋" w:cs="宋体"/>
      <w:b/>
      <w:color w:val="000000" w:themeColor="text1"/>
      <w:kern w:val="2"/>
      <w:sz w:val="36"/>
      <w:szCs w:val="21"/>
      <w14:textFill>
        <w14:solidFill>
          <w14:schemeClr w14:val="tx1"/>
        </w14:solidFill>
      </w14:textFill>
    </w:rPr>
  </w:style>
  <w:style w:type="paragraph" w:styleId="7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2"/>
    </w:pPr>
    <w:rPr>
      <w:rFonts w:eastAsia="宋体" w:cs="宋体" w:asciiTheme="minorAscii" w:hAnsiTheme="minorAscii"/>
      <w:color w:val="E54C5E" w:themeColor="accent6"/>
      <w:sz w:val="32"/>
      <w:szCs w:val="32"/>
      <w14:textFill>
        <w14:solidFill>
          <w14:schemeClr w14:val="accent6"/>
        </w14:solidFill>
      </w14:textFill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napToGrid w:val="0"/>
      <w:spacing w:before="100" w:beforeLines="0" w:beforeAutospacing="0" w:after="100" w:afterLines="0" w:afterAutospacing="0" w:line="240" w:lineRule="auto"/>
      <w:jc w:val="center"/>
      <w:outlineLvl w:val="3"/>
    </w:pPr>
    <w:rPr>
      <w:rFonts w:ascii="Arial" w:hAnsi="Arial" w:eastAsia="仿宋" w:cs="Times New Roman"/>
      <w:b/>
      <w:color w:val="000000" w:themeColor="text1"/>
      <w:kern w:val="2"/>
      <w:sz w:val="30"/>
      <w:szCs w:val="21"/>
      <w14:textFill>
        <w14:solidFill>
          <w14:schemeClr w14:val="tx1"/>
        </w14:solidFill>
      </w14:textFill>
    </w:rPr>
  </w:style>
  <w:style w:type="paragraph" w:styleId="9">
    <w:name w:val="heading 5"/>
    <w:basedOn w:val="1"/>
    <w:next w:val="1"/>
    <w:semiHidden/>
    <w:unhideWhenUsed/>
    <w:qFormat/>
    <w:uiPriority w:val="0"/>
    <w:pPr>
      <w:keepNext/>
      <w:keepLines/>
      <w:spacing w:before="20" w:after="20" w:line="240" w:lineRule="auto"/>
      <w:outlineLvl w:val="4"/>
    </w:pPr>
    <w:rPr>
      <w:rFonts w:ascii="仿宋" w:hAnsi="仿宋" w:eastAsia="仿宋" w:cs="Times New Roman"/>
      <w:b/>
      <w:bCs/>
      <w:szCs w:val="28"/>
    </w:rPr>
  </w:style>
  <w:style w:type="paragraph" w:styleId="10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eastAsia="仿宋" w:asciiTheme="majorAscii" w:hAnsiTheme="majorAscii" w:cstheme="majorBidi"/>
      <w:b/>
      <w:bCs/>
      <w:sz w:val="28"/>
      <w:szCs w:val="24"/>
    </w:rPr>
  </w:style>
  <w:style w:type="character" w:default="1" w:styleId="18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spacing w:line="360" w:lineRule="auto"/>
      <w:ind w:left="181" w:firstLine="539"/>
    </w:pPr>
    <w:rPr>
      <w:sz w:val="24"/>
      <w:szCs w:val="20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next w:val="1"/>
    <w:qFormat/>
    <w:uiPriority w:val="1"/>
    <w:pPr>
      <w:ind w:left="500"/>
    </w:pPr>
    <w:rPr>
      <w:rFonts w:ascii="宋体" w:hAnsi="宋体" w:cs="宋体"/>
      <w:sz w:val="28"/>
      <w:szCs w:val="28"/>
      <w:lang w:val="zh-CN" w:bidi="zh-CN"/>
    </w:rPr>
  </w:style>
  <w:style w:type="paragraph" w:styleId="13">
    <w:name w:val="Plain Text"/>
    <w:basedOn w:val="1"/>
    <w:next w:val="14"/>
    <w:qFormat/>
    <w:uiPriority w:val="0"/>
    <w:rPr>
      <w:rFonts w:ascii="宋体" w:hAnsi="Courier New" w:eastAsia="宋体" w:cs="Times New Roman"/>
      <w:szCs w:val="20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9">
    <w:name w:val="标题 2 Char"/>
    <w:link w:val="6"/>
    <w:qFormat/>
    <w:uiPriority w:val="0"/>
    <w:rPr>
      <w:rFonts w:ascii="Arial" w:hAnsi="Arial" w:eastAsia="仿宋" w:cs="宋体"/>
      <w:b/>
      <w:color w:val="000000" w:themeColor="text1"/>
      <w:kern w:val="2"/>
      <w:sz w:val="36"/>
      <w:szCs w:val="21"/>
      <w14:textFill>
        <w14:solidFill>
          <w14:schemeClr w14:val="tx1"/>
        </w14:solidFill>
      </w14:textFill>
    </w:rPr>
  </w:style>
  <w:style w:type="character" w:customStyle="1" w:styleId="20">
    <w:name w:val="标题 3 Char"/>
    <w:link w:val="7"/>
    <w:qFormat/>
    <w:uiPriority w:val="0"/>
    <w:rPr>
      <w:rFonts w:eastAsia="宋体" w:cs="宋体" w:asciiTheme="minorAscii" w:hAnsiTheme="minorAscii"/>
      <w:color w:val="000000" w:themeColor="text1"/>
      <w:kern w:val="2"/>
      <w:sz w:val="32"/>
      <w:szCs w:val="21"/>
      <w14:textFill>
        <w14:solidFill>
          <w14:schemeClr w14:val="tx1"/>
        </w14:solidFill>
      </w14:textFill>
    </w:rPr>
  </w:style>
  <w:style w:type="character" w:customStyle="1" w:styleId="21">
    <w:name w:val="标题 1 Char"/>
    <w:link w:val="5"/>
    <w:qFormat/>
    <w:uiPriority w:val="0"/>
    <w:rPr>
      <w:rFonts w:ascii="宋体" w:hAnsi="宋体" w:eastAsia="宋体" w:cs="宋体"/>
      <w:b/>
      <w:color w:val="000000" w:themeColor="text1"/>
      <w:kern w:val="44"/>
      <w:sz w:val="30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2375</Words>
  <Characters>2424</Characters>
  <Lines>0</Lines>
  <Paragraphs>0</Paragraphs>
  <TotalTime>0</TotalTime>
  <ScaleCrop>false</ScaleCrop>
  <LinksUpToDate>false</LinksUpToDate>
  <CharactersWithSpaces>2646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2024-06-20T01:49:00Z</dcterms:created>
  <dc:creator>有钱立马冲会员</dc:creator>
  <cp:lastModifiedBy>去吧皮卡丘</cp:lastModifiedBy>
  <dcterms:modified xsi:type="dcterms:W3CDTF">2025-06-11T02:52:36Z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2A4291A948DE4F2687FE149AA27DFDAC_11</vt:lpwstr>
  </property>
  <property fmtid="{D5CDD505-2E9C-101B-9397-08002B2CF9AE}" pid="4" name="KSOTemplateDocerSaveRecord">
    <vt:lpwstr>eyJoZGlkIjoiMzlkOWExNTY4YjAzNmFiNjI0NTk0NzZlYjkzYjIyYTIiLCJ1c2VySWQiOiIzMTY5MzM0ODUifQ==</vt:lpwstr>
  </property>
</Properties>
</file>