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2" w:lineRule="auto"/>
        <w:jc w:val="center"/>
        <w:outlineLvl w:val="0"/>
        <w:rPr>
          <w:rFonts w:ascii="宋体" w:hAnsi="宋体" w:eastAsia="宋体" w:cs="宋体"/>
          <w:color w:val="auto"/>
          <w:sz w:val="71"/>
          <w:szCs w:val="71"/>
          <w:highlight w:val="none"/>
          <w:lang w:eastAsia="zh-CN"/>
        </w:rPr>
      </w:pPr>
      <w:bookmarkStart w:id="0" w:name="_GoBack"/>
      <w:bookmarkEnd w:id="0"/>
      <w:r>
        <w:rPr>
          <w:rFonts w:ascii="宋体" w:hAnsi="宋体" w:eastAsia="宋体" w:cs="宋体"/>
          <w:color w:val="auto"/>
          <w:spacing w:val="5"/>
          <w:sz w:val="71"/>
          <w:szCs w:val="71"/>
          <w:highlight w:val="none"/>
          <w:lang w:eastAsia="zh-CN"/>
        </w:rPr>
        <w:t>三亚市委大院</w:t>
      </w:r>
      <w:r>
        <w:rPr>
          <w:rFonts w:hint="eastAsia" w:ascii="宋体" w:hAnsi="宋体" w:eastAsia="宋体" w:cs="宋体"/>
          <w:color w:val="auto"/>
          <w:spacing w:val="5"/>
          <w:sz w:val="71"/>
          <w:szCs w:val="71"/>
          <w:highlight w:val="none"/>
          <w:lang w:eastAsia="zh-CN"/>
        </w:rPr>
        <w:t>及市周转房</w:t>
      </w:r>
    </w:p>
    <w:p>
      <w:pPr>
        <w:pStyle w:val="5"/>
        <w:spacing w:line="312" w:lineRule="auto"/>
        <w:rPr>
          <w:color w:val="auto"/>
          <w:highlight w:val="none"/>
          <w:lang w:eastAsia="zh-CN"/>
        </w:rPr>
      </w:pPr>
    </w:p>
    <w:p>
      <w:pPr>
        <w:spacing w:line="222" w:lineRule="auto"/>
        <w:jc w:val="center"/>
        <w:outlineLvl w:val="0"/>
        <w:rPr>
          <w:rFonts w:ascii="宋体" w:hAnsi="宋体" w:eastAsia="宋体" w:cs="宋体"/>
          <w:color w:val="auto"/>
          <w:spacing w:val="5"/>
          <w:sz w:val="71"/>
          <w:szCs w:val="71"/>
          <w:highlight w:val="none"/>
          <w:lang w:eastAsia="zh-CN"/>
        </w:rPr>
      </w:pPr>
      <w:r>
        <w:rPr>
          <w:rFonts w:ascii="宋体" w:hAnsi="宋体" w:eastAsia="宋体" w:cs="宋体"/>
          <w:color w:val="auto"/>
          <w:spacing w:val="5"/>
          <w:sz w:val="71"/>
          <w:szCs w:val="71"/>
          <w:highlight w:val="none"/>
          <w:lang w:eastAsia="zh-CN"/>
        </w:rPr>
        <w:t>物业</w:t>
      </w:r>
      <w:r>
        <w:rPr>
          <w:rFonts w:hint="eastAsia" w:ascii="宋体" w:hAnsi="宋体" w:eastAsia="宋体" w:cs="宋体"/>
          <w:color w:val="auto"/>
          <w:spacing w:val="5"/>
          <w:sz w:val="71"/>
          <w:szCs w:val="71"/>
          <w:highlight w:val="none"/>
          <w:lang w:eastAsia="zh-CN"/>
        </w:rPr>
        <w:t>管理</w:t>
      </w:r>
      <w:r>
        <w:rPr>
          <w:rFonts w:ascii="宋体" w:hAnsi="宋体" w:eastAsia="宋体" w:cs="宋体"/>
          <w:color w:val="auto"/>
          <w:spacing w:val="5"/>
          <w:sz w:val="71"/>
          <w:szCs w:val="71"/>
          <w:highlight w:val="none"/>
          <w:lang w:eastAsia="zh-CN"/>
        </w:rPr>
        <w:t>服务合同</w:t>
      </w:r>
    </w:p>
    <w:p>
      <w:pPr>
        <w:spacing w:line="222" w:lineRule="auto"/>
        <w:jc w:val="center"/>
        <w:outlineLvl w:val="0"/>
        <w:rPr>
          <w:rFonts w:ascii="宋体" w:hAnsi="宋体" w:eastAsia="宋体" w:cs="宋体"/>
          <w:color w:val="auto"/>
          <w:sz w:val="71"/>
          <w:szCs w:val="71"/>
          <w:highlight w:val="none"/>
          <w:lang w:eastAsia="zh-CN"/>
        </w:rPr>
      </w:pPr>
      <w:r>
        <w:rPr>
          <w:rFonts w:hint="eastAsia" w:ascii="宋体" w:hAnsi="宋体" w:eastAsia="宋体" w:cs="宋体"/>
          <w:color w:val="auto"/>
          <w:spacing w:val="5"/>
          <w:sz w:val="71"/>
          <w:szCs w:val="71"/>
          <w:highlight w:val="none"/>
          <w:lang w:eastAsia="zh-CN"/>
        </w:rPr>
        <w:t>（</w:t>
      </w:r>
      <w:r>
        <w:rPr>
          <w:rFonts w:hint="eastAsia" w:ascii="宋体" w:hAnsi="宋体" w:eastAsia="宋体" w:cs="宋体"/>
          <w:color w:val="auto"/>
          <w:spacing w:val="5"/>
          <w:sz w:val="71"/>
          <w:szCs w:val="71"/>
          <w:highlight w:val="none"/>
          <w:lang w:val="en-US" w:eastAsia="zh-CN"/>
        </w:rPr>
        <w:t>范本</w:t>
      </w:r>
      <w:r>
        <w:rPr>
          <w:rFonts w:hint="eastAsia" w:ascii="宋体" w:hAnsi="宋体" w:eastAsia="宋体" w:cs="宋体"/>
          <w:color w:val="auto"/>
          <w:spacing w:val="5"/>
          <w:sz w:val="71"/>
          <w:szCs w:val="71"/>
          <w:highlight w:val="none"/>
          <w:lang w:eastAsia="zh-CN"/>
        </w:rPr>
        <w:t>）</w:t>
      </w: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2" w:lineRule="auto"/>
        <w:rPr>
          <w:color w:val="auto"/>
          <w:highlight w:val="none"/>
          <w:lang w:eastAsia="zh-CN"/>
        </w:rPr>
      </w:pPr>
    </w:p>
    <w:p>
      <w:pPr>
        <w:pStyle w:val="5"/>
        <w:spacing w:line="243" w:lineRule="auto"/>
        <w:rPr>
          <w:color w:val="auto"/>
          <w:highlight w:val="none"/>
          <w:lang w:eastAsia="zh-CN"/>
        </w:rPr>
      </w:pPr>
    </w:p>
    <w:p>
      <w:pPr>
        <w:bidi w:val="0"/>
        <w:rPr>
          <w:color w:val="auto"/>
          <w:highlight w:val="none"/>
          <w:lang w:eastAsia="zh-CN"/>
        </w:rPr>
      </w:pPr>
    </w:p>
    <w:p>
      <w:pPr>
        <w:spacing w:line="241" w:lineRule="auto"/>
        <w:jc w:val="center"/>
        <w:rPr>
          <w:color w:val="auto"/>
          <w:highlight w:val="none"/>
          <w:lang w:eastAsia="zh-CN"/>
        </w:rPr>
      </w:pPr>
    </w:p>
    <w:p>
      <w:pPr>
        <w:spacing w:line="241" w:lineRule="auto"/>
        <w:jc w:val="center"/>
        <w:rPr>
          <w:rFonts w:eastAsia="宋体"/>
          <w:color w:val="auto"/>
          <w:highlight w:val="none"/>
          <w:lang w:eastAsia="zh-CN"/>
        </w:rPr>
      </w:pPr>
    </w:p>
    <w:p>
      <w:pPr>
        <w:spacing w:before="101" w:line="224" w:lineRule="auto"/>
        <w:ind w:left="719" w:firstLine="330" w:firstLineChars="100"/>
        <w:rPr>
          <w:rFonts w:ascii="宋体" w:hAnsi="宋体" w:eastAsia="宋体" w:cs="宋体"/>
          <w:color w:val="auto"/>
          <w:sz w:val="32"/>
          <w:szCs w:val="32"/>
          <w:highlight w:val="none"/>
          <w:lang w:eastAsia="zh-CN"/>
        </w:rPr>
      </w:pPr>
      <w:r>
        <w:rPr>
          <w:rFonts w:ascii="宋体" w:hAnsi="宋体" w:eastAsia="宋体" w:cs="宋体"/>
          <w:color w:val="auto"/>
          <w:spacing w:val="5"/>
          <w:sz w:val="32"/>
          <w:szCs w:val="32"/>
          <w:highlight w:val="none"/>
          <w:lang w:eastAsia="zh-CN"/>
        </w:rPr>
        <w:t>甲方：三亚市机关事务管理服务中心</w:t>
      </w:r>
    </w:p>
    <w:p>
      <w:pPr>
        <w:spacing w:before="144" w:line="224" w:lineRule="auto"/>
        <w:ind w:left="709" w:firstLine="320" w:firstLineChars="100"/>
        <w:outlineLvl w:val="1"/>
        <w:rPr>
          <w:color w:val="auto"/>
          <w:highlight w:val="none"/>
          <w:lang w:eastAsia="zh-CN"/>
        </w:rPr>
        <w:sectPr>
          <w:footerReference r:id="rId3" w:type="default"/>
          <w:pgSz w:w="11906" w:h="16839"/>
          <w:pgMar w:top="1431" w:right="1295" w:bottom="874" w:left="2184" w:header="0" w:footer="708" w:gutter="0"/>
          <w:pgNumType w:fmt="decimal"/>
          <w:cols w:space="720" w:num="1"/>
        </w:sectPr>
      </w:pPr>
      <w:r>
        <w:rPr>
          <w:rFonts w:ascii="宋体" w:hAnsi="宋体" w:eastAsia="宋体" w:cs="宋体"/>
          <w:color w:val="auto"/>
          <w:sz w:val="32"/>
          <w:szCs w:val="32"/>
          <w:highlight w:val="none"/>
          <w:lang w:eastAsia="zh-CN"/>
        </w:rPr>
        <w:drawing>
          <wp:anchor distT="0" distB="0" distL="114300" distR="114300" simplePos="0" relativeHeight="251658240" behindDoc="1" locked="0" layoutInCell="1" allowOverlap="1">
            <wp:simplePos x="0" y="0"/>
            <wp:positionH relativeFrom="column">
              <wp:posOffset>4975860</wp:posOffset>
            </wp:positionH>
            <wp:positionV relativeFrom="paragraph">
              <wp:posOffset>660400</wp:posOffset>
            </wp:positionV>
            <wp:extent cx="6350" cy="330200"/>
            <wp:effectExtent l="0" t="0" r="0" b="0"/>
            <wp:wrapNone/>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7"/>
                    <a:stretch>
                      <a:fillRect/>
                    </a:stretch>
                  </pic:blipFill>
                  <pic:spPr>
                    <a:xfrm>
                      <a:off x="0" y="0"/>
                      <a:ext cx="6350" cy="330200"/>
                    </a:xfrm>
                    <a:prstGeom prst="rect">
                      <a:avLst/>
                    </a:prstGeom>
                    <a:noFill/>
                    <a:ln>
                      <a:noFill/>
                    </a:ln>
                  </pic:spPr>
                </pic:pic>
              </a:graphicData>
            </a:graphic>
          </wp:anchor>
        </w:drawing>
      </w:r>
      <w:r>
        <w:rPr>
          <w:rFonts w:ascii="宋体" w:hAnsi="宋体" w:eastAsia="宋体" w:cs="宋体"/>
          <w:color w:val="auto"/>
          <w:spacing w:val="-4"/>
          <w:sz w:val="32"/>
          <w:szCs w:val="32"/>
          <w:highlight w:val="none"/>
          <w:lang w:eastAsia="zh-CN"/>
        </w:rPr>
        <w:t>乙方</w:t>
      </w:r>
      <w:r>
        <w:rPr>
          <w:rFonts w:ascii="宋体" w:hAnsi="宋体" w:eastAsia="宋体" w:cs="宋体"/>
          <w:color w:val="auto"/>
          <w:spacing w:val="5"/>
          <w:sz w:val="32"/>
          <w:szCs w:val="32"/>
          <w:highlight w:val="none"/>
          <w:lang w:eastAsia="zh-CN"/>
        </w:rPr>
        <w:t>：</w:t>
      </w:r>
    </w:p>
    <w:p>
      <w:pPr>
        <w:spacing w:line="225" w:lineRule="auto"/>
        <w:jc w:val="center"/>
        <w:outlineLvl w:val="1"/>
        <w:rPr>
          <w:rFonts w:ascii="宋体" w:hAnsi="宋体" w:eastAsia="宋体" w:cs="宋体"/>
          <w:color w:val="auto"/>
          <w:sz w:val="28"/>
          <w:szCs w:val="28"/>
          <w:highlight w:val="none"/>
          <w:lang w:eastAsia="zh-CN"/>
        </w:rPr>
      </w:pPr>
      <w:r>
        <w:rPr>
          <w:rFonts w:ascii="宋体" w:hAnsi="宋体" w:eastAsia="宋体" w:cs="宋体"/>
          <w:color w:val="auto"/>
          <w:spacing w:val="8"/>
          <w:sz w:val="28"/>
          <w:szCs w:val="28"/>
          <w:highlight w:val="none"/>
          <w:lang w:eastAsia="zh-CN"/>
        </w:rPr>
        <w:t>物业服务合同</w:t>
      </w:r>
    </w:p>
    <w:p>
      <w:pPr>
        <w:spacing w:line="559" w:lineRule="exact"/>
        <w:ind w:firstLine="540" w:firstLineChars="200"/>
        <w:jc w:val="both"/>
        <w:rPr>
          <w:rFonts w:ascii="宋体" w:hAnsi="宋体" w:eastAsia="宋体" w:cs="宋体"/>
          <w:color w:val="auto"/>
          <w:spacing w:val="-5"/>
          <w:position w:val="21"/>
          <w:sz w:val="28"/>
          <w:szCs w:val="28"/>
          <w:highlight w:val="none"/>
          <w:lang w:eastAsia="zh-CN"/>
        </w:rPr>
      </w:pPr>
    </w:p>
    <w:p>
      <w:pPr>
        <w:spacing w:line="559" w:lineRule="exact"/>
        <w:ind w:firstLine="540"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5"/>
          <w:position w:val="21"/>
          <w:sz w:val="28"/>
          <w:szCs w:val="28"/>
          <w:highlight w:val="none"/>
          <w:lang w:eastAsia="zh-CN"/>
        </w:rPr>
        <w:t>甲方（接受服务方</w:t>
      </w:r>
      <w:r>
        <w:rPr>
          <w:rFonts w:ascii="宋体" w:hAnsi="宋体" w:eastAsia="宋体" w:cs="宋体"/>
          <w:color w:val="auto"/>
          <w:spacing w:val="18"/>
          <w:position w:val="21"/>
          <w:sz w:val="28"/>
          <w:szCs w:val="28"/>
          <w:highlight w:val="none"/>
          <w:lang w:eastAsia="zh-CN"/>
        </w:rPr>
        <w:t>）：</w:t>
      </w:r>
      <w:r>
        <w:rPr>
          <w:rFonts w:hint="eastAsia" w:ascii="宋体" w:hAnsi="宋体" w:eastAsia="宋体" w:cs="宋体"/>
          <w:color w:val="auto"/>
          <w:spacing w:val="18"/>
          <w:position w:val="21"/>
          <w:sz w:val="28"/>
          <w:szCs w:val="28"/>
          <w:highlight w:val="none"/>
          <w:u w:val="single"/>
          <w:lang w:eastAsia="zh-CN"/>
        </w:rPr>
        <w:t>三亚市机关事务管理服务中心</w:t>
      </w:r>
    </w:p>
    <w:p>
      <w:pPr>
        <w:spacing w:line="219" w:lineRule="auto"/>
        <w:ind w:firstLine="552"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2"/>
          <w:sz w:val="28"/>
          <w:szCs w:val="28"/>
          <w:highlight w:val="none"/>
          <w:lang w:eastAsia="zh-CN"/>
        </w:rPr>
        <w:t>法定代表人：</w:t>
      </w:r>
      <w:r>
        <w:rPr>
          <w:rFonts w:hint="eastAsia" w:ascii="宋体" w:hAnsi="宋体" w:eastAsia="宋体" w:cs="宋体"/>
          <w:color w:val="auto"/>
          <w:spacing w:val="-2"/>
          <w:sz w:val="28"/>
          <w:szCs w:val="28"/>
          <w:highlight w:val="none"/>
          <w:lang w:eastAsia="zh-CN"/>
        </w:rPr>
        <w:t>伍斌</w:t>
      </w:r>
    </w:p>
    <w:p>
      <w:pPr>
        <w:spacing w:line="219" w:lineRule="auto"/>
        <w:ind w:firstLine="552"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2"/>
          <w:sz w:val="28"/>
          <w:szCs w:val="28"/>
          <w:highlight w:val="none"/>
          <w:lang w:eastAsia="zh-CN"/>
        </w:rPr>
        <w:t>统一社会信用代码：</w:t>
      </w:r>
      <w:r>
        <w:rPr>
          <w:rFonts w:hint="eastAsia" w:ascii="宋体" w:hAnsi="宋体" w:eastAsia="宋体" w:cs="宋体"/>
          <w:color w:val="auto"/>
          <w:spacing w:val="-2"/>
          <w:sz w:val="28"/>
          <w:szCs w:val="28"/>
          <w:highlight w:val="none"/>
          <w:lang w:eastAsia="zh-CN"/>
        </w:rPr>
        <w:t>12460200MB1E017293</w:t>
      </w:r>
    </w:p>
    <w:p>
      <w:pPr>
        <w:spacing w:line="559" w:lineRule="exact"/>
        <w:ind w:firstLine="548" w:firstLineChars="200"/>
        <w:jc w:val="both"/>
        <w:rPr>
          <w:rFonts w:ascii="宋体" w:hAnsi="宋体" w:eastAsia="宋体" w:cs="宋体"/>
          <w:color w:val="auto"/>
          <w:spacing w:val="-3"/>
          <w:position w:val="21"/>
          <w:sz w:val="28"/>
          <w:szCs w:val="28"/>
          <w:highlight w:val="none"/>
          <w:lang w:eastAsia="zh-CN"/>
        </w:rPr>
      </w:pPr>
      <w:r>
        <w:rPr>
          <w:rFonts w:ascii="宋体" w:hAnsi="宋体" w:eastAsia="宋体" w:cs="宋体"/>
          <w:color w:val="auto"/>
          <w:spacing w:val="-3"/>
          <w:position w:val="21"/>
          <w:sz w:val="28"/>
          <w:szCs w:val="28"/>
          <w:highlight w:val="none"/>
          <w:lang w:eastAsia="zh-CN"/>
        </w:rPr>
        <w:t>通讯地址：三亚市吉阳区</w:t>
      </w:r>
      <w:r>
        <w:rPr>
          <w:rFonts w:hint="eastAsia" w:ascii="宋体" w:hAnsi="宋体" w:eastAsia="宋体" w:cs="宋体"/>
          <w:color w:val="auto"/>
          <w:spacing w:val="-3"/>
          <w:position w:val="21"/>
          <w:sz w:val="28"/>
          <w:szCs w:val="28"/>
          <w:highlight w:val="none"/>
          <w:lang w:eastAsia="zh-CN"/>
        </w:rPr>
        <w:t>春河小区2区</w:t>
      </w:r>
    </w:p>
    <w:p>
      <w:pPr>
        <w:spacing w:line="559" w:lineRule="exact"/>
        <w:ind w:firstLine="524"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9"/>
          <w:sz w:val="28"/>
          <w:szCs w:val="28"/>
          <w:highlight w:val="none"/>
          <w:lang w:eastAsia="zh-CN"/>
        </w:rPr>
        <w:t>电子邮箱：</w:t>
      </w:r>
    </w:p>
    <w:p>
      <w:pPr>
        <w:pStyle w:val="5"/>
        <w:spacing w:line="345" w:lineRule="auto"/>
        <w:ind w:firstLine="560" w:firstLineChars="200"/>
        <w:jc w:val="both"/>
        <w:rPr>
          <w:color w:val="auto"/>
          <w:highlight w:val="none"/>
          <w:lang w:eastAsia="zh-CN"/>
        </w:rPr>
      </w:pPr>
    </w:p>
    <w:p>
      <w:pPr>
        <w:pStyle w:val="5"/>
        <w:spacing w:line="345" w:lineRule="auto"/>
        <w:ind w:firstLine="560" w:firstLineChars="200"/>
        <w:jc w:val="both"/>
        <w:rPr>
          <w:color w:val="auto"/>
          <w:highlight w:val="none"/>
          <w:lang w:eastAsia="zh-CN"/>
        </w:rPr>
      </w:pPr>
    </w:p>
    <w:p>
      <w:pPr>
        <w:spacing w:line="578" w:lineRule="exact"/>
        <w:ind w:firstLine="552"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2"/>
          <w:position w:val="21"/>
          <w:sz w:val="28"/>
          <w:szCs w:val="28"/>
          <w:highlight w:val="none"/>
          <w:lang w:eastAsia="zh-CN"/>
        </w:rPr>
        <w:t>乙方（提供服务方</w:t>
      </w:r>
      <w:r>
        <w:rPr>
          <w:rFonts w:ascii="宋体" w:hAnsi="宋体" w:eastAsia="宋体" w:cs="宋体"/>
          <w:color w:val="auto"/>
          <w:spacing w:val="6"/>
          <w:position w:val="21"/>
          <w:sz w:val="28"/>
          <w:szCs w:val="28"/>
          <w:highlight w:val="none"/>
          <w:lang w:eastAsia="zh-CN"/>
        </w:rPr>
        <w:t>）：</w:t>
      </w:r>
    </w:p>
    <w:p>
      <w:pPr>
        <w:spacing w:line="578" w:lineRule="exact"/>
        <w:ind w:firstLine="552"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2"/>
          <w:sz w:val="28"/>
          <w:szCs w:val="28"/>
          <w:highlight w:val="none"/>
          <w:lang w:eastAsia="zh-CN"/>
        </w:rPr>
        <w:t>法定代表人：</w:t>
      </w:r>
    </w:p>
    <w:p>
      <w:pPr>
        <w:spacing w:line="578" w:lineRule="exact"/>
        <w:ind w:firstLine="556"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1"/>
          <w:sz w:val="28"/>
          <w:szCs w:val="28"/>
          <w:highlight w:val="none"/>
          <w:lang w:eastAsia="zh-CN"/>
        </w:rPr>
        <w:t>统一社会信用代码：</w:t>
      </w:r>
    </w:p>
    <w:p>
      <w:pPr>
        <w:spacing w:line="578" w:lineRule="exact"/>
        <w:ind w:firstLine="552"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2"/>
          <w:sz w:val="28"/>
          <w:szCs w:val="28"/>
          <w:highlight w:val="none"/>
          <w:lang w:eastAsia="zh-CN"/>
        </w:rPr>
        <w:t>纳税人类型:</w:t>
      </w:r>
      <w:r>
        <w:rPr>
          <w:rFonts w:hint="eastAsia" w:ascii="宋体" w:hAnsi="宋体" w:eastAsia="宋体" w:cs="宋体"/>
          <w:color w:val="auto"/>
          <w:spacing w:val="-2"/>
          <w:sz w:val="28"/>
          <w:szCs w:val="28"/>
          <w:highlight w:val="none"/>
          <w:lang w:eastAsia="zh-CN"/>
        </w:rPr>
        <w:t>一般</w:t>
      </w:r>
      <w:r>
        <w:rPr>
          <w:rFonts w:ascii="宋体" w:hAnsi="宋体" w:eastAsia="宋体" w:cs="宋体"/>
          <w:color w:val="auto"/>
          <w:spacing w:val="-2"/>
          <w:sz w:val="28"/>
          <w:szCs w:val="28"/>
          <w:highlight w:val="none"/>
          <w:lang w:eastAsia="zh-CN"/>
        </w:rPr>
        <w:t>纳税人</w:t>
      </w:r>
    </w:p>
    <w:p>
      <w:pPr>
        <w:spacing w:line="578" w:lineRule="exact"/>
        <w:ind w:firstLine="556" w:firstLineChars="200"/>
        <w:jc w:val="both"/>
        <w:rPr>
          <w:rFonts w:ascii="宋体" w:hAnsi="宋体" w:eastAsia="宋体" w:cs="宋体"/>
          <w:color w:val="auto"/>
          <w:spacing w:val="-1"/>
          <w:position w:val="21"/>
          <w:sz w:val="28"/>
          <w:szCs w:val="28"/>
          <w:highlight w:val="none"/>
          <w:lang w:eastAsia="zh-CN"/>
        </w:rPr>
      </w:pPr>
      <w:r>
        <w:rPr>
          <w:rFonts w:ascii="宋体" w:hAnsi="宋体" w:eastAsia="宋体" w:cs="宋体"/>
          <w:color w:val="auto"/>
          <w:spacing w:val="-1"/>
          <w:position w:val="21"/>
          <w:sz w:val="28"/>
          <w:szCs w:val="28"/>
          <w:highlight w:val="none"/>
          <w:lang w:eastAsia="zh-CN"/>
        </w:rPr>
        <w:t>开户银行：</w:t>
      </w:r>
    </w:p>
    <w:p>
      <w:pPr>
        <w:spacing w:line="578" w:lineRule="exact"/>
        <w:ind w:firstLine="556"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1"/>
          <w:sz w:val="28"/>
          <w:szCs w:val="28"/>
          <w:highlight w:val="none"/>
          <w:lang w:eastAsia="zh-CN"/>
        </w:rPr>
        <w:t>银行账号：</w:t>
      </w:r>
    </w:p>
    <w:p>
      <w:pPr>
        <w:spacing w:line="578" w:lineRule="exact"/>
        <w:ind w:firstLine="552" w:firstLineChars="200"/>
        <w:jc w:val="both"/>
        <w:rPr>
          <w:rFonts w:ascii="宋体" w:hAnsi="宋体" w:eastAsia="宋体" w:cs="宋体"/>
          <w:color w:val="auto"/>
          <w:sz w:val="28"/>
          <w:szCs w:val="28"/>
          <w:highlight w:val="none"/>
          <w:lang w:eastAsia="zh-CN"/>
        </w:rPr>
      </w:pPr>
      <w:r>
        <w:rPr>
          <w:rFonts w:ascii="宋体" w:hAnsi="宋体" w:eastAsia="宋体" w:cs="宋体"/>
          <w:color w:val="auto"/>
          <w:spacing w:val="-2"/>
          <w:sz w:val="28"/>
          <w:szCs w:val="28"/>
          <w:highlight w:val="none"/>
          <w:lang w:eastAsia="zh-CN"/>
        </w:rPr>
        <w:t>通讯地址：</w:t>
      </w:r>
    </w:p>
    <w:p>
      <w:pPr>
        <w:spacing w:line="578" w:lineRule="exact"/>
        <w:ind w:firstLine="524" w:firstLineChars="200"/>
        <w:jc w:val="both"/>
        <w:rPr>
          <w:color w:val="auto"/>
          <w:highlight w:val="none"/>
          <w:lang w:eastAsia="zh-CN"/>
        </w:rPr>
      </w:pPr>
      <w:r>
        <w:rPr>
          <w:rFonts w:ascii="宋体" w:hAnsi="宋体" w:eastAsia="宋体" w:cs="宋体"/>
          <w:color w:val="auto"/>
          <w:spacing w:val="-9"/>
          <w:sz w:val="28"/>
          <w:szCs w:val="28"/>
          <w:highlight w:val="none"/>
          <w:lang w:eastAsia="zh-CN"/>
        </w:rPr>
        <w:t>电子邮箱：</w:t>
      </w:r>
    </w:p>
    <w:p>
      <w:pPr>
        <w:pStyle w:val="5"/>
        <w:spacing w:line="345" w:lineRule="auto"/>
        <w:ind w:firstLine="560" w:firstLineChars="200"/>
        <w:jc w:val="both"/>
        <w:rPr>
          <w:color w:val="auto"/>
          <w:highlight w:val="none"/>
          <w:lang w:eastAsia="zh-CN"/>
        </w:rPr>
      </w:pPr>
    </w:p>
    <w:p>
      <w:pPr>
        <w:pStyle w:val="5"/>
        <w:spacing w:line="578" w:lineRule="exact"/>
        <w:ind w:firstLine="560" w:firstLineChars="200"/>
        <w:jc w:val="both"/>
        <w:rPr>
          <w:color w:val="auto"/>
          <w:highlight w:val="none"/>
          <w:lang w:eastAsia="zh-CN"/>
        </w:rPr>
      </w:pPr>
    </w:p>
    <w:p>
      <w:pPr>
        <w:spacing w:line="578" w:lineRule="exact"/>
        <w:ind w:firstLine="552" w:firstLineChars="200"/>
        <w:jc w:val="both"/>
        <w:rPr>
          <w:rFonts w:ascii="宋体" w:hAnsi="宋体" w:eastAsia="宋体" w:cs="宋体"/>
          <w:color w:val="auto"/>
          <w:spacing w:val="-2"/>
          <w:sz w:val="28"/>
          <w:szCs w:val="28"/>
          <w:highlight w:val="none"/>
          <w:lang w:eastAsia="zh-CN"/>
        </w:rPr>
      </w:pPr>
      <w:r>
        <w:rPr>
          <w:rFonts w:hint="eastAsia" w:ascii="宋体" w:hAnsi="宋体" w:eastAsia="宋体" w:cs="宋体"/>
          <w:color w:val="auto"/>
          <w:spacing w:val="-2"/>
          <w:sz w:val="28"/>
          <w:szCs w:val="28"/>
          <w:highlight w:val="none"/>
          <w:lang w:eastAsia="zh-CN"/>
        </w:rPr>
        <w:br w:type="page"/>
      </w:r>
      <w:r>
        <w:rPr>
          <w:rFonts w:hint="eastAsia" w:ascii="宋体" w:hAnsi="宋体" w:eastAsia="宋体" w:cs="宋体"/>
          <w:color w:val="auto"/>
          <w:spacing w:val="-2"/>
          <w:sz w:val="28"/>
          <w:szCs w:val="28"/>
          <w:highlight w:val="none"/>
          <w:lang w:eastAsia="zh-CN"/>
        </w:rPr>
        <w:t>鉴于乙方在2025年xx月xx日成功中标三亚市委大院及市周转房物业服务项目（项目编号：《中标通知书》编号为</w:t>
      </w:r>
      <w:r>
        <w:rPr>
          <w:rFonts w:hint="eastAsia" w:ascii="宋体" w:hAnsi="宋体" w:eastAsia="宋体" w:cs="宋体"/>
          <w:color w:val="auto"/>
          <w:spacing w:val="-2"/>
          <w:sz w:val="28"/>
          <w:szCs w:val="28"/>
          <w:highlight w:val="none"/>
          <w:lang w:val="en-US" w:eastAsia="zh-CN"/>
        </w:rPr>
        <w:t>xx</w:t>
      </w:r>
      <w:r>
        <w:rPr>
          <w:rFonts w:hint="eastAsia" w:ascii="宋体" w:hAnsi="宋体" w:eastAsia="宋体" w:cs="宋体"/>
          <w:color w:val="auto"/>
          <w:spacing w:val="-2"/>
          <w:sz w:val="28"/>
          <w:szCs w:val="28"/>
          <w:highlight w:val="none"/>
          <w:lang w:eastAsia="zh-CN"/>
        </w:rPr>
        <w:t>，经过评委会全体成员的评审和媒体公示，乙方被认定为该项目的中标供应商，预计服务期限为三年。</w:t>
      </w:r>
    </w:p>
    <w:p>
      <w:pPr>
        <w:spacing w:line="578" w:lineRule="exact"/>
        <w:ind w:firstLine="552" w:firstLineChars="200"/>
        <w:jc w:val="both"/>
        <w:rPr>
          <w:rFonts w:ascii="宋体" w:hAnsi="宋体" w:eastAsia="宋体" w:cs="宋体"/>
          <w:color w:val="auto"/>
          <w:spacing w:val="-2"/>
          <w:sz w:val="28"/>
          <w:szCs w:val="28"/>
          <w:highlight w:val="none"/>
          <w:lang w:eastAsia="zh-CN"/>
        </w:rPr>
      </w:pPr>
      <w:r>
        <w:rPr>
          <w:rFonts w:ascii="宋体" w:hAnsi="宋体" w:eastAsia="宋体" w:cs="宋体"/>
          <w:color w:val="auto"/>
          <w:spacing w:val="-2"/>
          <w:sz w:val="28"/>
          <w:szCs w:val="28"/>
          <w:highlight w:val="none"/>
          <w:lang w:eastAsia="zh-CN"/>
        </w:rPr>
        <w:t>根据《中华人民共和国民法典》</w:t>
      </w:r>
      <w:r>
        <w:rPr>
          <w:rFonts w:hint="eastAsia" w:ascii="宋体" w:hAnsi="宋体" w:eastAsia="宋体" w:cs="宋体"/>
          <w:color w:val="auto"/>
          <w:spacing w:val="-2"/>
          <w:sz w:val="28"/>
          <w:szCs w:val="28"/>
          <w:highlight w:val="none"/>
          <w:lang w:eastAsia="zh-CN"/>
        </w:rPr>
        <w:t>及</w:t>
      </w:r>
      <w:r>
        <w:rPr>
          <w:rFonts w:ascii="宋体" w:hAnsi="宋体" w:eastAsia="宋体" w:cs="宋体"/>
          <w:color w:val="auto"/>
          <w:spacing w:val="-2"/>
          <w:sz w:val="28"/>
          <w:szCs w:val="28"/>
          <w:highlight w:val="none"/>
          <w:lang w:eastAsia="zh-CN"/>
        </w:rPr>
        <w:t>相关法律法规规定，甲乙双方在平等自愿、诚实信用的基础上，就甲方委托乙方负责</w:t>
      </w:r>
      <w:r>
        <w:rPr>
          <w:rFonts w:hint="eastAsia" w:ascii="宋体" w:hAnsi="宋体" w:eastAsia="宋体" w:cs="宋体"/>
          <w:color w:val="auto"/>
          <w:spacing w:val="-2"/>
          <w:sz w:val="28"/>
          <w:szCs w:val="28"/>
          <w:highlight w:val="none"/>
          <w:lang w:eastAsia="zh-CN"/>
        </w:rPr>
        <w:t>市委大院及市周转房物业管理服务工作</w:t>
      </w:r>
      <w:r>
        <w:rPr>
          <w:rFonts w:ascii="宋体" w:hAnsi="宋体" w:eastAsia="宋体" w:cs="宋体"/>
          <w:color w:val="auto"/>
          <w:spacing w:val="-2"/>
          <w:sz w:val="28"/>
          <w:szCs w:val="28"/>
          <w:highlight w:val="none"/>
          <w:lang w:eastAsia="zh-CN"/>
        </w:rPr>
        <w:t>事宜，协商达成一致，特订立本</w:t>
      </w:r>
      <w:r>
        <w:rPr>
          <w:rFonts w:hint="eastAsia" w:ascii="宋体" w:hAnsi="宋体" w:eastAsia="宋体" w:cs="宋体"/>
          <w:color w:val="auto"/>
          <w:spacing w:val="-2"/>
          <w:sz w:val="28"/>
          <w:szCs w:val="28"/>
          <w:highlight w:val="none"/>
          <w:lang w:eastAsia="zh-CN"/>
        </w:rPr>
        <w:t>合同</w:t>
      </w:r>
      <w:r>
        <w:rPr>
          <w:rFonts w:ascii="宋体" w:hAnsi="宋体" w:eastAsia="宋体" w:cs="宋体"/>
          <w:color w:val="auto"/>
          <w:spacing w:val="-2"/>
          <w:sz w:val="28"/>
          <w:szCs w:val="28"/>
          <w:highlight w:val="none"/>
          <w:lang w:eastAsia="zh-CN"/>
        </w:rPr>
        <w:t>。</w:t>
      </w:r>
    </w:p>
    <w:p>
      <w:pPr>
        <w:widowControl w:val="0"/>
        <w:kinsoku/>
        <w:spacing w:line="540" w:lineRule="exact"/>
        <w:ind w:firstLine="560" w:firstLineChars="200"/>
        <w:jc w:val="center"/>
        <w:textAlignment w:val="auto"/>
        <w:rPr>
          <w:rFonts w:ascii="宋体" w:hAnsi="宋体" w:eastAsia="宋体" w:cs="宋体"/>
          <w:color w:val="auto"/>
          <w:sz w:val="28"/>
          <w:szCs w:val="28"/>
          <w:highlight w:val="none"/>
          <w:lang w:eastAsia="zh-CN"/>
        </w:rPr>
      </w:pPr>
    </w:p>
    <w:p>
      <w:pPr>
        <w:widowControl w:val="0"/>
        <w:kinsoku/>
        <w:spacing w:line="540" w:lineRule="exact"/>
        <w:ind w:firstLine="560" w:firstLineChars="200"/>
        <w:jc w:val="center"/>
        <w:textAlignment w:val="auto"/>
        <w:rPr>
          <w:rFonts w:ascii="仿宋" w:hAnsi="仿宋" w:eastAsia="仿宋" w:cs="仿宋"/>
          <w:snapToGrid/>
          <w:color w:val="auto"/>
          <w:kern w:val="2"/>
          <w:sz w:val="30"/>
          <w:szCs w:val="30"/>
          <w:highlight w:val="none"/>
          <w:lang w:eastAsia="zh-CN"/>
        </w:rPr>
      </w:pPr>
      <w:r>
        <w:rPr>
          <w:rFonts w:hint="eastAsia" w:ascii="宋体" w:hAnsi="宋体" w:eastAsia="宋体" w:cs="宋体"/>
          <w:color w:val="auto"/>
          <w:sz w:val="28"/>
          <w:szCs w:val="28"/>
          <w:highlight w:val="none"/>
          <w:lang w:eastAsia="zh-CN"/>
        </w:rPr>
        <w:t>第一部分  物业项目基本情况</w:t>
      </w:r>
    </w:p>
    <w:p>
      <w:pPr>
        <w:widowControl w:val="0"/>
        <w:kinsoku/>
        <w:spacing w:line="578" w:lineRule="exact"/>
        <w:ind w:firstLine="562" w:firstLineChars="200"/>
        <w:jc w:val="both"/>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 xml:space="preserve">第一条 </w:t>
      </w:r>
      <w:r>
        <w:rPr>
          <w:rFonts w:hint="eastAsia" w:ascii="宋体" w:hAnsi="宋体" w:eastAsia="宋体" w:cs="宋体"/>
          <w:b/>
          <w:bCs/>
          <w:color w:val="auto"/>
          <w:spacing w:val="-2"/>
          <w:sz w:val="28"/>
          <w:szCs w:val="28"/>
          <w:highlight w:val="none"/>
          <w:lang w:eastAsia="zh-CN"/>
        </w:rPr>
        <w:t>项目基本情况</w:t>
      </w:r>
    </w:p>
    <w:p>
      <w:pPr>
        <w:pStyle w:val="2"/>
        <w:kinsoku/>
        <w:snapToGrid/>
        <w:spacing w:line="578" w:lineRule="exact"/>
        <w:ind w:firstLine="552" w:firstLineChars="200"/>
        <w:textAlignment w:val="auto"/>
        <w:rPr>
          <w:rFonts w:hAnsi="宋体" w:eastAsia="宋体" w:cs="宋体"/>
          <w:color w:val="auto"/>
          <w:spacing w:val="-2"/>
          <w:sz w:val="28"/>
          <w:szCs w:val="28"/>
          <w:highlight w:val="none"/>
          <w:lang w:eastAsia="zh-CN"/>
        </w:rPr>
      </w:pPr>
      <w:r>
        <w:rPr>
          <w:rFonts w:hint="eastAsia" w:hAnsi="宋体" w:eastAsia="宋体" w:cs="宋体"/>
          <w:color w:val="auto"/>
          <w:spacing w:val="-2"/>
          <w:sz w:val="28"/>
          <w:szCs w:val="28"/>
          <w:highlight w:val="none"/>
          <w:lang w:eastAsia="zh-CN"/>
        </w:rPr>
        <w:t>项目名称：三亚市委大院及市周转房物业管理服务；</w:t>
      </w:r>
    </w:p>
    <w:p>
      <w:pPr>
        <w:widowControl w:val="0"/>
        <w:kinsoku/>
        <w:spacing w:line="578" w:lineRule="exact"/>
        <w:ind w:firstLine="552" w:firstLineChars="200"/>
        <w:jc w:val="both"/>
        <w:textAlignment w:val="auto"/>
        <w:rPr>
          <w:rFonts w:ascii="宋体" w:hAnsi="宋体" w:eastAsia="宋体" w:cs="宋体"/>
          <w:color w:val="auto"/>
          <w:spacing w:val="-2"/>
          <w:sz w:val="28"/>
          <w:szCs w:val="28"/>
          <w:highlight w:val="none"/>
          <w:lang w:eastAsia="zh-CN"/>
        </w:rPr>
      </w:pPr>
      <w:r>
        <w:rPr>
          <w:rFonts w:hint="eastAsia" w:ascii="宋体" w:hAnsi="宋体" w:eastAsia="宋体" w:cs="宋体"/>
          <w:color w:val="auto"/>
          <w:spacing w:val="-2"/>
          <w:sz w:val="28"/>
          <w:szCs w:val="28"/>
          <w:highlight w:val="none"/>
          <w:lang w:eastAsia="zh-CN"/>
        </w:rPr>
        <w:t>物业类型：办公（写字楼）、住宅  ；</w:t>
      </w:r>
    </w:p>
    <w:p>
      <w:pPr>
        <w:widowControl w:val="0"/>
        <w:kinsoku/>
        <w:spacing w:line="578" w:lineRule="exact"/>
        <w:ind w:firstLine="552" w:firstLineChars="200"/>
        <w:jc w:val="both"/>
        <w:textAlignment w:val="auto"/>
        <w:rPr>
          <w:rFonts w:ascii="宋体" w:hAnsi="宋体" w:eastAsia="宋体" w:cs="宋体"/>
          <w:color w:val="auto"/>
          <w:spacing w:val="-2"/>
          <w:sz w:val="28"/>
          <w:szCs w:val="28"/>
          <w:highlight w:val="none"/>
          <w:u w:val="single"/>
          <w:lang w:eastAsia="zh-CN"/>
        </w:rPr>
      </w:pPr>
      <w:r>
        <w:rPr>
          <w:rFonts w:hint="eastAsia" w:ascii="宋体" w:hAnsi="宋体" w:eastAsia="宋体" w:cs="宋体"/>
          <w:color w:val="auto"/>
          <w:spacing w:val="-2"/>
          <w:sz w:val="28"/>
          <w:szCs w:val="28"/>
          <w:highlight w:val="none"/>
          <w:lang w:eastAsia="zh-CN"/>
        </w:rPr>
        <w:t>座落位置：1.</w:t>
      </w:r>
      <w:r>
        <w:rPr>
          <w:rFonts w:hint="eastAsia" w:ascii="宋体" w:hAnsi="宋体" w:eastAsia="宋体" w:cs="宋体"/>
          <w:color w:val="auto"/>
          <w:spacing w:val="-2"/>
          <w:sz w:val="28"/>
          <w:szCs w:val="28"/>
          <w:highlight w:val="none"/>
          <w:u w:val="single"/>
          <w:lang w:eastAsia="zh-CN"/>
        </w:rPr>
        <w:t>三亚市吉阳区榆亚路 1 号 ；</w:t>
      </w:r>
    </w:p>
    <w:p>
      <w:pPr>
        <w:widowControl w:val="0"/>
        <w:kinsoku/>
        <w:spacing w:line="578" w:lineRule="exact"/>
        <w:ind w:firstLine="1932" w:firstLineChars="700"/>
        <w:jc w:val="both"/>
        <w:textAlignment w:val="auto"/>
        <w:rPr>
          <w:rFonts w:ascii="宋体" w:hAnsi="宋体" w:eastAsia="宋体" w:cs="宋体"/>
          <w:color w:val="auto"/>
          <w:spacing w:val="-2"/>
          <w:sz w:val="28"/>
          <w:szCs w:val="28"/>
          <w:highlight w:val="none"/>
          <w:lang w:eastAsia="zh-CN"/>
        </w:rPr>
      </w:pPr>
      <w:r>
        <w:rPr>
          <w:rFonts w:hint="eastAsia" w:ascii="宋体" w:hAnsi="宋体" w:eastAsia="宋体" w:cs="宋体"/>
          <w:color w:val="auto"/>
          <w:spacing w:val="-2"/>
          <w:sz w:val="28"/>
          <w:szCs w:val="28"/>
          <w:highlight w:val="none"/>
          <w:lang w:eastAsia="zh-CN"/>
        </w:rPr>
        <w:t>2.</w:t>
      </w:r>
      <w:r>
        <w:rPr>
          <w:rFonts w:hint="eastAsia" w:ascii="宋体" w:hAnsi="宋体" w:eastAsia="宋体" w:cs="宋体"/>
          <w:color w:val="auto"/>
          <w:spacing w:val="-2"/>
          <w:sz w:val="28"/>
          <w:szCs w:val="28"/>
          <w:highlight w:val="none"/>
          <w:u w:val="single"/>
          <w:lang w:eastAsia="zh-CN"/>
        </w:rPr>
        <w:t>三亚市吉阳区海螺一路春河东岸小区；</w:t>
      </w:r>
    </w:p>
    <w:p>
      <w:pPr>
        <w:widowControl w:val="0"/>
        <w:kinsoku/>
        <w:spacing w:line="578" w:lineRule="exact"/>
        <w:ind w:firstLine="1932" w:firstLineChars="700"/>
        <w:jc w:val="both"/>
        <w:textAlignment w:val="auto"/>
        <w:rPr>
          <w:rFonts w:ascii="宋体" w:hAnsi="宋体" w:eastAsia="宋体" w:cs="宋体"/>
          <w:color w:val="auto"/>
          <w:spacing w:val="-2"/>
          <w:sz w:val="28"/>
          <w:szCs w:val="28"/>
          <w:highlight w:val="none"/>
          <w:lang w:eastAsia="zh-CN"/>
        </w:rPr>
      </w:pPr>
      <w:r>
        <w:rPr>
          <w:rFonts w:hint="eastAsia" w:ascii="宋体" w:hAnsi="宋体" w:eastAsia="宋体" w:cs="宋体"/>
          <w:color w:val="auto"/>
          <w:spacing w:val="-2"/>
          <w:sz w:val="28"/>
          <w:szCs w:val="28"/>
          <w:highlight w:val="none"/>
          <w:lang w:eastAsia="zh-CN"/>
        </w:rPr>
        <w:t>3.</w:t>
      </w:r>
      <w:r>
        <w:rPr>
          <w:rFonts w:hint="eastAsia" w:ascii="宋体" w:hAnsi="宋体" w:eastAsia="宋体" w:cs="宋体"/>
          <w:color w:val="auto"/>
          <w:spacing w:val="-2"/>
          <w:sz w:val="28"/>
          <w:szCs w:val="28"/>
          <w:highlight w:val="none"/>
          <w:u w:val="single"/>
          <w:lang w:eastAsia="zh-CN"/>
        </w:rPr>
        <w:t>三亚市吉阳区海螺一路一巷同心家园29期安2栋。</w:t>
      </w:r>
    </w:p>
    <w:p>
      <w:pPr>
        <w:widowControl w:val="0"/>
        <w:kinsoku/>
        <w:spacing w:line="578" w:lineRule="exact"/>
        <w:ind w:firstLine="562" w:firstLineChars="200"/>
        <w:jc w:val="both"/>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第二条 物业服务区域</w:t>
      </w:r>
    </w:p>
    <w:p>
      <w:pPr>
        <w:spacing w:line="578" w:lineRule="exact"/>
        <w:ind w:firstLine="552" w:firstLineChars="200"/>
        <w:jc w:val="both"/>
        <w:rPr>
          <w:rFonts w:ascii="宋体" w:hAnsi="宋体" w:eastAsia="宋体" w:cs="宋体"/>
          <w:color w:val="auto"/>
          <w:spacing w:val="-2"/>
          <w:sz w:val="28"/>
          <w:szCs w:val="28"/>
          <w:highlight w:val="none"/>
          <w:lang w:eastAsia="zh-CN"/>
        </w:rPr>
      </w:pPr>
      <w:r>
        <w:rPr>
          <w:rFonts w:hint="eastAsia" w:ascii="宋体" w:hAnsi="宋体" w:eastAsia="宋体" w:cs="宋体"/>
          <w:color w:val="auto"/>
          <w:spacing w:val="-2"/>
          <w:sz w:val="28"/>
          <w:szCs w:val="28"/>
          <w:highlight w:val="none"/>
          <w:lang w:eastAsia="zh-CN"/>
        </w:rPr>
        <w:t>1.三亚市委大院:位于三亚市榆亚路1号。总用地面积约7500平方米，建筑面积约 10890 平方米。包含但不限于道路、约 2000 平方米的停车场、约 4000 平方米绿化带、 4 栋建筑等三亚市委大院内所有区域。</w:t>
      </w:r>
    </w:p>
    <w:p>
      <w:pPr>
        <w:spacing w:line="578" w:lineRule="exact"/>
        <w:ind w:firstLine="552" w:firstLineChars="200"/>
        <w:rPr>
          <w:rFonts w:ascii="宋体" w:hAnsi="宋体" w:eastAsia="宋体" w:cs="宋体"/>
          <w:color w:val="auto"/>
          <w:spacing w:val="-2"/>
          <w:sz w:val="28"/>
          <w:szCs w:val="28"/>
          <w:highlight w:val="none"/>
          <w:lang w:eastAsia="zh-CN"/>
        </w:rPr>
      </w:pPr>
      <w:r>
        <w:rPr>
          <w:rFonts w:hint="eastAsia" w:ascii="宋体" w:hAnsi="宋体" w:eastAsia="宋体" w:cs="宋体"/>
          <w:color w:val="auto"/>
          <w:spacing w:val="-2"/>
          <w:sz w:val="28"/>
          <w:szCs w:val="28"/>
          <w:highlight w:val="none"/>
          <w:lang w:eastAsia="zh-CN"/>
        </w:rPr>
        <w:t>2.市周转房春河东岸项目：总用地面积2720平方米，</w:t>
      </w:r>
      <w:r>
        <w:rPr>
          <w:rFonts w:hint="eastAsia" w:ascii="宋体" w:hAnsi="宋体" w:eastAsia="宋体" w:cs="宋体"/>
          <w:color w:val="auto"/>
          <w:sz w:val="28"/>
          <w:szCs w:val="28"/>
          <w:highlight w:val="none"/>
          <w:lang w:eastAsia="zh-CN"/>
        </w:rPr>
        <w:t>建筑面积9322.13平方米，</w:t>
      </w:r>
      <w:r>
        <w:rPr>
          <w:rFonts w:hint="eastAsia" w:ascii="宋体" w:hAnsi="宋体" w:eastAsia="宋体" w:cs="宋体"/>
          <w:color w:val="auto"/>
          <w:spacing w:val="-2"/>
          <w:sz w:val="28"/>
          <w:szCs w:val="28"/>
          <w:highlight w:val="none"/>
          <w:lang w:eastAsia="zh-CN"/>
        </w:rPr>
        <w:t>包括建设1栋地下1层，地上13层周转楼(含食堂、会客室、住宅、健身区、消防控制室、机房、物业用房等)，绿化面积约1088平方米，监控室、值班室等配套用房等管理范围所有区域。</w:t>
      </w:r>
    </w:p>
    <w:p>
      <w:pPr>
        <w:spacing w:line="578" w:lineRule="exact"/>
        <w:ind w:firstLine="552" w:firstLineChars="200"/>
        <w:jc w:val="both"/>
        <w:rPr>
          <w:rFonts w:ascii="仿宋" w:hAnsi="仿宋" w:eastAsia="宋体" w:cs="仿宋"/>
          <w:snapToGrid/>
          <w:color w:val="auto"/>
          <w:kern w:val="2"/>
          <w:sz w:val="28"/>
          <w:szCs w:val="30"/>
          <w:highlight w:val="none"/>
          <w:lang w:eastAsia="zh-CN"/>
        </w:rPr>
      </w:pPr>
      <w:r>
        <w:rPr>
          <w:rFonts w:hint="eastAsia" w:ascii="宋体" w:hAnsi="宋体" w:eastAsia="宋体" w:cs="宋体"/>
          <w:color w:val="auto"/>
          <w:spacing w:val="-2"/>
          <w:sz w:val="28"/>
          <w:szCs w:val="28"/>
          <w:highlight w:val="none"/>
          <w:lang w:eastAsia="zh-CN"/>
        </w:rPr>
        <w:t>3.市周转房同心家园二十九期项目：三亚市吉阳区海螺一路</w:t>
      </w:r>
      <w:r>
        <w:rPr>
          <w:rFonts w:hint="eastAsia" w:ascii="仿宋" w:hAnsi="仿宋" w:eastAsia="宋体" w:cs="仿宋"/>
          <w:snapToGrid/>
          <w:color w:val="auto"/>
          <w:kern w:val="2"/>
          <w:sz w:val="28"/>
          <w:szCs w:val="30"/>
          <w:highlight w:val="none"/>
          <w:lang w:eastAsia="zh-CN"/>
        </w:rPr>
        <w:t>一巷同心家园29期安2栋所有区域，共计住宅5</w:t>
      </w:r>
      <w:r>
        <w:rPr>
          <w:rFonts w:hint="eastAsia" w:ascii="宋体" w:hAnsi="宋体" w:eastAsia="宋体" w:cs="宋体"/>
          <w:color w:val="auto"/>
          <w:spacing w:val="-2"/>
          <w:sz w:val="28"/>
          <w:szCs w:val="28"/>
          <w:highlight w:val="none"/>
          <w:lang w:eastAsia="zh-CN"/>
        </w:rPr>
        <w:t>6套（每套约102平方米）；</w:t>
      </w:r>
      <w:r>
        <w:rPr>
          <w:rFonts w:hint="eastAsia" w:ascii="仿宋" w:hAnsi="仿宋" w:eastAsia="宋体" w:cs="仿宋"/>
          <w:snapToGrid/>
          <w:color w:val="auto"/>
          <w:kern w:val="2"/>
          <w:sz w:val="28"/>
          <w:szCs w:val="30"/>
          <w:highlight w:val="none"/>
          <w:lang w:eastAsia="zh-CN"/>
        </w:rPr>
        <w:t>二楼设有厨房、餐厅、活动室、招待室、卫生间、休闲区、办公室等。</w:t>
      </w:r>
    </w:p>
    <w:p>
      <w:pPr>
        <w:widowControl w:val="0"/>
        <w:kinsoku/>
        <w:spacing w:line="578" w:lineRule="exact"/>
        <w:ind w:firstLine="560" w:firstLineChars="200"/>
        <w:jc w:val="center"/>
        <w:textAlignment w:val="auto"/>
        <w:rPr>
          <w:rFonts w:ascii="仿宋" w:hAnsi="仿宋" w:eastAsia="宋体" w:cs="仿宋"/>
          <w:snapToGrid/>
          <w:color w:val="auto"/>
          <w:kern w:val="2"/>
          <w:sz w:val="28"/>
          <w:szCs w:val="30"/>
          <w:highlight w:val="none"/>
          <w:lang w:eastAsia="zh-CN"/>
        </w:rPr>
      </w:pPr>
      <w:r>
        <w:rPr>
          <w:rFonts w:hint="eastAsia" w:ascii="宋体" w:hAnsi="宋体" w:eastAsia="宋体" w:cs="宋体"/>
          <w:color w:val="auto"/>
          <w:sz w:val="28"/>
          <w:szCs w:val="28"/>
          <w:highlight w:val="none"/>
          <w:lang w:eastAsia="zh-CN"/>
        </w:rPr>
        <w:t>第二部分  物业服务内容、标准</w:t>
      </w:r>
    </w:p>
    <w:p>
      <w:pPr>
        <w:widowControl w:val="0"/>
        <w:kinsoku/>
        <w:spacing w:line="578" w:lineRule="exact"/>
        <w:ind w:firstLine="562" w:firstLineChars="200"/>
        <w:jc w:val="both"/>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第三条 在三亚市委大院及市周转房管理区域内，乙方提供的物业服务包括以下内容：</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（一）物业综合服务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负责市委大院、市周转房物业服务的统筹协调、组织指挥、应急处置等工作；为市委办公楼各类会议室、会客室提供会务服务，对接确认会议（见）时长、参会人员信息、要求等；在规定时间内做好会前准备工作。通知门岗会议时间、外来参会人员、车辆信息；打开会议室、门、灯、空调，检查音响、投影等设备并根据需要开启。市周转房理发室、活动室的使用管理服务。经采购人确认的其他临时性工作。</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（二）物业安保服务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1.保安人员持证上岗。</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2.市委机关大院按市治安支队安防部署建议和机要保密要求，设6个保安执勤岗，分别是来访人员登记处、市委大院门岗、办公大楼一楼岗、三楼定点岗、监控室、巡检流动岗，主要负责市委办公楼和大院的安全保卫、消防安全，进出大院人员和车辆登记办证、人脸识别录制、院内停车场管理、外来人员接访；维持大院人员和车辆进出秩序、保障市委大院和办公楼办公人员人身和财产安全；负责现场周边环境治理、消防巡检及其他安全防范工作。</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3.市周转房项目日常安保服务，包含大门车辆出入岗、人行出入岗、巡逻岗、消防巡检、紧急情况处理等服务。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（三）物业环境保洁、四害消杀服务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1.包含市委办公楼、2号楼和3号楼的会议室、走廊、卫生间、消防通道、开水间、窗户等公共场所和相关区域的卫生保洁；市周转房服务区域内保洁卫生、垃圾清运、入户清洁等保洁服务。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2.各区域四害消杀服务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（四）物业绿化服务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包含市委大院、市周转房项目内草皮绿植修剪维护、室内绿植摆放、绿化病虫害防治养护等工作。</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（五）物业工程维护保养服务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物业服务负责市委大院、市周转房基础水电设施的检修维护保养，保障变电、配电设备、应急发电机、给排水设备、电梯、消防设备、照明设施、弱电设备运转正常，每天检查，每半月测试一次，定期维保；严格执行操作规程，安全防护设施齐全完好，标识明确，工作记录真实齐全；对设备故障及重大事件有完善的应急方案和现场处理措施、处理记录。</w:t>
      </w:r>
    </w:p>
    <w:p>
      <w:pPr>
        <w:widowControl w:val="0"/>
        <w:kinsoku/>
        <w:spacing w:line="578" w:lineRule="exact"/>
        <w:ind w:firstLine="562" w:firstLineChars="200"/>
        <w:jc w:val="both"/>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第四条 乙方提供的物业服务应达到招标、投标文件约定的质量标准。</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（一）基本要求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1.</w:t>
      </w:r>
      <w:r>
        <w:rPr>
          <w:rFonts w:ascii="仿宋" w:hAnsi="仿宋" w:cs="仿宋"/>
          <w:color w:val="auto"/>
          <w:sz w:val="28"/>
          <w:szCs w:val="32"/>
          <w:highlight w:val="none"/>
          <w:shd w:val="clear" w:color="auto" w:fill="FFFFFF"/>
          <w:lang w:eastAsia="zh-CN"/>
        </w:rPr>
        <w:t>服务人员基本要求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w:t>
      </w:r>
      <w:r>
        <w:rPr>
          <w:rFonts w:ascii="仿宋" w:hAnsi="仿宋" w:cs="仿宋"/>
          <w:color w:val="auto"/>
          <w:sz w:val="28"/>
          <w:szCs w:val="32"/>
          <w:highlight w:val="none"/>
          <w:shd w:val="clear" w:color="auto" w:fill="FFFFFF"/>
          <w:lang w:eastAsia="zh-CN"/>
        </w:rPr>
        <w:t>1</w:t>
      </w:r>
      <w:r>
        <w:rPr>
          <w:rFonts w:hint="default" w:ascii="仿宋" w:hAnsi="仿宋" w:cs="仿宋"/>
          <w:color w:val="auto"/>
          <w:sz w:val="28"/>
          <w:szCs w:val="32"/>
          <w:highlight w:val="none"/>
          <w:shd w:val="clear" w:color="auto" w:fill="FFFFFF"/>
          <w:lang w:eastAsia="zh-CN"/>
        </w:rPr>
        <w:t>)</w:t>
      </w:r>
      <w:r>
        <w:rPr>
          <w:rFonts w:ascii="仿宋" w:hAnsi="仿宋" w:cs="仿宋"/>
          <w:color w:val="auto"/>
          <w:sz w:val="28"/>
          <w:szCs w:val="32"/>
          <w:highlight w:val="none"/>
          <w:shd w:val="clear" w:color="auto" w:fill="FFFFFF"/>
          <w:lang w:eastAsia="zh-CN"/>
        </w:rPr>
        <w:t>从业人员按照相关规定取得职业资格证书。</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(2)</w:t>
      </w:r>
      <w:r>
        <w:rPr>
          <w:rFonts w:ascii="仿宋" w:hAnsi="仿宋" w:cs="仿宋"/>
          <w:color w:val="auto"/>
          <w:sz w:val="28"/>
          <w:szCs w:val="32"/>
          <w:highlight w:val="none"/>
          <w:shd w:val="clear" w:color="auto" w:fill="FFFFFF"/>
          <w:lang w:eastAsia="zh-CN"/>
        </w:rPr>
        <w:t>从业人员统一着装、佩戴标志，行为规范，服务主动、热情。</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(3)</w:t>
      </w:r>
      <w:r>
        <w:rPr>
          <w:rFonts w:ascii="仿宋" w:hAnsi="仿宋" w:cs="仿宋"/>
          <w:color w:val="auto"/>
          <w:sz w:val="28"/>
          <w:szCs w:val="32"/>
          <w:highlight w:val="none"/>
          <w:shd w:val="clear" w:color="auto" w:fill="FFFFFF"/>
          <w:lang w:eastAsia="zh-CN"/>
        </w:rPr>
        <w:t>安保人员年龄需在20-50岁之间、保洁人员年龄需在18-55岁之间。</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(4)</w:t>
      </w:r>
      <w:r>
        <w:rPr>
          <w:rFonts w:ascii="仿宋" w:hAnsi="仿宋" w:cs="仿宋"/>
          <w:color w:val="auto"/>
          <w:sz w:val="28"/>
          <w:szCs w:val="32"/>
          <w:highlight w:val="none"/>
          <w:shd w:val="clear" w:color="auto" w:fill="FFFFFF"/>
          <w:lang w:eastAsia="zh-CN"/>
        </w:rPr>
        <w:t>配备物业服务项目负责人</w:t>
      </w:r>
      <w:r>
        <w:rPr>
          <w:rFonts w:hint="default" w:ascii="仿宋" w:hAnsi="仿宋" w:cs="仿宋"/>
          <w:color w:val="auto"/>
          <w:sz w:val="28"/>
          <w:szCs w:val="32"/>
          <w:highlight w:val="none"/>
          <w:shd w:val="clear" w:color="auto" w:fill="FFFFFF"/>
          <w:lang w:eastAsia="zh-CN"/>
        </w:rPr>
        <w:t>,并</w:t>
      </w:r>
      <w:r>
        <w:rPr>
          <w:rFonts w:ascii="仿宋" w:hAnsi="仿宋" w:cs="仿宋"/>
          <w:color w:val="auto"/>
          <w:sz w:val="28"/>
          <w:szCs w:val="32"/>
          <w:highlight w:val="none"/>
          <w:shd w:val="clear" w:color="auto" w:fill="FFFFFF"/>
          <w:lang w:eastAsia="zh-CN"/>
        </w:rPr>
        <w:t>具有 2 年以上物业服务企业或相关企业管理工作经历，为本市项目负责人信用信息档案登记在册人员。</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2.</w:t>
      </w:r>
      <w:r>
        <w:rPr>
          <w:rFonts w:ascii="仿宋" w:hAnsi="仿宋" w:cs="仿宋"/>
          <w:color w:val="auto"/>
          <w:sz w:val="28"/>
          <w:szCs w:val="32"/>
          <w:highlight w:val="none"/>
          <w:shd w:val="clear" w:color="auto" w:fill="FFFFFF"/>
          <w:lang w:eastAsia="zh-CN"/>
        </w:rPr>
        <w:t>制度建设要求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（1)</w:t>
      </w:r>
      <w:r>
        <w:rPr>
          <w:rFonts w:ascii="仿宋" w:hAnsi="仿宋" w:cs="仿宋"/>
          <w:color w:val="auto"/>
          <w:sz w:val="28"/>
          <w:szCs w:val="32"/>
          <w:highlight w:val="none"/>
          <w:shd w:val="clear" w:color="auto" w:fill="FFFFFF"/>
          <w:lang w:eastAsia="zh-CN"/>
        </w:rPr>
        <w:t>建立共用部位及共用设施设备维修养护、消防安全防范、绿化养护、环境卫生、公共秩序维护等管理制度。</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（2)</w:t>
      </w:r>
      <w:r>
        <w:rPr>
          <w:rFonts w:ascii="仿宋" w:hAnsi="仿宋" w:cs="仿宋"/>
          <w:color w:val="auto"/>
          <w:sz w:val="28"/>
          <w:szCs w:val="32"/>
          <w:highlight w:val="none"/>
          <w:shd w:val="clear" w:color="auto" w:fill="FFFFFF"/>
          <w:lang w:eastAsia="zh-CN"/>
        </w:rPr>
        <w:t>建立突发公共事件应急预案。</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（3)</w:t>
      </w:r>
      <w:r>
        <w:rPr>
          <w:rFonts w:ascii="仿宋" w:hAnsi="仿宋" w:cs="仿宋"/>
          <w:color w:val="auto"/>
          <w:sz w:val="28"/>
          <w:szCs w:val="32"/>
          <w:highlight w:val="none"/>
          <w:shd w:val="clear" w:color="auto" w:fill="FFFFFF"/>
          <w:lang w:eastAsia="zh-CN"/>
        </w:rPr>
        <w:t>建立物业服务工作记录。</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3.</w:t>
      </w:r>
      <w:r>
        <w:rPr>
          <w:rFonts w:ascii="仿宋" w:hAnsi="仿宋" w:cs="仿宋"/>
          <w:color w:val="auto"/>
          <w:sz w:val="28"/>
          <w:szCs w:val="32"/>
          <w:highlight w:val="none"/>
          <w:shd w:val="clear" w:color="auto" w:fill="FFFFFF"/>
          <w:lang w:eastAsia="zh-CN"/>
        </w:rPr>
        <w:t>档案管理基本要求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（1)</w:t>
      </w:r>
      <w:r>
        <w:rPr>
          <w:rFonts w:ascii="仿宋" w:hAnsi="仿宋" w:cs="仿宋"/>
          <w:color w:val="auto"/>
          <w:sz w:val="28"/>
          <w:szCs w:val="32"/>
          <w:highlight w:val="none"/>
          <w:shd w:val="clear" w:color="auto" w:fill="FFFFFF"/>
          <w:lang w:eastAsia="zh-CN"/>
        </w:rPr>
        <w:t>建立物业管理档案。</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（2)</w:t>
      </w:r>
      <w:r>
        <w:rPr>
          <w:rFonts w:ascii="仿宋" w:hAnsi="仿宋" w:cs="仿宋"/>
          <w:color w:val="auto"/>
          <w:sz w:val="28"/>
          <w:szCs w:val="32"/>
          <w:highlight w:val="none"/>
          <w:shd w:val="clear" w:color="auto" w:fill="FFFFFF"/>
          <w:lang w:eastAsia="zh-CN"/>
        </w:rPr>
        <w:t>明确档案管理人员职责。</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hint="default" w:ascii="仿宋" w:hAnsi="仿宋" w:cs="仿宋"/>
          <w:color w:val="auto"/>
          <w:sz w:val="28"/>
          <w:szCs w:val="32"/>
          <w:highlight w:val="none"/>
          <w:shd w:val="clear" w:color="auto" w:fill="FFFFFF"/>
          <w:lang w:eastAsia="zh-CN"/>
        </w:rPr>
        <w:t>4.</w:t>
      </w:r>
      <w:r>
        <w:rPr>
          <w:rFonts w:ascii="仿宋" w:hAnsi="仿宋" w:cs="仿宋"/>
          <w:color w:val="auto"/>
          <w:sz w:val="28"/>
          <w:szCs w:val="32"/>
          <w:highlight w:val="none"/>
          <w:shd w:val="clear" w:color="auto" w:fill="FFFFFF"/>
          <w:lang w:eastAsia="zh-CN"/>
        </w:rPr>
        <w:t>标志/标识管理要求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设置安全警示、交通警示、作业施工警示、温馨提示等物业服务标志。</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5.客户服务要求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（1）每年组织至少一次物业服务满意度调查，客户满意率不低于90%；</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（2）水、电急修 20 分钟内、其他报修按双方约定时间到达现场；由专项服务企业负责的设备设施应在 30 分钟内告知。</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（3）客户、使用人提出的意见、建议、投诉在1个工作日内回复。</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（4）每年公开征集 1 次物业服务意见，公布整改情况。</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（5）配合相关部门进行公益性宣传。</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（6）按规定投保物业共用部位、共用设施设备及公众责任保险。</w:t>
      </w:r>
    </w:p>
    <w:p>
      <w:pPr>
        <w:pStyle w:val="7"/>
        <w:kinsoku/>
        <w:wordWrap w:val="0"/>
        <w:autoSpaceDE/>
        <w:autoSpaceDN/>
        <w:adjustRightInd/>
        <w:snapToGrid/>
        <w:spacing w:beforeAutospacing="0" w:afterAutospacing="0" w:line="578" w:lineRule="exact"/>
        <w:ind w:firstLine="560" w:firstLineChars="200"/>
        <w:textAlignment w:val="auto"/>
        <w:rPr>
          <w:rFonts w:hint="default" w:ascii="楷体" w:hAnsi="楷体" w:cs="楷体"/>
          <w:color w:val="auto"/>
          <w:kern w:val="2"/>
          <w:sz w:val="28"/>
          <w:szCs w:val="32"/>
          <w:highlight w:val="none"/>
          <w:lang w:eastAsia="zh-CN"/>
        </w:rPr>
      </w:pPr>
      <w:r>
        <w:rPr>
          <w:rFonts w:ascii="楷体" w:hAnsi="楷体" w:cs="楷体"/>
          <w:color w:val="auto"/>
          <w:kern w:val="2"/>
          <w:sz w:val="28"/>
          <w:szCs w:val="32"/>
          <w:highlight w:val="none"/>
          <w:lang w:eastAsia="zh-CN"/>
        </w:rPr>
        <w:t>（二）物业管理区域及其设施设备运行、维修养护</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1.综合管理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（1）建立房屋及共用设施设备的基础档案。</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（2）运行、检查、维修养护记录应每月归档。</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（3）每月组织房屋使用安全隐患排查，对水、电、气组织安全隐患评估。</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（4）共用部位检查中发现的问题，应报告给采购人并按照责任范围提供维修建议。</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（5）每年第三季度制定下一年度维修养护计划。</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（6）特种设备按照有关规定运行、维修养护和定期检测。</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（7）雷电、强降水、大风、沙尘暴等极端天气前后进行检查并落实防范措施。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（8）设备机房</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每月清洁1次，室内无杂物。</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设置挡鼠板、鼠药盒或粘鼠板。</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在明显易取位置配备消防器材，确保完好有效。</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设施设备标志、标牌齐全。</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张贴或悬挂相关制度、证书。</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2.公共部位</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（1）建筑部件</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每日检查1次外墙贴饰面或抹灰、屋檐、阳台、雨罩、空调室外机支撑构件等。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每日巡检1次共用部位的门、窗、玻璃等。</w:t>
      </w:r>
    </w:p>
    <w:p>
      <w:pPr>
        <w:pStyle w:val="7"/>
        <w:kinsoku/>
        <w:wordWrap w:val="0"/>
        <w:autoSpaceDE/>
        <w:autoSpaceDN/>
        <w:adjustRightInd/>
        <w:snapToGrid/>
        <w:spacing w:beforeAutospacing="0" w:afterAutospacing="0" w:line="578" w:lineRule="exact"/>
        <w:ind w:firstLine="560" w:firstLineChars="200"/>
        <w:textAlignment w:val="auto"/>
        <w:rPr>
          <w:rFonts w:hint="eastAsia" w:ascii="仿宋" w:hAnsi="仿宋" w:eastAsia="仿宋" w:cs="仿宋"/>
          <w:color w:val="auto"/>
          <w:sz w:val="32"/>
          <w:szCs w:val="32"/>
          <w:highlight w:val="none"/>
          <w:shd w:val="clear" w:color="auto" w:fill="FFFFFF"/>
          <w:lang w:val="en-US" w:eastAsia="zh-CN"/>
        </w:rPr>
      </w:pPr>
      <w:r>
        <w:rPr>
          <w:rFonts w:ascii="仿宋" w:hAnsi="仿宋" w:cs="仿宋"/>
          <w:color w:val="auto"/>
          <w:sz w:val="28"/>
          <w:szCs w:val="32"/>
          <w:highlight w:val="none"/>
          <w:shd w:val="clear" w:color="auto" w:fill="FFFFFF"/>
          <w:lang w:eastAsia="zh-CN"/>
        </w:rPr>
        <w:t>每年对共用部位开展系统性巡检，室内重点检查地面、墙面、天棚状况；室外针对屋面、散水等区域进行全面排查，确保建筑结构及公共设施完好。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eastAsia="宋体" w:cs="仿宋"/>
          <w:color w:val="auto"/>
          <w:sz w:val="28"/>
          <w:szCs w:val="32"/>
          <w:highlight w:val="none"/>
          <w:shd w:val="clear" w:color="auto" w:fill="FFFFFF"/>
          <w:lang w:eastAsia="zh-CN"/>
        </w:rPr>
      </w:pPr>
      <w:r>
        <w:rPr>
          <w:rFonts w:hint="eastAsia" w:ascii="仿宋" w:hAnsi="仿宋" w:eastAsia="宋体" w:cs="仿宋"/>
          <w:color w:val="auto"/>
          <w:sz w:val="28"/>
          <w:szCs w:val="32"/>
          <w:highlight w:val="none"/>
          <w:shd w:val="clear" w:color="auto" w:fill="FFFFFF"/>
          <w:lang w:eastAsia="zh-CN"/>
        </w:rPr>
        <w:t>执行“汛前+雨后”双检机制，每年上汛前完成屋面防水性能及雨落管排水功能的预防性检查；遭遇强降雨后，立即开展专项复查，及时消除渗漏、堵塞等安全隐患。</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（2）附属构筑物</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每日巡检 1 次道路、场地、阶梯及扶手、侧石、管井、沟渠等。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每半年检查 、清掏1 次雨、污水管井等。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每日巡检1次大门、围墙、围栏等。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每日巡检1次休闲椅等。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每年检测 1 次防雷装置。</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3.二次供水设施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（1）按照卫生防疫部门的要求使用消毒设备，水箱按</w:t>
      </w:r>
      <w:r>
        <w:rPr>
          <w:rFonts w:hint="default" w:ascii="仿宋" w:hAnsi="仿宋" w:cs="仿宋"/>
          <w:color w:val="auto"/>
          <w:sz w:val="28"/>
          <w:szCs w:val="32"/>
          <w:highlight w:val="none"/>
          <w:shd w:val="clear" w:color="auto" w:fill="FFFFFF"/>
          <w:lang w:eastAsia="zh-CN"/>
        </w:rPr>
        <w:t>半年一次</w:t>
      </w:r>
      <w:r>
        <w:rPr>
          <w:rFonts w:ascii="仿宋" w:hAnsi="仿宋" w:cs="仿宋"/>
          <w:color w:val="auto"/>
          <w:sz w:val="28"/>
          <w:szCs w:val="32"/>
          <w:highlight w:val="none"/>
          <w:shd w:val="clear" w:color="auto" w:fill="FFFFFF"/>
          <w:lang w:eastAsia="zh-CN"/>
        </w:rPr>
        <w:t>清洗消毒、水质化验，水质符合国家生活饮用水卫生标准。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（2）每日巡检 1 次水箱间、水泵房，检查设备运行状况。</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（3）每半年切换 1 次备用水泵。</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（4）每年检查 1 次水泵润滑情况，补充或更换润滑剂；每年养护 1 次水泵。</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（5）每年对供水管道、阀门等进行除锈、刷漆，每年入冬前对暴露管道进行处理。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（6）水箱、蓄水池盖板应保持完好并加锁，钥匙由专人保管；溢流管口、透气口应安装金属防护网并保持完好。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4.排水系统</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（1）排水设施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每年上汛前对雨水、污水井、屋面雨水口等设施进行检查，组织清理、疏通。</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（2）污水泵</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汛期每日巡检 1 次，平时每月巡检 1 次，检查设备运行状态；每月进行 1 次手动启动测试；每年养护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（3）化粪池</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每半年检查 1 次化粪池；组织安排清掏。</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5.照明和电气设备</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（1）楼内照明：每日巡检 1 次，一般故障 1 日内修复；复杂故障 1 周内修复。</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（2）楼外照明：每日巡检 1 次，一般故障 3 日内修复；复杂故障 2 周内修复。</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（3）应急照明：每日巡检 1 次，发现故障，及时修复。</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（4）低压柜：每周巡检 2 次设备运行状况；每年养护 1 次，养护内容包括紧固、检测、清扫。</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（5）低压配电箱和线路：每月巡检 1 次设备运行状况；每年养护 1 次，养护内容包括紧固、检测、清扫。</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（6）控制柜：每月度巡检 1 次设备运行状况；每年养护 1 次，养护内容包括紧固、检测、调试、清扫。</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（7）发电机：每月试运行 1 次，保证运行正常。</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（8）配电室、楼层配电间：防小动物措施完备；穿墙线槽周边封堵严密；锁具完好。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6.安全防范系统</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（1）报警控制管理主机：每日巡检 1 次，检查设备运行状态；每月表面清洁 1 次；每年内部除尘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（2）网络控制箱：每年检查 1 次外观、接线；每年表面清洁 1 次；每年内部除尘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（3）图像采集设备：每周检查 1 次监视画面、录像功能；每月表面清洁 1 次；每年内部除尘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（4）摄像机：每月检查 1 次聚焦、红外夜视、接线、防水状况等，进行相应的调校；每月镜头表面清洁 1 次；每年防护罩内部除尘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（5）解码器：每年检查 1 次防雨罩、接线等，进行相应的调试；每年表面清洁 1 次；每年内部除尘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（6）云台：每年检查 1 次运转、接线，进行清晰度调校；每年表面清洁 1 次；每年转动部位上润滑油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（7）巡更点：每半年检查 1 次外观，发现故障隐患，即时排除；每半年表面清洁 1 次；每日存储巡更记录。</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（8）读卡器：每季度检查 1 次外观；每季度表面清洁 1 次，查看防水状况。</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（9）</w:t>
      </w:r>
      <w:r>
        <w:rPr>
          <w:rFonts w:hint="default" w:ascii="仿宋" w:hAnsi="仿宋" w:cs="仿宋"/>
          <w:color w:val="auto"/>
          <w:sz w:val="28"/>
          <w:szCs w:val="32"/>
          <w:highlight w:val="none"/>
          <w:shd w:val="clear" w:color="auto" w:fill="FFFFFF"/>
          <w:lang w:eastAsia="zh-CN"/>
        </w:rPr>
        <w:t>防冲撞设施：每月检查1次升降运作，每年表面清洁1次。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7.电梯：</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（1）电梯在投入使用前或者投入使用后 30 日内，应向相关行政主管部门办理使用登记。登记标志应置于或附着于电梯的显著位置。</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（2）在电梯安全检验合格有效期届满前 1 个月，应向电梯检验检测机构提出定期检验申请。</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（3）日常维护保养和定期检查中发现的问题应及时排除；电梯的安全附件、安全保护装置、测量调控装置及有关附属仪器仪表应每年进行校验、检修。</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（4）应与有资质的电梯制造、安装、改造、维修单位签订电梯维保合同，约定维护保养的内容、要求、频次、期限以及双方的权利、义务与责任。</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（5）对专项服务企业的维修保养工作进行监督，对专项服务企业定期检修计划的落实情况进行监督。</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（6）配备电梯安全管理人员。定期对电梯安全管理人员进行特种设备安全培训，保证其具备必要的安全知识。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（7）制定电梯应急救援预案并定期演练。发生电梯困人或其他重大事件时，应立即启动事故应急预案，组织救援，并及时向相关行政主管部门报告。物业服务人员应在 15 分钟内到达现场，专业维修人员应在 30 分钟内到达现场。</w:t>
      </w:r>
    </w:p>
    <w:p>
      <w:pPr>
        <w:pStyle w:val="7"/>
        <w:kinsoku/>
        <w:wordWrap w:val="0"/>
        <w:autoSpaceDE/>
        <w:autoSpaceDN/>
        <w:adjustRightInd/>
        <w:snapToGrid/>
        <w:spacing w:beforeAutospacing="0" w:afterAutospacing="0" w:line="578" w:lineRule="exact"/>
        <w:ind w:firstLine="560" w:firstLineChars="200"/>
        <w:textAlignment w:val="auto"/>
        <w:rPr>
          <w:rFonts w:hint="default" w:ascii="楷体_GB2312" w:hAnsi="楷体_GB2312" w:cs="楷体_GB2312"/>
          <w:color w:val="auto"/>
          <w:sz w:val="28"/>
          <w:szCs w:val="32"/>
          <w:highlight w:val="none"/>
          <w:shd w:val="clear" w:color="auto" w:fill="FFFFFF"/>
          <w:lang w:eastAsia="zh-CN"/>
        </w:rPr>
      </w:pPr>
      <w:r>
        <w:rPr>
          <w:rFonts w:ascii="楷体_GB2312" w:hAnsi="楷体_GB2312" w:cs="楷体_GB2312"/>
          <w:color w:val="auto"/>
          <w:sz w:val="28"/>
          <w:szCs w:val="32"/>
          <w:highlight w:val="none"/>
          <w:shd w:val="clear" w:color="auto" w:fill="FFFFFF"/>
          <w:lang w:eastAsia="zh-CN"/>
        </w:rPr>
        <w:t>（三）消防安全防范</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1.综合管理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（1）建立、落实消防安全责任制，明确各级岗位的消防安全职责。</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（2）成立义务消防队，配备必要的消防器材，相关人员掌握消防基本知识和技能；每年组织 1 次有员工、业主或使用人参加的消防演练。</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（3）设置消防安全宣传专栏，组织开展经常性的消防安全宣传教育；每年对员工进行 1 次消防安全培训。</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（4）每日防火巡检 1 次，每月防火检查 1 次，按照规定每年检测 1 次建筑消防设施；保障疏散通道、安全出口、消防车通道和消防设施、器材符合消防安全要求。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（5）发现消防安全违法行为和火灾隐患，立即纠正、排除；无法立即纠正、排除的，应向公安机关消防机构报告。</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（6）消防控制室设专人 24 小时值班，每班 2 人，及时处理各类报警、故障信息。</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（7）发生火情立即报警，组织扑救初起火灾，疏散遇险人员，协助配合公安机关消防机构工作。</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2.消防设施设备维修养护</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（1）火灾自动报警系统</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火灾报警控制器、联动控制设备：每日巡检 1 次设备运行情况，保证 24 小时连续正常运行；每月检查测试 1 次报警控制器、联动控制设备的报警、联动控制、显示、打印等功能；每年机柜内部除尘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火灾报警探测器、手动报警按钮、警报装置：每月抽查测试 1 次火灾报警探测器、手动报警按钮、警报装置的报警、警报功能；探测器投入运行 2 年后，每隔 3年由专业清洗单位清洗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（2）备用电源</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每月检测切换 1 次主、备电源；每季度备用电源、蓄电池充放电试验 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（3）防排烟系统</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每月检查测试 1 次防排烟风机、排烟阀的联动功能，核对风速；每年养护 1 次防排烟风机、电源控制柜、风口、排烟阀等。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（4）防火分隔设施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每月抽查测试 1 次防火门的启闭功能、防火卷帘的手动和自动控制功能、电动防火阀的联动关闭功能；每年在防火卷帘门的电机转动、齿轮链条传动部位补充 1 次润滑油，电控箱内部除尘 1 次；每年检查维护 1 次防火门附件，在门的转动部位补充 1 次润滑油。</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（5）水消防系统</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消防泵、喷淋泵每月盘车 1 次，每半年检查 1 次润滑情况；每年养护 1 次室内、外消火栓。</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（6）应急照明、疏散指示标志</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每月测试切断正常供电 1 次，测量 1 次照度和供电时间。</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（7）消防电梯</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每月检查测试 1 次按钮迫降和联动控制功能，轿厢内消防电话。</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（8）灭火器</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每日巡检 1 次灭火器数量、位置情况，每月检查核对 1次灭火器选型、压力和有效期，保证处于完好状态。</w:t>
      </w:r>
    </w:p>
    <w:p>
      <w:pPr>
        <w:pStyle w:val="7"/>
        <w:kinsoku/>
        <w:wordWrap w:val="0"/>
        <w:autoSpaceDE/>
        <w:autoSpaceDN/>
        <w:adjustRightInd/>
        <w:snapToGrid/>
        <w:spacing w:beforeAutospacing="0" w:afterAutospacing="0" w:line="578" w:lineRule="exact"/>
        <w:ind w:firstLine="560" w:firstLineChars="200"/>
        <w:textAlignment w:val="auto"/>
        <w:rPr>
          <w:rFonts w:hint="default" w:ascii="楷体_GB2312" w:hAnsi="楷体_GB2312" w:cs="楷体_GB2312"/>
          <w:color w:val="auto"/>
          <w:sz w:val="28"/>
          <w:szCs w:val="32"/>
          <w:highlight w:val="none"/>
          <w:shd w:val="clear" w:color="auto" w:fill="FFFFFF"/>
          <w:lang w:eastAsia="zh-CN"/>
        </w:rPr>
      </w:pPr>
      <w:r>
        <w:rPr>
          <w:rFonts w:ascii="楷体_GB2312" w:hAnsi="楷体_GB2312" w:cs="楷体_GB2312"/>
          <w:color w:val="auto"/>
          <w:sz w:val="28"/>
          <w:szCs w:val="32"/>
          <w:highlight w:val="none"/>
          <w:shd w:val="clear" w:color="auto" w:fill="FFFFFF"/>
          <w:lang w:eastAsia="zh-CN"/>
        </w:rPr>
        <w:t>（四）绿化养护</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1.基本要求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（1）乔木：植株保存率高于 85%，年成活率高于 85%。</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rPr>
      </w:pPr>
      <w:r>
        <w:rPr>
          <w:rFonts w:ascii="仿宋" w:hAnsi="仿宋" w:cs="仿宋"/>
          <w:color w:val="auto"/>
          <w:sz w:val="28"/>
          <w:szCs w:val="32"/>
          <w:highlight w:val="none"/>
          <w:shd w:val="clear" w:color="auto" w:fill="FFFFFF"/>
        </w:rPr>
        <w:t>（2）灌木：植株保存率高于 85%，年成活率高于 85%。</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（3）绿篱和色块：植株保存率高于 85%，年成活率高于 85%。</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（4）地被和花坛植物：花坛植物死亡率低于 15%。</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（5）草坪：保证基本成活。</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2.绿化养护内容</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（1）灌溉：根据天气、土壤和植物生长状况合理灌溉，不出现严重旱涝现象。一般植物在萌芽前、春季干旱期间、入冬前浇水1 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（2）施肥：根据植物生长情况施肥，一般乔木每 3 年至 4 年施肥 1次；灌木每 1 年至 2 年施肥 1 次；地被和草坪植物每年开春后施肥 1 次；花坛植物根据生长情况进行追肥；生长不良的植物适当增加施肥频次。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（3）病虫害防治：植物生长季每月检查 1 次病虫害发生情况并进行防治，不出现严重病虫害现象。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（4）整形修剪：一般乔木每 3 年修剪 1 次；灌木每 2 年修剪 1 次；绿篱和色块每年生长季节或萌芽前、入冬后修剪 1 次；冷季型草坪生长季节每月修剪 1 次，全年至少修剪 5 次。根据台风雨季情况酌情增加修剪频次。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（5）除草：每年全面除草 1 次，重点绿地增加除草次数，出现杂草的绿地面积不超过总绿地面积的 30%。</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（6）垃圾处理：绿化作业产生的垃圾和绿地内的垃圾杂物每周处理 1次。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3.工作检查和记录</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生长季节每月检查 1 次植物生长情况。</w:t>
      </w:r>
    </w:p>
    <w:p>
      <w:pPr>
        <w:pStyle w:val="7"/>
        <w:kinsoku/>
        <w:wordWrap w:val="0"/>
        <w:autoSpaceDE/>
        <w:autoSpaceDN/>
        <w:adjustRightInd/>
        <w:snapToGrid/>
        <w:spacing w:beforeAutospacing="0" w:afterAutospacing="0" w:line="578" w:lineRule="exact"/>
        <w:ind w:firstLine="560" w:firstLineChars="200"/>
        <w:textAlignment w:val="auto"/>
        <w:rPr>
          <w:rFonts w:hint="default" w:ascii="楷体_GB2312" w:hAnsi="楷体_GB2312" w:cs="楷体_GB2312"/>
          <w:color w:val="auto"/>
          <w:sz w:val="28"/>
          <w:szCs w:val="32"/>
          <w:highlight w:val="none"/>
          <w:shd w:val="clear" w:color="auto" w:fill="FFFFFF"/>
          <w:lang w:eastAsia="zh-CN"/>
        </w:rPr>
      </w:pPr>
      <w:r>
        <w:rPr>
          <w:rFonts w:ascii="楷体_GB2312" w:hAnsi="楷体_GB2312" w:cs="楷体_GB2312"/>
          <w:color w:val="auto"/>
          <w:sz w:val="28"/>
          <w:szCs w:val="32"/>
          <w:highlight w:val="none"/>
          <w:shd w:val="clear" w:color="auto" w:fill="FFFFFF"/>
          <w:lang w:eastAsia="zh-CN"/>
        </w:rPr>
        <w:t>（五）环境卫生</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1.生活垃圾的收集、清运</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（1）按有关规定和标准实行垃圾分类。</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（2）配置密闭式垃圾收集容器，有分类标志。</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（3）遵守禁塑相关规定。</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（4）每周至少清洗 1 次垃圾收集容器。蝇、蚊孳生季节每 5 日喷洒 1 次杀虫药。</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（5）每日清运 1 次生活垃圾到指定的垃圾消纳场所，不得乱堆乱倒。</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2.公共区域清洁</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（1）大堂、一层候梯厅：每日清扫 1 次、每日清拖 1 次大堂、一层候梯厅地面。每月擦拭 1 次大堂玻璃。</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（2）楼道、楼梯：每周清扫 1 次、每月清拖 1 次楼道、楼梯地面。每月擦拭 1 次楼梯扶手、栏杆、窗台、防火门、消火栓、指示牌等共用设施。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（3）电梯轿厢：每日擦拭 1 次电梯轿厢门、面板。每日清拖 1 次轿厢地面。按要求进行消毒。</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（4）天台、屋面：雨季前清扫 1 次天台、屋面。</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（5）楼外道路及设施：每日清扫 1 次楼外道路。</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（6）有害生物预防和控制：按计划进行有害生物的预防和控制。投放药物应预先告知，投药位置有明显标志。</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（7）雷雨天气清洁：雨后对小区内主路、干路积水进行清扫。</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3.入户清洁</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（1）区域：客厅、卧室、厨房、卫生间、阳台等指定区域（需提前确认）。</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（2）内容：地面除尘/拖洗、家具擦拭、玻璃清洁、厨房油烟机/灶台清理、卫生间除垢消毒等。</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（4）清洁标准：地面无污渍、水痕；</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（5）家具、家电无灰尘；</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（6）卫生间/厨房台面无水垢、油污；</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（7）垃圾清理并带走。</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4.工作检查和记录</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每日抽查 1 次清洁质量，做好记录。</w:t>
      </w:r>
    </w:p>
    <w:p>
      <w:pPr>
        <w:pStyle w:val="7"/>
        <w:kinsoku/>
        <w:wordWrap w:val="0"/>
        <w:autoSpaceDE/>
        <w:autoSpaceDN/>
        <w:adjustRightInd/>
        <w:snapToGrid/>
        <w:spacing w:beforeAutospacing="0" w:afterAutospacing="0" w:line="578" w:lineRule="exact"/>
        <w:ind w:firstLine="560" w:firstLineChars="200"/>
        <w:textAlignment w:val="auto"/>
        <w:rPr>
          <w:rFonts w:hint="default" w:ascii="楷体_GB2312" w:hAnsi="楷体_GB2312" w:cs="楷体_GB2312"/>
          <w:color w:val="auto"/>
          <w:sz w:val="28"/>
          <w:szCs w:val="32"/>
          <w:highlight w:val="none"/>
          <w:shd w:val="clear" w:color="auto" w:fill="FFFFFF"/>
          <w:lang w:eastAsia="zh-CN"/>
        </w:rPr>
      </w:pPr>
      <w:r>
        <w:rPr>
          <w:rFonts w:ascii="楷体_GB2312" w:hAnsi="楷体_GB2312" w:cs="楷体_GB2312"/>
          <w:color w:val="auto"/>
          <w:sz w:val="28"/>
          <w:szCs w:val="32"/>
          <w:highlight w:val="none"/>
          <w:shd w:val="clear" w:color="auto" w:fill="FFFFFF"/>
          <w:lang w:eastAsia="zh-CN"/>
        </w:rPr>
        <w:t>（六）秩序维护</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1.按需求设置岗位、人员及值班时间；</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2.制定巡检路线，巡视检查并做好记录。巡检路线、频次符合相关规范及保密要求；</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3.巡检检查停车场，维护道路、场地使用秩序。</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4.机动车辆凭证出入。</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5.安防控制室设专人 24 小时值守；监控影像资料、报警记录应留存 30日以上备查。</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6.对违法行为立即报警，协助相关部门处理。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7.记录与档案：各项工作记录完整有效，档案齐全。</w:t>
      </w:r>
    </w:p>
    <w:p>
      <w:pPr>
        <w:pStyle w:val="7"/>
        <w:kinsoku/>
        <w:wordWrap w:val="0"/>
        <w:autoSpaceDE/>
        <w:autoSpaceDN/>
        <w:adjustRightInd/>
        <w:snapToGrid/>
        <w:spacing w:beforeAutospacing="0" w:afterAutospacing="0" w:line="578" w:lineRule="exact"/>
        <w:ind w:firstLine="560" w:firstLineChars="200"/>
        <w:textAlignment w:val="auto"/>
        <w:rPr>
          <w:rFonts w:hint="default" w:ascii="楷体_GB2312" w:hAnsi="楷体_GB2312" w:cs="楷体_GB2312"/>
          <w:color w:val="auto"/>
          <w:sz w:val="28"/>
          <w:szCs w:val="32"/>
          <w:highlight w:val="none"/>
          <w:shd w:val="clear" w:color="auto" w:fill="FFFFFF"/>
          <w:lang w:eastAsia="zh-CN"/>
        </w:rPr>
      </w:pPr>
      <w:r>
        <w:rPr>
          <w:rFonts w:ascii="楷体_GB2312" w:hAnsi="楷体_GB2312" w:cs="楷体_GB2312"/>
          <w:color w:val="auto"/>
          <w:sz w:val="28"/>
          <w:szCs w:val="32"/>
          <w:highlight w:val="none"/>
          <w:shd w:val="clear" w:color="auto" w:fill="FFFFFF"/>
          <w:lang w:eastAsia="zh-CN"/>
        </w:rPr>
        <w:t>（七）物业服务区域施工管理</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1.建立物业服务区域施工管理服务制度。</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2.建立物业服务区域施工管理档案。</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3.物业服务区域施工期间，应按照具体部位保密、安全要求，做到定时巡检、不定时巡检、现场跟进等管理措施；</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4.物业服务区域施工结束后应进行全面检查，恢复原状；</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r>
        <w:rPr>
          <w:rFonts w:ascii="仿宋" w:hAnsi="仿宋" w:cs="仿宋"/>
          <w:color w:val="auto"/>
          <w:sz w:val="28"/>
          <w:szCs w:val="32"/>
          <w:highlight w:val="none"/>
          <w:shd w:val="clear" w:color="auto" w:fill="FFFFFF"/>
          <w:lang w:eastAsia="zh-CN"/>
        </w:rPr>
        <w:t>5.施工垃圾，应在指定地点临时堆放，采取围挡、遮盖措施，并及时清运。</w:t>
      </w:r>
    </w:p>
    <w:p>
      <w:pPr>
        <w:widowControl w:val="0"/>
        <w:spacing w:line="578" w:lineRule="exact"/>
        <w:ind w:firstLine="550" w:firstLineChars="200"/>
        <w:jc w:val="both"/>
        <w:outlineLvl w:val="1"/>
        <w:rPr>
          <w:rFonts w:ascii="宋体" w:hAnsi="宋体" w:eastAsia="宋体" w:cs="宋体"/>
          <w:b/>
          <w:bCs/>
          <w:color w:val="auto"/>
          <w:spacing w:val="-3"/>
          <w:sz w:val="28"/>
          <w:szCs w:val="28"/>
          <w:highlight w:val="none"/>
          <w:lang w:eastAsia="zh-CN"/>
        </w:rPr>
      </w:pPr>
      <w:r>
        <w:rPr>
          <w:rFonts w:hint="eastAsia" w:ascii="宋体" w:hAnsi="宋体" w:eastAsia="宋体" w:cs="宋体"/>
          <w:b/>
          <w:bCs/>
          <w:color w:val="auto"/>
          <w:spacing w:val="-3"/>
          <w:sz w:val="28"/>
          <w:szCs w:val="28"/>
          <w:highlight w:val="none"/>
          <w:lang w:eastAsia="zh-CN"/>
        </w:rPr>
        <w:t>（八）空置房屋管理</w:t>
      </w:r>
    </w:p>
    <w:p>
      <w:pPr>
        <w:widowControl w:val="0"/>
        <w:spacing w:line="578" w:lineRule="exact"/>
        <w:ind w:firstLine="548" w:firstLineChars="200"/>
        <w:jc w:val="both"/>
        <w:outlineLvl w:val="1"/>
        <w:rPr>
          <w:rFonts w:ascii="宋体" w:hAnsi="宋体" w:eastAsia="宋体" w:cs="宋体"/>
          <w:color w:val="auto"/>
          <w:spacing w:val="-3"/>
          <w:sz w:val="28"/>
          <w:szCs w:val="28"/>
          <w:highlight w:val="none"/>
          <w:lang w:eastAsia="zh-CN"/>
        </w:rPr>
      </w:pPr>
      <w:r>
        <w:rPr>
          <w:rFonts w:hint="eastAsia" w:ascii="宋体" w:hAnsi="宋体" w:eastAsia="宋体" w:cs="宋体"/>
          <w:color w:val="auto"/>
          <w:spacing w:val="-3"/>
          <w:sz w:val="28"/>
          <w:szCs w:val="28"/>
          <w:highlight w:val="none"/>
          <w:lang w:eastAsia="zh-CN"/>
        </w:rPr>
        <w:t>1.每月对空置房屋实施两次通风管理，每次通风时间为20至30分钟；</w:t>
      </w:r>
    </w:p>
    <w:p>
      <w:pPr>
        <w:widowControl w:val="0"/>
        <w:spacing w:line="578" w:lineRule="exact"/>
        <w:ind w:firstLine="548" w:firstLineChars="200"/>
        <w:jc w:val="both"/>
        <w:outlineLvl w:val="1"/>
        <w:rPr>
          <w:rFonts w:ascii="宋体" w:hAnsi="宋体" w:eastAsia="宋体" w:cs="宋体"/>
          <w:color w:val="auto"/>
          <w:spacing w:val="-3"/>
          <w:sz w:val="28"/>
          <w:szCs w:val="28"/>
          <w:highlight w:val="none"/>
          <w:lang w:eastAsia="zh-CN"/>
        </w:rPr>
      </w:pPr>
      <w:r>
        <w:rPr>
          <w:rFonts w:hint="eastAsia" w:ascii="宋体" w:hAnsi="宋体" w:eastAsia="宋体" w:cs="宋体"/>
          <w:color w:val="auto"/>
          <w:spacing w:val="-3"/>
          <w:sz w:val="28"/>
          <w:szCs w:val="28"/>
          <w:highlight w:val="none"/>
          <w:lang w:eastAsia="zh-CN"/>
        </w:rPr>
        <w:t>2.通风过程中检查设施设备等是否损坏等现象，如有异常，第一时间上报甲方；</w:t>
      </w:r>
    </w:p>
    <w:p>
      <w:pPr>
        <w:widowControl w:val="0"/>
        <w:spacing w:line="578" w:lineRule="exact"/>
        <w:ind w:firstLine="548" w:firstLineChars="200"/>
        <w:jc w:val="both"/>
        <w:outlineLvl w:val="1"/>
        <w:rPr>
          <w:rFonts w:ascii="宋体" w:hAnsi="宋体" w:eastAsia="宋体" w:cs="宋体"/>
          <w:color w:val="auto"/>
          <w:spacing w:val="-3"/>
          <w:sz w:val="28"/>
          <w:szCs w:val="28"/>
          <w:highlight w:val="none"/>
          <w:lang w:eastAsia="zh-CN"/>
        </w:rPr>
      </w:pPr>
      <w:r>
        <w:rPr>
          <w:rFonts w:hint="eastAsia" w:ascii="宋体" w:hAnsi="宋体" w:eastAsia="宋体" w:cs="宋体"/>
          <w:color w:val="auto"/>
          <w:spacing w:val="-3"/>
          <w:sz w:val="28"/>
          <w:szCs w:val="28"/>
          <w:highlight w:val="none"/>
          <w:lang w:eastAsia="zh-CN"/>
        </w:rPr>
        <w:t>3.每次作业后，及时关闭门窗，避免造成不必要的损失。</w:t>
      </w:r>
    </w:p>
    <w:p>
      <w:pPr>
        <w:pStyle w:val="2"/>
        <w:ind w:firstLine="548" w:firstLineChars="200"/>
        <w:rPr>
          <w:rFonts w:hAnsi="宋体" w:eastAsia="宋体" w:cs="宋体"/>
          <w:color w:val="auto"/>
          <w:spacing w:val="-3"/>
          <w:sz w:val="28"/>
          <w:szCs w:val="28"/>
          <w:highlight w:val="none"/>
          <w:lang w:eastAsia="zh-CN"/>
        </w:rPr>
      </w:pPr>
      <w:r>
        <w:rPr>
          <w:rFonts w:hAnsi="宋体" w:eastAsia="宋体" w:cs="宋体"/>
          <w:color w:val="auto"/>
          <w:spacing w:val="-3"/>
          <w:sz w:val="28"/>
          <w:szCs w:val="28"/>
          <w:highlight w:val="none"/>
          <w:lang w:eastAsia="zh-CN"/>
        </w:rPr>
        <w:t>4.</w:t>
      </w:r>
      <w:r>
        <w:rPr>
          <w:rFonts w:hint="eastAsia" w:hAnsi="宋体" w:eastAsia="宋体" w:cs="宋体"/>
          <w:color w:val="auto"/>
          <w:spacing w:val="-3"/>
          <w:sz w:val="28"/>
          <w:szCs w:val="28"/>
          <w:highlight w:val="none"/>
          <w:lang w:eastAsia="zh-CN"/>
        </w:rPr>
        <w:t>保持室内卫生清洁，定期打扫。</w:t>
      </w:r>
    </w:p>
    <w:p>
      <w:pPr>
        <w:pStyle w:val="7"/>
        <w:kinsoku/>
        <w:wordWrap w:val="0"/>
        <w:autoSpaceDE/>
        <w:autoSpaceDN/>
        <w:adjustRightInd/>
        <w:snapToGrid/>
        <w:spacing w:beforeAutospacing="0" w:afterAutospacing="0" w:line="578" w:lineRule="exact"/>
        <w:ind w:firstLine="560" w:firstLineChars="200"/>
        <w:textAlignment w:val="auto"/>
        <w:rPr>
          <w:rFonts w:hint="default" w:ascii="仿宋" w:hAnsi="仿宋" w:cs="仿宋"/>
          <w:color w:val="auto"/>
          <w:sz w:val="28"/>
          <w:szCs w:val="32"/>
          <w:highlight w:val="none"/>
          <w:shd w:val="clear" w:color="auto" w:fill="FFFFFF"/>
          <w:lang w:eastAsia="zh-CN"/>
        </w:rPr>
      </w:pPr>
    </w:p>
    <w:p>
      <w:pPr>
        <w:spacing w:line="578" w:lineRule="exact"/>
        <w:jc w:val="center"/>
        <w:outlineLvl w:val="1"/>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第四部分 合同期限及费用</w:t>
      </w:r>
    </w:p>
    <w:p>
      <w:pPr>
        <w:widowControl w:val="0"/>
        <w:kinsoku/>
        <w:spacing w:line="578" w:lineRule="exact"/>
        <w:ind w:firstLine="562" w:firstLineChars="200"/>
        <w:jc w:val="both"/>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第五条 合同期限</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预计服务履行期限为三年。服务合同一年一签，</w:t>
      </w:r>
      <w:r>
        <w:rPr>
          <w:rFonts w:hint="eastAsia" w:ascii="宋体" w:hAnsi="宋体" w:eastAsia="宋体" w:cs="宋体"/>
          <w:color w:val="auto"/>
          <w:spacing w:val="-3"/>
          <w:sz w:val="28"/>
          <w:szCs w:val="28"/>
          <w:highlight w:val="none"/>
          <w:lang w:eastAsia="zh-CN"/>
        </w:rPr>
        <w:t>本合同为第一年即2025年</w:t>
      </w:r>
      <w:r>
        <w:rPr>
          <w:rFonts w:hint="eastAsia" w:ascii="宋体" w:hAnsi="宋体" w:eastAsia="宋体" w:cs="宋体"/>
          <w:color w:val="auto"/>
          <w:spacing w:val="-3"/>
          <w:sz w:val="28"/>
          <w:szCs w:val="28"/>
          <w:highlight w:val="none"/>
          <w:lang w:val="en-US" w:eastAsia="zh-CN"/>
        </w:rPr>
        <w:t xml:space="preserve">  </w:t>
      </w:r>
      <w:r>
        <w:rPr>
          <w:rFonts w:hint="eastAsia" w:ascii="宋体" w:hAnsi="宋体" w:eastAsia="宋体" w:cs="宋体"/>
          <w:color w:val="auto"/>
          <w:spacing w:val="-3"/>
          <w:sz w:val="28"/>
          <w:szCs w:val="28"/>
          <w:highlight w:val="none"/>
          <w:lang w:eastAsia="zh-CN"/>
        </w:rPr>
        <w:t>月</w:t>
      </w:r>
      <w:r>
        <w:rPr>
          <w:rFonts w:hint="eastAsia" w:ascii="宋体" w:hAnsi="宋体" w:eastAsia="宋体" w:cs="宋体"/>
          <w:color w:val="auto"/>
          <w:spacing w:val="-3"/>
          <w:sz w:val="28"/>
          <w:szCs w:val="28"/>
          <w:highlight w:val="none"/>
          <w:lang w:val="en-US" w:eastAsia="zh-CN"/>
        </w:rPr>
        <w:t xml:space="preserve">  </w:t>
      </w:r>
      <w:r>
        <w:rPr>
          <w:rFonts w:hint="eastAsia" w:ascii="宋体" w:hAnsi="宋体" w:eastAsia="宋体" w:cs="宋体"/>
          <w:color w:val="auto"/>
          <w:spacing w:val="-3"/>
          <w:sz w:val="28"/>
          <w:szCs w:val="28"/>
          <w:highlight w:val="none"/>
          <w:lang w:eastAsia="zh-CN"/>
        </w:rPr>
        <w:t>日至2026年</w:t>
      </w:r>
      <w:r>
        <w:rPr>
          <w:rFonts w:hint="eastAsia" w:ascii="宋体" w:hAnsi="宋体" w:eastAsia="宋体" w:cs="宋体"/>
          <w:color w:val="auto"/>
          <w:spacing w:val="-3"/>
          <w:sz w:val="28"/>
          <w:szCs w:val="28"/>
          <w:highlight w:val="none"/>
          <w:lang w:val="en-US" w:eastAsia="zh-CN"/>
        </w:rPr>
        <w:t xml:space="preserve">  </w:t>
      </w:r>
      <w:r>
        <w:rPr>
          <w:rFonts w:hint="eastAsia" w:ascii="宋体" w:hAnsi="宋体" w:eastAsia="宋体" w:cs="宋体"/>
          <w:color w:val="auto"/>
          <w:spacing w:val="-3"/>
          <w:sz w:val="28"/>
          <w:szCs w:val="28"/>
          <w:highlight w:val="none"/>
          <w:lang w:eastAsia="zh-CN"/>
        </w:rPr>
        <w:t>月</w:t>
      </w:r>
      <w:r>
        <w:rPr>
          <w:rFonts w:hint="eastAsia" w:ascii="宋体" w:hAnsi="宋体" w:eastAsia="宋体" w:cs="宋体"/>
          <w:color w:val="auto"/>
          <w:spacing w:val="-3"/>
          <w:sz w:val="28"/>
          <w:szCs w:val="28"/>
          <w:highlight w:val="none"/>
          <w:lang w:val="en-US" w:eastAsia="zh-CN"/>
        </w:rPr>
        <w:t xml:space="preserve">  </w:t>
      </w:r>
      <w:r>
        <w:rPr>
          <w:rFonts w:hint="eastAsia" w:ascii="宋体" w:hAnsi="宋体" w:eastAsia="宋体" w:cs="宋体"/>
          <w:color w:val="auto"/>
          <w:spacing w:val="-3"/>
          <w:sz w:val="28"/>
          <w:szCs w:val="28"/>
          <w:highlight w:val="none"/>
          <w:lang w:eastAsia="zh-CN"/>
        </w:rPr>
        <w:t>日期间的服务合同。在年度预算保障的前提下，乙方依据合同约定履约，且履约评价考核达标后可续签下年度服务合同，否则不再续签。</w:t>
      </w:r>
    </w:p>
    <w:p>
      <w:pPr>
        <w:widowControl w:val="0"/>
        <w:kinsoku/>
        <w:spacing w:line="578" w:lineRule="exact"/>
        <w:ind w:firstLine="562" w:firstLineChars="200"/>
        <w:jc w:val="both"/>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第六条 本合同约定服务费用及支付</w:t>
      </w:r>
    </w:p>
    <w:p>
      <w:pPr>
        <w:widowControl w:val="0"/>
        <w:kinsoku/>
        <w:spacing w:line="578" w:lineRule="exact"/>
        <w:ind w:left="557" w:leftChars="174" w:firstLine="0" w:firstLineChars="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本合同服务费用采用包干制，预算年服务费用为含税总额人民币</w:t>
      </w:r>
      <w:r>
        <w:rPr>
          <w:rFonts w:hint="eastAsia" w:ascii="仿宋" w:hAnsi="仿宋" w:eastAsia="宋体" w:cs="仿宋"/>
          <w:color w:val="auto"/>
          <w:sz w:val="28"/>
          <w:szCs w:val="32"/>
          <w:highlight w:val="none"/>
          <w:u w:val="single"/>
          <w:lang w:val="en-US" w:eastAsia="zh-CN"/>
        </w:rPr>
        <w:t xml:space="preserve">   XX</w:t>
      </w:r>
      <w:r>
        <w:rPr>
          <w:rFonts w:hint="eastAsia" w:ascii="仿宋" w:hAnsi="仿宋" w:eastAsia="宋体" w:cs="仿宋"/>
          <w:snapToGrid/>
          <w:color w:val="auto"/>
          <w:kern w:val="2"/>
          <w:sz w:val="28"/>
          <w:szCs w:val="30"/>
          <w:highlight w:val="none"/>
          <w:u w:val="single"/>
          <w:lang w:eastAsia="zh-CN"/>
        </w:rPr>
        <w:t>元</w:t>
      </w:r>
      <w:r>
        <w:rPr>
          <w:rFonts w:hint="eastAsia" w:ascii="仿宋" w:hAnsi="仿宋" w:eastAsia="宋体" w:cs="仿宋"/>
          <w:snapToGrid/>
          <w:color w:val="auto"/>
          <w:kern w:val="2"/>
          <w:sz w:val="28"/>
          <w:szCs w:val="30"/>
          <w:highlight w:val="none"/>
          <w:lang w:eastAsia="zh-CN"/>
        </w:rPr>
        <w:t>（最终付款金额以考核为准），大写：</w:t>
      </w:r>
      <w:r>
        <w:rPr>
          <w:rFonts w:hint="eastAsia" w:ascii="仿宋" w:hAnsi="仿宋" w:eastAsia="宋体" w:cs="仿宋"/>
          <w:snapToGrid/>
          <w:color w:val="auto"/>
          <w:kern w:val="2"/>
          <w:sz w:val="28"/>
          <w:szCs w:val="30"/>
          <w:highlight w:val="none"/>
          <w:lang w:val="en-US" w:eastAsia="zh-CN"/>
        </w:rPr>
        <w:t xml:space="preserve"> </w:t>
      </w:r>
      <w:r>
        <w:rPr>
          <w:rFonts w:hint="eastAsia" w:ascii="仿宋" w:hAnsi="仿宋" w:eastAsia="宋体" w:cs="仿宋"/>
          <w:snapToGrid/>
          <w:color w:val="auto"/>
          <w:kern w:val="2"/>
          <w:sz w:val="28"/>
          <w:szCs w:val="30"/>
          <w:highlight w:val="none"/>
          <w:lang w:eastAsia="zh-CN"/>
        </w:rPr>
        <w:t>，乙方应将本服务费用主要用于以下开支：</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（一）物业管理服务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1、物业管理服务费用主要用于以下开支：</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（1）服务人员的工资、社会保险、制服、劳保用品和按规定提取的福利费等；</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（2）物业共用部位、共用设施设备的日常运行费用；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（3）物业管理区域清洁卫生费用（含纸巾等易耗品，具体乙方提供易耗品详见附件2《消耗品明细单》）；</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（4）物业管理区域绿化养护费用；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（5）物业管理区域秩序维护费用；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（6）办公费用；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（7）物业管理企业固定资产折旧；</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（8）物业所有部位、共用设施设备及公众责任保险费用；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（9）法定税费；</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（10）物业管理企业的利润；</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（11）其他费用。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2、以上费用包含物业服务费用，并按本合同约定的物业服务内容和服务标准提供服务，盈余或亏损由乙方享有或承担。</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snapToGrid/>
          <w:color w:val="auto"/>
          <w:kern w:val="2"/>
          <w:sz w:val="28"/>
          <w:szCs w:val="30"/>
          <w:highlight w:val="none"/>
          <w:lang w:eastAsia="zh-CN"/>
        </w:rPr>
        <w:t>（二）甲方按月支付乙方服务费，甲方依据物业服务管理标准每月对乙方物业服务进行服务考核（考核标准详见附件 1），运行管理服务考核总分值为 100 分，每月对提供商进行综合量化考核分值，并根据考核分值确定服务费用扣除金额。按考核结果支付该月服务费，扣除标准如下：</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bCs/>
          <w:color w:val="auto"/>
          <w:sz w:val="28"/>
          <w:szCs w:val="32"/>
          <w:highlight w:val="none"/>
          <w:lang w:eastAsia="zh-CN"/>
        </w:rPr>
        <w:t>1.低于85分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不含85分</w:t>
      </w:r>
      <w:r>
        <w:rPr>
          <w:rFonts w:hint="eastAsia" w:ascii="宋体" w:hAnsi="宋体" w:eastAsia="宋体" w:cs="宋体"/>
          <w:snapToGrid w:val="0"/>
          <w:color w:val="auto"/>
          <w:spacing w:val="-3"/>
          <w:kern w:val="0"/>
          <w:sz w:val="28"/>
          <w:szCs w:val="28"/>
          <w:highlight w:val="none"/>
          <w:lang w:eastAsia="zh-CN"/>
        </w:rPr>
        <w:t>）</w:t>
      </w:r>
      <w:r>
        <w:rPr>
          <w:rFonts w:hint="eastAsia" w:ascii="仿宋" w:hAnsi="仿宋" w:eastAsia="宋体" w:cs="仿宋"/>
          <w:bCs/>
          <w:color w:val="auto"/>
          <w:sz w:val="28"/>
          <w:szCs w:val="32"/>
          <w:highlight w:val="none"/>
          <w:lang w:eastAsia="zh-CN"/>
        </w:rPr>
        <w:t>，将扣除提供商当月的2%的服务费。</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bCs/>
          <w:color w:val="auto"/>
          <w:sz w:val="28"/>
          <w:szCs w:val="32"/>
          <w:highlight w:val="none"/>
          <w:lang w:eastAsia="zh-CN"/>
        </w:rPr>
        <w:t>2.低于75分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不含75分</w:t>
      </w:r>
      <w:r>
        <w:rPr>
          <w:rFonts w:hint="eastAsia" w:ascii="宋体" w:hAnsi="宋体" w:eastAsia="宋体" w:cs="宋体"/>
          <w:snapToGrid w:val="0"/>
          <w:color w:val="auto"/>
          <w:spacing w:val="-3"/>
          <w:kern w:val="0"/>
          <w:sz w:val="28"/>
          <w:szCs w:val="28"/>
          <w:highlight w:val="none"/>
          <w:lang w:eastAsia="zh-CN"/>
        </w:rPr>
        <w:t>）</w:t>
      </w:r>
      <w:r>
        <w:rPr>
          <w:rFonts w:hint="eastAsia" w:ascii="仿宋" w:hAnsi="仿宋" w:eastAsia="宋体" w:cs="仿宋"/>
          <w:bCs/>
          <w:color w:val="auto"/>
          <w:sz w:val="28"/>
          <w:szCs w:val="32"/>
          <w:highlight w:val="none"/>
          <w:lang w:eastAsia="zh-CN"/>
        </w:rPr>
        <w:t>,将扣除提供商当月的5%的服务费。</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bCs/>
          <w:color w:val="auto"/>
          <w:sz w:val="28"/>
          <w:szCs w:val="32"/>
          <w:highlight w:val="none"/>
          <w:lang w:eastAsia="zh-CN"/>
        </w:rPr>
        <w:t>3.低于60分</w:t>
      </w:r>
      <w:r>
        <w:rPr>
          <w:rFonts w:hint="eastAsia" w:ascii="宋体" w:hAnsi="宋体" w:eastAsia="宋体" w:cs="宋体"/>
          <w:snapToGrid w:val="0"/>
          <w:color w:val="auto"/>
          <w:spacing w:val="-3"/>
          <w:kern w:val="0"/>
          <w:sz w:val="28"/>
          <w:szCs w:val="28"/>
          <w:highlight w:val="none"/>
          <w:lang w:eastAsia="zh-CN"/>
        </w:rPr>
        <w:t>（</w:t>
      </w:r>
      <w:r>
        <w:rPr>
          <w:rFonts w:hint="eastAsia" w:ascii="宋体" w:hAnsi="宋体" w:eastAsia="宋体" w:cs="宋体"/>
          <w:snapToGrid w:val="0"/>
          <w:color w:val="auto"/>
          <w:spacing w:val="-3"/>
          <w:kern w:val="0"/>
          <w:sz w:val="28"/>
          <w:szCs w:val="28"/>
          <w:highlight w:val="none"/>
          <w:lang w:val="en-US" w:eastAsia="zh-CN"/>
        </w:rPr>
        <w:t>不含60分</w:t>
      </w:r>
      <w:r>
        <w:rPr>
          <w:rFonts w:hint="eastAsia" w:ascii="宋体" w:hAnsi="宋体" w:eastAsia="宋体" w:cs="宋体"/>
          <w:snapToGrid w:val="0"/>
          <w:color w:val="auto"/>
          <w:spacing w:val="-3"/>
          <w:kern w:val="0"/>
          <w:sz w:val="28"/>
          <w:szCs w:val="28"/>
          <w:highlight w:val="none"/>
          <w:lang w:eastAsia="zh-CN"/>
        </w:rPr>
        <w:t>）</w:t>
      </w:r>
      <w:r>
        <w:rPr>
          <w:rFonts w:hint="eastAsia" w:ascii="仿宋" w:hAnsi="仿宋" w:eastAsia="宋体" w:cs="仿宋"/>
          <w:bCs/>
          <w:color w:val="auto"/>
          <w:sz w:val="28"/>
          <w:szCs w:val="32"/>
          <w:highlight w:val="none"/>
          <w:lang w:eastAsia="zh-CN"/>
        </w:rPr>
        <w:t>,将扣除提供商当月的10%的服务费。</w:t>
      </w:r>
    </w:p>
    <w:p>
      <w:pPr>
        <w:widowControl w:val="0"/>
        <w:kinsoku/>
        <w:autoSpaceDE/>
        <w:autoSpaceDN/>
        <w:adjustRightInd/>
        <w:spacing w:line="578" w:lineRule="exact"/>
        <w:ind w:firstLine="560" w:firstLineChars="200"/>
        <w:textAlignment w:val="auto"/>
        <w:rPr>
          <w:rFonts w:ascii="仿宋" w:hAnsi="仿宋" w:eastAsia="宋体" w:cs="仿宋"/>
          <w:color w:val="auto"/>
          <w:sz w:val="28"/>
          <w:szCs w:val="32"/>
          <w:highlight w:val="none"/>
          <w:lang w:eastAsia="zh-CN"/>
        </w:rPr>
      </w:pP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（三）</w:t>
      </w:r>
      <w:r>
        <w:rPr>
          <w:rFonts w:hint="eastAsia" w:ascii="宋体" w:hAnsi="宋体" w:eastAsia="宋体" w:cs="宋体"/>
          <w:color w:val="auto"/>
          <w:spacing w:val="-3"/>
          <w:sz w:val="28"/>
          <w:szCs w:val="28"/>
          <w:highlight w:val="none"/>
          <w:lang w:eastAsia="zh-CN"/>
        </w:rPr>
        <w:t>乙方根据甲方验收结果及双方协商一致的扣除标准确定上月服务费后，于每月28日前按确定的上月服务费用提供税务发票给甲方，甲方收到乙方发票后20个工作日内一次性转账支付上个月的管理服务费用给乙方。</w:t>
      </w:r>
      <w:r>
        <w:rPr>
          <w:rFonts w:hint="eastAsia" w:ascii="仿宋" w:hAnsi="仿宋" w:eastAsia="宋体" w:cs="仿宋"/>
          <w:snapToGrid/>
          <w:color w:val="auto"/>
          <w:kern w:val="2"/>
          <w:sz w:val="28"/>
          <w:szCs w:val="30"/>
          <w:highlight w:val="none"/>
          <w:lang w:eastAsia="zh-CN"/>
        </w:rPr>
        <w:t>乙方指定收款账户信息如下：</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开户行：</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账户：</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银行账号：</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（四）本合同物业服务费以外，如房屋设备设施大、中修及更新改造，根据相关法律法规，依法由甲方负责解决。</w:t>
      </w:r>
    </w:p>
    <w:p>
      <w:pPr>
        <w:widowControl w:val="0"/>
        <w:kinsoku/>
        <w:spacing w:line="578" w:lineRule="exact"/>
        <w:jc w:val="center"/>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第五部分 物业的承接验收</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第七条</w:t>
      </w:r>
      <w:r>
        <w:rPr>
          <w:rFonts w:hint="eastAsia" w:ascii="仿宋" w:hAnsi="仿宋" w:eastAsia="宋体" w:cs="仿宋"/>
          <w:snapToGrid/>
          <w:color w:val="auto"/>
          <w:kern w:val="2"/>
          <w:sz w:val="28"/>
          <w:szCs w:val="30"/>
          <w:highlight w:val="none"/>
          <w:lang w:eastAsia="zh-CN"/>
        </w:rPr>
        <w:t xml:space="preserve"> 乙方承接物业时，应当对物业的设施、设备进行查验。甲方应配合乙方验收。</w:t>
      </w:r>
      <w:r>
        <w:rPr>
          <w:rFonts w:hint="eastAsia" w:ascii="宋体" w:hAnsi="宋体" w:eastAsia="宋体" w:cs="宋体"/>
          <w:color w:val="auto"/>
          <w:spacing w:val="-3"/>
          <w:sz w:val="28"/>
          <w:szCs w:val="28"/>
          <w:highlight w:val="none"/>
          <w:lang w:eastAsia="zh-CN"/>
        </w:rPr>
        <w:t>乙方经验收签署确认书查收相关设施设备后，即视为甲方交付乙方的设施设备均属正常适用状态，乙方应依法依约及依行业规范使用及维护保养。</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第八条</w:t>
      </w:r>
      <w:r>
        <w:rPr>
          <w:rFonts w:hint="eastAsia" w:ascii="仿宋" w:hAnsi="仿宋" w:eastAsia="宋体" w:cs="仿宋"/>
          <w:snapToGrid/>
          <w:color w:val="auto"/>
          <w:kern w:val="2"/>
          <w:sz w:val="28"/>
          <w:szCs w:val="30"/>
          <w:highlight w:val="none"/>
          <w:lang w:eastAsia="zh-CN"/>
        </w:rPr>
        <w:t xml:space="preserve"> 对于本合同约定乙方提供物业服务的三亚市委大院及市周转房管理区域内，全部属于乙方提供物业服务的责任范围。</w:t>
      </w:r>
    </w:p>
    <w:p>
      <w:pPr>
        <w:widowControl w:val="0"/>
        <w:kinsoku/>
        <w:spacing w:line="578" w:lineRule="exact"/>
        <w:jc w:val="center"/>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第六部分 物业的使用与维护</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第九条</w:t>
      </w:r>
      <w:r>
        <w:rPr>
          <w:rFonts w:hint="eastAsia" w:ascii="仿宋" w:hAnsi="仿宋" w:eastAsia="宋体" w:cs="仿宋"/>
          <w:snapToGrid/>
          <w:color w:val="auto"/>
          <w:kern w:val="2"/>
          <w:sz w:val="28"/>
          <w:szCs w:val="30"/>
          <w:highlight w:val="none"/>
          <w:lang w:eastAsia="zh-CN"/>
        </w:rPr>
        <w:t xml:space="preserve"> 乙方应配合甲方制定本物业区域使用、公共秩序和环境卫生的维护等方面的规章制度。乙方根据规章制度提供管理服务时，甲方和物业使用人应给予必要配合。</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第十条</w:t>
      </w:r>
      <w:r>
        <w:rPr>
          <w:rFonts w:hint="eastAsia" w:ascii="仿宋" w:hAnsi="仿宋" w:eastAsia="宋体" w:cs="仿宋"/>
          <w:snapToGrid/>
          <w:color w:val="auto"/>
          <w:kern w:val="2"/>
          <w:sz w:val="28"/>
          <w:szCs w:val="30"/>
          <w:highlight w:val="none"/>
          <w:lang w:eastAsia="zh-CN"/>
        </w:rPr>
        <w:t xml:space="preserve"> 乙方可采取规劝、发出书面整改通知等必要措施，制止物业使用人违反物业管理区域内物业管理规章制度的行为。</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第十一条</w:t>
      </w:r>
      <w:r>
        <w:rPr>
          <w:rFonts w:hint="eastAsia" w:ascii="仿宋" w:hAnsi="仿宋" w:eastAsia="宋体" w:cs="仿宋"/>
          <w:snapToGrid/>
          <w:color w:val="auto"/>
          <w:kern w:val="2"/>
          <w:sz w:val="28"/>
          <w:szCs w:val="30"/>
          <w:highlight w:val="none"/>
          <w:lang w:eastAsia="zh-CN"/>
        </w:rPr>
        <w:t xml:space="preserve"> 乙方应及时向甲方和物业使用人通告本物业管理区域内有关物业管理的重大事项，及时处理物业使用人的投诉，接受甲方和物业使用人的监督。</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第十二条</w:t>
      </w:r>
      <w:r>
        <w:rPr>
          <w:rFonts w:hint="eastAsia" w:ascii="仿宋" w:hAnsi="仿宋" w:eastAsia="宋体" w:cs="仿宋"/>
          <w:snapToGrid/>
          <w:color w:val="auto"/>
          <w:kern w:val="2"/>
          <w:sz w:val="28"/>
          <w:szCs w:val="30"/>
          <w:highlight w:val="none"/>
          <w:lang w:eastAsia="zh-CN"/>
        </w:rPr>
        <w:t xml:space="preserve"> 因维修物业或者公共利益，物业维修人确需临时占用、挖掘本物业管理区域内道路、场地的，乙方配合、监督；乙方确需临时占用、挖掘本物业管理区域内道路、场地的，应征得甲方的同意。临时占用、挖掘本物业管理区域内道路、场地的，应在约定期限内恢复原状，不得影响甲方正常办公和人员通行。</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第十三条</w:t>
      </w:r>
      <w:r>
        <w:rPr>
          <w:rFonts w:hint="eastAsia" w:ascii="仿宋" w:hAnsi="仿宋" w:eastAsia="宋体" w:cs="仿宋"/>
          <w:snapToGrid/>
          <w:color w:val="auto"/>
          <w:kern w:val="2"/>
          <w:sz w:val="28"/>
          <w:szCs w:val="30"/>
          <w:highlight w:val="none"/>
          <w:lang w:eastAsia="zh-CN"/>
        </w:rPr>
        <w:t xml:space="preserve"> 未经甲方书面同意，乙方不得对三亚市委大院进行任何装饰、装修，任意占用所管理的任何物业。</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第十四条</w:t>
      </w:r>
      <w:r>
        <w:rPr>
          <w:rFonts w:hint="eastAsia" w:ascii="仿宋" w:hAnsi="仿宋" w:eastAsia="宋体" w:cs="仿宋"/>
          <w:snapToGrid/>
          <w:color w:val="auto"/>
          <w:kern w:val="2"/>
          <w:sz w:val="28"/>
          <w:szCs w:val="30"/>
          <w:highlight w:val="none"/>
          <w:lang w:eastAsia="zh-CN"/>
        </w:rPr>
        <w:t xml:space="preserve"> 管理用房属甲方所有，乙方在本合同期限内无偿使用，但不得改变其用途。</w:t>
      </w:r>
    </w:p>
    <w:p>
      <w:pPr>
        <w:widowControl w:val="0"/>
        <w:kinsoku/>
        <w:spacing w:line="578" w:lineRule="exact"/>
        <w:ind w:firstLine="560" w:firstLineChars="200"/>
        <w:jc w:val="center"/>
        <w:textAlignment w:val="auto"/>
        <w:rPr>
          <w:rFonts w:ascii="仿宋" w:hAnsi="仿宋" w:eastAsia="宋体" w:cs="仿宋"/>
          <w:snapToGrid/>
          <w:color w:val="auto"/>
          <w:kern w:val="2"/>
          <w:sz w:val="28"/>
          <w:szCs w:val="30"/>
          <w:highlight w:val="none"/>
          <w:lang w:eastAsia="zh-CN"/>
        </w:rPr>
      </w:pPr>
      <w:r>
        <w:rPr>
          <w:rFonts w:hint="eastAsia" w:ascii="宋体" w:hAnsi="宋体" w:eastAsia="宋体" w:cs="宋体"/>
          <w:color w:val="auto"/>
          <w:sz w:val="28"/>
          <w:szCs w:val="28"/>
          <w:highlight w:val="none"/>
          <w:lang w:eastAsia="zh-CN"/>
        </w:rPr>
        <w:t>第七部分 双方的权利义务</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第十五条</w:t>
      </w:r>
      <w:r>
        <w:rPr>
          <w:rFonts w:hint="eastAsia" w:ascii="仿宋" w:hAnsi="仿宋" w:eastAsia="宋体" w:cs="仿宋"/>
          <w:snapToGrid/>
          <w:color w:val="auto"/>
          <w:kern w:val="2"/>
          <w:sz w:val="28"/>
          <w:szCs w:val="30"/>
          <w:highlight w:val="none"/>
          <w:lang w:eastAsia="zh-CN"/>
        </w:rPr>
        <w:t xml:space="preserve"> 甲方的权利和义务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（一）审定乙方的物业管理服务工作计划，工作计划完成情况。</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（二）对物业管理活动进行考核、监督与指导，有权对物业管理实施情况提出意见和建议及整改措施；</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（三）审定乙方拟订的物业管理各项规章和制度，并检查监督乙方对各项规章制度的执行情况；</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（四）有权同意或者不同意乙方分包物业管理事项，并对此享有监督、管理权，且有权随时拒绝不具有相关资质或给甲方造成任何不利影响的分包主体向甲方提供服务，相应后果均由乙方承担。</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（五）本合同签订后30日内，如有，向乙方提供下列资料：</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1、竣工总平面图，单体建筑、结构、设备竣工图，附属配套设施、地下管网工程竣工图、电气竣工验收图、建筑工程消防验收意见书等竣工验收资料；</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2、设施设备的安装、使用和维护保养的技术资料；</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3、物业质量保修文件和物业使用说明文件；</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4、协助乙方办理审批卫生许可证及年检。</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（六）根据双方约定，在乙方按时保质地履行本合同约定内容的基础上，甲方应按时足额向乙方支付物业管理服务的各项费用。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（七）甲方为乙方提供必要的物业管理用房及宿舍等办公场所（宿舍的水电费、物业费及其他费用乙方自理）。</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甲方在办理移交时一次性将物业设施设备、电路等维修所需的工具全部交付给乙方，后期损耗或丢失由乙方补充，乙方撤离时应将其交还给甲方。</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（八）合同期间，甲方有权对乙方提供的服务进行抽查、检查和考核，期间发现的问题，甲方有权要求乙方进行整改，并按照考核结果确定考核期内的物业服务费用。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（九）甲方有权要求乙方撤换不称职的人员。</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（十）其他相关法律法规规定的权利和义务。</w:t>
      </w:r>
    </w:p>
    <w:p>
      <w:pPr>
        <w:widowControl w:val="0"/>
        <w:kinsoku/>
        <w:spacing w:line="578" w:lineRule="exact"/>
        <w:ind w:firstLine="562" w:firstLineChars="200"/>
        <w:textAlignment w:val="auto"/>
        <w:rPr>
          <w:rFonts w:ascii="仿宋" w:hAnsi="仿宋" w:eastAsia="宋体" w:cs="仿宋"/>
          <w:b/>
          <w:bCs/>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第十六条 乙方的权利和义务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（一）根据甲方的委托和法律法规及本合同的约定，在本物业区域内提供物业管理服务。</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（二）按双方约定的服务标准、人员配置向甲方提供服务，在乙方按时保质地履行本合同约定内容的基础上，向甲方收取服务费。</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（三）根据有关法律法规及本合同的约定，拟定物业服务方案、物业管理规章与制度并经甲方确认。</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（四）挑选政治可靠、品质优秀、技术熟练、礼仪得体的人员为甲方提供服务，并保证乙方所派人员均与乙方建立正式、合法且有效的劳动关系；乙方应根据甲方的要求及时调换不适合在甲方工作的服务人员。</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（五）经甲方同意后，可以选聘专业性服务企业承担物业区域内的专项服务项目，但不得将本物业区域内的全部物业服务委托给第三方。</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（六）乙方须接受甲方对物业管理日常工作的检查、监督、考核和指导：如经甲方检查发现不合格项，乙方应按甲方要求立即整改，甲方要求乙方解决的问题，乙方应当提出解决方案，经甲方同意后实施。</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（七）乙方派遣至甲方的岗位人员必须按照国家有关部门的要求,具备从事岗位工作的相应技能和资格，乙方应对其工作人员进行安全教育、培训，并形成安全培训记录。</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（八）对物业使用人违反本物业管理规定的行为，有权进行规劝和制止。如发现物业使用人有重大违规而又无法制止时，及时向甲方报告，并由甲方负责处理。</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（九）乙方设立专门的服务、投诉电话，受理服务咨询和投诉，乙方应将对投诉事件的处理结果及时书面报告甲方，并接受甲方的监督和指导；</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（十）对物业设施不得擅自占用和改变使用功能，如需在本物业内改、扩建或完善配套项目，须经甲方书面同意后报有关部门批准实施。</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（十一）因乙方或乙方人员造成甲方、甲方人员或第三方人员人身损害、财产损失或其他损失的，乙方承担赔偿责任；</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（十二）遵守甲方保密规定，并有义务根据甲方要求签订保密协议；</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（十三）其他相关法律法规规定的权利和义务。</w:t>
      </w:r>
    </w:p>
    <w:p>
      <w:pPr>
        <w:spacing w:line="578" w:lineRule="exact"/>
        <w:jc w:val="center"/>
        <w:outlineLvl w:val="1"/>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第八部分 人员配备标准</w:t>
      </w:r>
    </w:p>
    <w:p>
      <w:pPr>
        <w:widowControl w:val="0"/>
        <w:kinsoku/>
        <w:spacing w:line="578" w:lineRule="exact"/>
        <w:ind w:firstLine="562" w:firstLineChars="200"/>
        <w:jc w:val="both"/>
        <w:textAlignment w:val="auto"/>
        <w:rPr>
          <w:rFonts w:ascii="仿宋" w:hAnsi="仿宋" w:eastAsia="宋体" w:cs="仿宋"/>
          <w:color w:val="auto"/>
          <w:sz w:val="28"/>
          <w:szCs w:val="32"/>
          <w:highlight w:val="none"/>
          <w:lang w:eastAsia="zh-CN"/>
        </w:rPr>
      </w:pPr>
      <w:r>
        <w:rPr>
          <w:rFonts w:hint="eastAsia" w:ascii="仿宋" w:hAnsi="仿宋" w:eastAsia="宋体" w:cs="仿宋"/>
          <w:b/>
          <w:bCs/>
          <w:snapToGrid/>
          <w:color w:val="auto"/>
          <w:kern w:val="2"/>
          <w:sz w:val="28"/>
          <w:szCs w:val="30"/>
          <w:highlight w:val="none"/>
          <w:lang w:eastAsia="zh-CN"/>
        </w:rPr>
        <w:t>第十七条</w:t>
      </w:r>
      <w:r>
        <w:rPr>
          <w:rFonts w:hint="eastAsia" w:ascii="仿宋" w:hAnsi="仿宋" w:eastAsia="宋体" w:cs="仿宋"/>
          <w:snapToGrid/>
          <w:color w:val="auto"/>
          <w:kern w:val="2"/>
          <w:sz w:val="28"/>
          <w:szCs w:val="30"/>
          <w:highlight w:val="none"/>
          <w:lang w:eastAsia="zh-CN"/>
        </w:rPr>
        <w:t>乙方根据采购需求合理安排人员配备，应具备（但不限于）以下岗位及人员</w:t>
      </w:r>
      <w:r>
        <w:rPr>
          <w:rFonts w:hint="eastAsia" w:ascii="仿宋" w:hAnsi="仿宋" w:eastAsia="宋体" w:cs="仿宋"/>
          <w:color w:val="auto"/>
          <w:sz w:val="28"/>
          <w:szCs w:val="32"/>
          <w:highlight w:val="none"/>
          <w:lang w:eastAsia="zh-CN"/>
        </w:rPr>
        <w:t>：</w:t>
      </w:r>
    </w:p>
    <w:tbl>
      <w:tblPr>
        <w:tblStyle w:val="8"/>
        <w:tblW w:w="8193"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910"/>
        <w:gridCol w:w="825"/>
        <w:gridCol w:w="3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bidi="ar"/>
              </w:rPr>
              <w:t>序号</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bidi="ar"/>
              </w:rPr>
              <w:t>岗位</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auto"/>
                <w:sz w:val="24"/>
                <w:szCs w:val="24"/>
                <w:highlight w:val="none"/>
                <w:u w:val="none"/>
              </w:rPr>
            </w:pPr>
            <w:r>
              <w:rPr>
                <w:rFonts w:hint="eastAsia" w:ascii="仿宋_GB2312" w:hAnsi="仿宋_GB2312" w:eastAsia="仿宋_GB2312" w:cs="仿宋_GB2312"/>
                <w:b/>
                <w:bCs/>
                <w:i w:val="0"/>
                <w:iCs w:val="0"/>
                <w:color w:val="auto"/>
                <w:kern w:val="0"/>
                <w:sz w:val="24"/>
                <w:szCs w:val="24"/>
                <w:highlight w:val="none"/>
                <w:u w:val="none"/>
                <w:lang w:val="en-US" w:eastAsia="zh-CN" w:bidi="ar"/>
              </w:rPr>
              <w:t>人数</w:t>
            </w:r>
          </w:p>
        </w:tc>
        <w:tc>
          <w:tcPr>
            <w:tcW w:w="370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auto"/>
                <w:kern w:val="0"/>
                <w:sz w:val="24"/>
                <w:szCs w:val="24"/>
                <w:highlight w:val="none"/>
                <w:u w:val="none"/>
                <w:lang w:val="en-US" w:eastAsia="zh-CN" w:bidi="ar"/>
              </w:rPr>
            </w:pPr>
            <w:r>
              <w:rPr>
                <w:rFonts w:hint="eastAsia" w:ascii="仿宋_GB2312" w:hAnsi="仿宋_GB2312" w:eastAsia="仿宋_GB2312" w:cs="仿宋_GB2312"/>
                <w:b/>
                <w:bCs/>
                <w:i w:val="0"/>
                <w:iCs w:val="0"/>
                <w:color w:val="auto"/>
                <w:kern w:val="0"/>
                <w:sz w:val="24"/>
                <w:szCs w:val="24"/>
                <w:highlight w:val="none"/>
                <w:u w:val="none"/>
                <w:lang w:val="en-US" w:eastAsia="zh-CN" w:bidi="ar"/>
              </w:rPr>
              <w:t>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项目负责人</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全面负责三亚市委大院项目物业委托服务工作，处理内外部关系，对整体管理和服务质量负责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项目主管</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hAnsi="仿宋_GB2312" w:cs="仿宋_GB2312"/>
                <w:i w:val="0"/>
                <w:iCs w:val="0"/>
                <w:color w:val="auto"/>
                <w:kern w:val="0"/>
                <w:sz w:val="24"/>
                <w:szCs w:val="24"/>
                <w:highlight w:val="none"/>
                <w:u w:val="none"/>
                <w:lang w:val="en-US" w:eastAsia="zh-CN" w:bidi="ar"/>
              </w:rPr>
              <w:t>2</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负责会务接待工作；协助项目经理开展日常管理工作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3</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维修技工</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2</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负责设施设备的日常维护、保养的具体实施，及日常零星维修的具体实施，做好日常各项记录工作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53"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4</w:t>
            </w:r>
          </w:p>
        </w:tc>
        <w:tc>
          <w:tcPr>
            <w:tcW w:w="2910" w:type="dxa"/>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维修工</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2</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2"/>
                <w:sz w:val="24"/>
                <w:szCs w:val="24"/>
                <w:highlight w:val="none"/>
                <w:lang w:val="en-US" w:eastAsia="zh-CN" w:bidi="ar"/>
              </w:rPr>
              <w:t>区域建筑（含室内外非机电设备设施）、土建部分维护、日常零星维修等；机电设备设施（变配电系统、给排水系统、监控系统、安防系统、消防系统、中央空调系统、家用电器等）抄表、巡查、清洁、维护、零星维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5</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弱电工（网管）</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维护和保障网络与应用平台的正常运行，处理各种网络和系统故障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6</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会务服务员</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4</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负责会议服务的前期准备，会议期间的接待和收拾服务，提前按要求对会议现场的环境打扫、会议桌布置、休息室接待等工作。平时协助物业主管进行项目内部工作的实施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7</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环境主管</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kern w:val="0"/>
                <w:sz w:val="24"/>
                <w:szCs w:val="24"/>
                <w:highlight w:val="none"/>
                <w:u w:val="none"/>
                <w:lang w:val="en-US" w:eastAsia="zh-CN" w:bidi="ar"/>
              </w:rPr>
              <w:t>1</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负责项目保洁、绿化养护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hAnsi="仿宋_GB2312" w:cs="仿宋_GB2312"/>
                <w:i w:val="0"/>
                <w:iCs w:val="0"/>
                <w:color w:val="auto"/>
                <w:sz w:val="24"/>
                <w:szCs w:val="24"/>
                <w:highlight w:val="none"/>
                <w:u w:val="none"/>
                <w:lang w:val="en-US" w:eastAsia="zh-CN"/>
              </w:rPr>
              <w:t>8</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sz w:val="24"/>
                <w:szCs w:val="24"/>
                <w:highlight w:val="none"/>
                <w:u w:val="none"/>
              </w:rPr>
              <w:t>保洁员</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sz w:val="24"/>
                <w:szCs w:val="24"/>
                <w:highlight w:val="none"/>
                <w:u w:val="none"/>
              </w:rPr>
              <w:t>12</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负责公共走道、楼道、卫生间、会议室、开水房等卫生保洁工作与相应区域保洁员负责地毯清洗、玻璃刮洗、烧开水</w:t>
            </w:r>
            <w:r>
              <w:rPr>
                <w:rFonts w:hint="eastAsia" w:hAnsi="仿宋_GB2312" w:cs="仿宋_GB2312"/>
                <w:i w:val="0"/>
                <w:iCs w:val="0"/>
                <w:color w:val="auto"/>
                <w:kern w:val="0"/>
                <w:sz w:val="24"/>
                <w:szCs w:val="24"/>
                <w:highlight w:val="none"/>
                <w:u w:val="none"/>
                <w:lang w:val="en-US" w:eastAsia="zh-CN" w:bidi="ar"/>
              </w:rPr>
              <w:t>、</w:t>
            </w:r>
            <w:r>
              <w:rPr>
                <w:rFonts w:hint="eastAsia" w:ascii="仿宋_GB2312" w:hAnsi="仿宋_GB2312" w:eastAsia="仿宋_GB2312" w:cs="仿宋_GB2312"/>
                <w:i w:val="0"/>
                <w:iCs w:val="0"/>
                <w:color w:val="auto"/>
                <w:kern w:val="0"/>
                <w:sz w:val="24"/>
                <w:szCs w:val="24"/>
                <w:highlight w:val="none"/>
                <w:u w:val="none"/>
                <w:lang w:val="en-US" w:eastAsia="zh-CN" w:bidi="ar"/>
              </w:rPr>
              <w:t>户外道路、停车场清扫保洁；生活垃圾装车；定期对地面进行冲洗、沟渠的清理，做好日常各项记录等工作。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bCs/>
                <w:i w:val="0"/>
                <w:iCs w:val="0"/>
                <w:color w:val="auto"/>
                <w:sz w:val="24"/>
                <w:szCs w:val="24"/>
                <w:highlight w:val="none"/>
                <w:u w:val="none"/>
                <w:lang w:val="en-US" w:eastAsia="zh-CN"/>
              </w:rPr>
            </w:pPr>
            <w:r>
              <w:rPr>
                <w:rFonts w:hint="eastAsia" w:hAnsi="仿宋_GB2312" w:cs="仿宋_GB2312"/>
                <w:i w:val="0"/>
                <w:iCs w:val="0"/>
                <w:color w:val="auto"/>
                <w:sz w:val="24"/>
                <w:szCs w:val="24"/>
                <w:highlight w:val="none"/>
                <w:u w:val="none"/>
                <w:lang w:val="en-US" w:eastAsia="zh-CN"/>
              </w:rPr>
              <w:t>9</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绿化工</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3</w:t>
            </w:r>
          </w:p>
        </w:tc>
        <w:tc>
          <w:tcPr>
            <w:tcW w:w="370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在保洁绿化主管的安排下，实施项目的日常绿化养护工作；定期对绿化作物进行浇水、拔草、修剪、施肥、补种等工作；做好日常各项记录工作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10</w:t>
            </w:r>
          </w:p>
        </w:tc>
        <w:tc>
          <w:tcPr>
            <w:tcW w:w="2910"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0"/>
                <w:sz w:val="24"/>
                <w:szCs w:val="24"/>
                <w:highlight w:val="none"/>
                <w:u w:val="none"/>
                <w:lang w:val="en-US" w:eastAsia="zh-CN" w:bidi="ar"/>
              </w:rPr>
            </w:pPr>
            <w:r>
              <w:rPr>
                <w:rFonts w:hint="eastAsia" w:hAnsi="仿宋_GB2312" w:cs="仿宋_GB2312"/>
                <w:i w:val="0"/>
                <w:iCs w:val="0"/>
                <w:color w:val="auto"/>
                <w:kern w:val="0"/>
                <w:sz w:val="24"/>
                <w:szCs w:val="24"/>
                <w:highlight w:val="none"/>
                <w:u w:val="none"/>
                <w:lang w:val="en-US" w:eastAsia="zh-CN" w:bidi="ar"/>
              </w:rPr>
              <w:t>秩序维护队长</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hAnsi="仿宋_GB2312" w:cs="仿宋_GB2312"/>
                <w:i w:val="0"/>
                <w:iCs w:val="0"/>
                <w:color w:val="auto"/>
                <w:kern w:val="0"/>
                <w:sz w:val="24"/>
                <w:szCs w:val="24"/>
                <w:highlight w:val="none"/>
                <w:u w:val="none"/>
                <w:lang w:val="en-US" w:eastAsia="zh-CN" w:bidi="ar"/>
              </w:rPr>
            </w:pPr>
            <w:r>
              <w:rPr>
                <w:rFonts w:hint="eastAsia" w:hAnsi="仿宋_GB2312" w:cs="仿宋_GB2312"/>
                <w:i w:val="0"/>
                <w:iCs w:val="0"/>
                <w:color w:val="auto"/>
                <w:kern w:val="0"/>
                <w:sz w:val="24"/>
                <w:szCs w:val="24"/>
                <w:highlight w:val="none"/>
                <w:u w:val="none"/>
                <w:lang w:val="en-US" w:eastAsia="zh-CN" w:bidi="ar"/>
              </w:rPr>
              <w:t>1</w:t>
            </w:r>
          </w:p>
        </w:tc>
        <w:tc>
          <w:tcPr>
            <w:tcW w:w="3705" w:type="dxa"/>
            <w:noWrap w:val="0"/>
            <w:vAlign w:val="center"/>
          </w:tcPr>
          <w:p>
            <w:pPr>
              <w:keepNext w:val="0"/>
              <w:keepLines w:val="0"/>
              <w:widowControl w:val="0"/>
              <w:suppressLineNumbers w:val="0"/>
              <w:spacing w:before="0" w:beforeAutospacing="0" w:after="0" w:afterAutospacing="0"/>
              <w:ind w:left="0" w:leftChars="0" w:right="0" w:rightChars="0"/>
              <w:jc w:val="both"/>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负责项目的秩序维护工作，掌握项目内的基本情况</w:t>
            </w:r>
            <w:r>
              <w:rPr>
                <w:rFonts w:hint="eastAsia" w:hAnsi="仿宋_GB2312" w:cs="仿宋_GB2312"/>
                <w:color w:val="auto"/>
                <w:kern w:val="0"/>
                <w:sz w:val="24"/>
                <w:szCs w:val="24"/>
                <w:highlight w:val="none"/>
                <w:lang w:val="en-US" w:eastAsia="zh-CN" w:bidi="ar"/>
              </w:rPr>
              <w:t>，</w:t>
            </w:r>
            <w:r>
              <w:rPr>
                <w:rFonts w:hint="eastAsia" w:ascii="仿宋_GB2312" w:hAnsi="仿宋_GB2312" w:eastAsia="仿宋_GB2312" w:cs="仿宋_GB2312"/>
                <w:color w:val="auto"/>
                <w:kern w:val="0"/>
                <w:sz w:val="24"/>
                <w:szCs w:val="24"/>
                <w:highlight w:val="none"/>
                <w:lang w:val="en-US" w:eastAsia="zh-CN" w:bidi="ar"/>
              </w:rPr>
              <w:t>及时消除各种安全隐患</w:t>
            </w:r>
            <w:r>
              <w:rPr>
                <w:rFonts w:hint="eastAsia" w:hAnsi="仿宋_GB2312" w:cs="仿宋_GB2312"/>
                <w:color w:val="auto"/>
                <w:kern w:val="0"/>
                <w:sz w:val="24"/>
                <w:szCs w:val="24"/>
                <w:highlight w:val="none"/>
                <w:lang w:val="en-US" w:eastAsia="zh-CN" w:bidi="ar"/>
              </w:rPr>
              <w:t>，管理维护消防安全设施。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11</w:t>
            </w:r>
          </w:p>
        </w:tc>
        <w:tc>
          <w:tcPr>
            <w:tcW w:w="2910"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保安队长</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1</w:t>
            </w:r>
          </w:p>
        </w:tc>
        <w:tc>
          <w:tcPr>
            <w:tcW w:w="370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hAnsi="仿宋_GB2312" w:cs="仿宋_GB2312"/>
                <w:i w:val="0"/>
                <w:iCs w:val="0"/>
                <w:color w:val="auto"/>
                <w:kern w:val="0"/>
                <w:sz w:val="24"/>
                <w:szCs w:val="24"/>
                <w:highlight w:val="none"/>
                <w:u w:val="none"/>
                <w:lang w:val="en-US" w:eastAsia="zh-CN" w:bidi="ar"/>
              </w:rPr>
              <w:t>负责</w:t>
            </w:r>
            <w:r>
              <w:rPr>
                <w:rFonts w:hint="eastAsia" w:ascii="仿宋_GB2312" w:hAnsi="仿宋_GB2312" w:eastAsia="仿宋_GB2312" w:cs="仿宋_GB2312"/>
                <w:color w:val="auto"/>
                <w:kern w:val="0"/>
                <w:sz w:val="24"/>
                <w:szCs w:val="24"/>
                <w:highlight w:val="none"/>
                <w:lang w:val="en-US" w:eastAsia="zh-CN" w:bidi="ar"/>
              </w:rPr>
              <w:t>指挥和调度</w:t>
            </w:r>
            <w:r>
              <w:rPr>
                <w:rFonts w:hint="eastAsia" w:hAnsi="仿宋_GB2312" w:cs="仿宋_GB2312"/>
                <w:color w:val="auto"/>
                <w:kern w:val="0"/>
                <w:sz w:val="24"/>
                <w:szCs w:val="24"/>
                <w:highlight w:val="none"/>
                <w:lang w:val="en-US" w:eastAsia="zh-CN" w:bidi="ar"/>
              </w:rPr>
              <w:t>所有保安，</w:t>
            </w:r>
            <w:r>
              <w:rPr>
                <w:rFonts w:hint="eastAsia" w:ascii="仿宋_GB2312" w:hAnsi="仿宋_GB2312" w:eastAsia="仿宋_GB2312" w:cs="仿宋_GB2312"/>
                <w:color w:val="auto"/>
                <w:kern w:val="0"/>
                <w:sz w:val="24"/>
                <w:szCs w:val="24"/>
                <w:highlight w:val="none"/>
                <w:lang w:val="en-US" w:eastAsia="zh-CN" w:bidi="ar"/>
              </w:rPr>
              <w:t>掌握项目内的基本情况</w:t>
            </w:r>
            <w:r>
              <w:rPr>
                <w:rFonts w:hint="eastAsia" w:hAnsi="仿宋_GB2312" w:cs="仿宋_GB2312"/>
                <w:color w:val="auto"/>
                <w:kern w:val="0"/>
                <w:sz w:val="24"/>
                <w:szCs w:val="24"/>
                <w:highlight w:val="none"/>
                <w:lang w:val="en-US" w:eastAsia="zh-CN" w:bidi="ar"/>
              </w:rPr>
              <w:t>、</w:t>
            </w:r>
            <w:r>
              <w:rPr>
                <w:rFonts w:hint="eastAsia" w:ascii="仿宋_GB2312" w:hAnsi="仿宋_GB2312" w:eastAsia="仿宋_GB2312" w:cs="仿宋_GB2312"/>
                <w:color w:val="auto"/>
                <w:kern w:val="0"/>
                <w:sz w:val="24"/>
                <w:szCs w:val="24"/>
                <w:highlight w:val="none"/>
                <w:lang w:val="en-US" w:eastAsia="zh-CN" w:bidi="ar"/>
              </w:rPr>
              <w:t>车辆管理等工作的规律及重点，及时消除各种安全隐患；负责本部门员工的安保知识、岗位操作流程、专业技能等的培训与考核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12</w:t>
            </w:r>
          </w:p>
        </w:tc>
        <w:tc>
          <w:tcPr>
            <w:tcW w:w="2910"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保安班长</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2</w:t>
            </w:r>
          </w:p>
        </w:tc>
        <w:tc>
          <w:tcPr>
            <w:tcW w:w="370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听从统一指挥和调度，负责当班人员的值班和换岗调度等；检查、督促下属员工按照岗职责开展工作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13</w:t>
            </w:r>
          </w:p>
        </w:tc>
        <w:tc>
          <w:tcPr>
            <w:tcW w:w="2910"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保安门岗</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14</w:t>
            </w:r>
          </w:p>
        </w:tc>
        <w:tc>
          <w:tcPr>
            <w:tcW w:w="370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维持出入口正常秩序，保证通道通畅；落实疫情防控工作要求；依据管理要求落实对外来人员登记；落实疫情防控工作要求；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sz w:val="24"/>
                <w:szCs w:val="24"/>
                <w:highlight w:val="none"/>
                <w:u w:val="none"/>
                <w:lang w:val="en-US" w:eastAsia="zh-CN"/>
              </w:rPr>
              <w:t>14</w:t>
            </w:r>
          </w:p>
        </w:tc>
        <w:tc>
          <w:tcPr>
            <w:tcW w:w="2910"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监控室值班员</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3</w:t>
            </w:r>
          </w:p>
        </w:tc>
        <w:tc>
          <w:tcPr>
            <w:tcW w:w="3705" w:type="dxa"/>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严格按照安全操作规程规定的程序及其注意事项操作；及时对监控信息复核处理；做好监控资料存档保留工作；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1</w:t>
            </w:r>
            <w:r>
              <w:rPr>
                <w:rFonts w:hint="eastAsia" w:hAnsi="仿宋_GB2312" w:cs="仿宋_GB2312"/>
                <w:i w:val="0"/>
                <w:iCs w:val="0"/>
                <w:color w:val="auto"/>
                <w:kern w:val="0"/>
                <w:sz w:val="24"/>
                <w:szCs w:val="24"/>
                <w:highlight w:val="none"/>
                <w:u w:val="none"/>
                <w:lang w:val="en-US" w:eastAsia="zh-CN" w:bidi="ar"/>
              </w:rPr>
              <w:t>5</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sz w:val="24"/>
                <w:szCs w:val="24"/>
                <w:highlight w:val="none"/>
                <w:u w:val="none"/>
              </w:rPr>
              <w:t>保安巡逻岗</w:t>
            </w:r>
          </w:p>
        </w:tc>
        <w:tc>
          <w:tcPr>
            <w:tcW w:w="825" w:type="dxa"/>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rPr>
            </w:pPr>
            <w:r>
              <w:rPr>
                <w:rFonts w:hint="eastAsia" w:ascii="仿宋_GB2312" w:hAnsi="仿宋_GB2312" w:eastAsia="仿宋_GB2312" w:cs="仿宋_GB2312"/>
                <w:i w:val="0"/>
                <w:iCs w:val="0"/>
                <w:color w:val="auto"/>
                <w:sz w:val="24"/>
                <w:szCs w:val="24"/>
                <w:highlight w:val="none"/>
                <w:u w:val="none"/>
              </w:rPr>
              <w:t>6</w:t>
            </w:r>
          </w:p>
        </w:tc>
        <w:tc>
          <w:tcPr>
            <w:tcW w:w="3705" w:type="dxa"/>
            <w:noWrap w:val="0"/>
            <w:vAlign w:val="center"/>
          </w:tcPr>
          <w:p>
            <w:pPr>
              <w:keepNext w:val="0"/>
              <w:keepLines w:val="0"/>
              <w:widowControl w:val="0"/>
              <w:suppressLineNumbers w:val="0"/>
              <w:spacing w:before="0" w:beforeAutospacing="0" w:after="0" w:afterAutospacing="0"/>
              <w:ind w:left="0" w:right="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熟悉项目楼座排列及结构、路灯、楼道开关、绿化水、消防水开关、摄像头分布位置等；引导项目内车辆有序停放；发现安全隐患及异常情况及时上报；对园区道路、楼体内部、地下车库、消防通道等进行全覆盖巡查，消防、安防设施设备检查，园区内公共秩序维护，紧急情况处置，与其他岗位联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753"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sz w:val="24"/>
                <w:szCs w:val="24"/>
                <w:highlight w:val="none"/>
                <w:u w:val="none"/>
                <w:lang w:val="en-US" w:eastAsia="zh-CN"/>
              </w:rPr>
            </w:pPr>
            <w:r>
              <w:rPr>
                <w:rFonts w:hint="eastAsia" w:hAnsi="仿宋_GB2312" w:cs="仿宋_GB2312"/>
                <w:i w:val="0"/>
                <w:iCs w:val="0"/>
                <w:color w:val="auto"/>
                <w:sz w:val="24"/>
                <w:szCs w:val="24"/>
                <w:highlight w:val="none"/>
                <w:u w:val="none"/>
                <w:lang w:val="en-US" w:eastAsia="zh-CN"/>
              </w:rPr>
              <w:t>16</w:t>
            </w:r>
          </w:p>
        </w:tc>
        <w:tc>
          <w:tcPr>
            <w:tcW w:w="2910"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保安替休岗</w:t>
            </w:r>
          </w:p>
        </w:tc>
        <w:tc>
          <w:tcPr>
            <w:tcW w:w="825" w:type="dxa"/>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2"/>
                <w:sz w:val="24"/>
                <w:szCs w:val="24"/>
                <w:highlight w:val="none"/>
                <w:u w:val="none"/>
                <w:lang w:val="en-US" w:eastAsia="zh-CN" w:bidi="ar-SA"/>
              </w:rPr>
            </w:pPr>
            <w:r>
              <w:rPr>
                <w:rFonts w:hint="eastAsia" w:hAnsi="仿宋_GB2312" w:cs="仿宋_GB2312"/>
                <w:i w:val="0"/>
                <w:iCs w:val="0"/>
                <w:color w:val="auto"/>
                <w:kern w:val="0"/>
                <w:sz w:val="24"/>
                <w:szCs w:val="24"/>
                <w:highlight w:val="none"/>
                <w:u w:val="none"/>
                <w:lang w:val="en-US" w:eastAsia="zh-CN" w:bidi="ar"/>
              </w:rPr>
              <w:t>3</w:t>
            </w:r>
          </w:p>
        </w:tc>
        <w:tc>
          <w:tcPr>
            <w:tcW w:w="3705" w:type="dxa"/>
            <w:shd w:val="clear" w:color="auto" w:fill="FFFFFF"/>
            <w:noWrap w:val="0"/>
            <w:vAlign w:val="center"/>
          </w:tcPr>
          <w:p>
            <w:pPr>
              <w:keepNext w:val="0"/>
              <w:keepLines w:val="0"/>
              <w:widowControl w:val="0"/>
              <w:suppressLineNumbers w:val="0"/>
              <w:spacing w:before="0" w:beforeAutospacing="0" w:after="0" w:afterAutospacing="0"/>
              <w:ind w:left="0" w:leftChars="0" w:right="0" w:rightChars="0"/>
              <w:jc w:val="both"/>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auto"/>
                <w:kern w:val="2"/>
                <w:sz w:val="24"/>
                <w:szCs w:val="24"/>
                <w:highlight w:val="none"/>
                <w:lang w:val="en-US" w:eastAsia="zh-CN" w:bidi="ar"/>
              </w:rPr>
              <w:t>承担替岗工作职责。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rPr>
        <w:tc>
          <w:tcPr>
            <w:tcW w:w="3663" w:type="dxa"/>
            <w:gridSpan w:val="2"/>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sz w:val="24"/>
                <w:szCs w:val="24"/>
                <w:highlight w:val="none"/>
                <w:u w:val="none"/>
                <w:lang w:val="en-US" w:eastAsia="zh-CN"/>
              </w:rPr>
            </w:pPr>
            <w:r>
              <w:rPr>
                <w:rFonts w:hint="eastAsia" w:hAnsi="仿宋_GB2312" w:cs="仿宋_GB2312"/>
                <w:i w:val="0"/>
                <w:iCs w:val="0"/>
                <w:color w:val="auto"/>
                <w:sz w:val="24"/>
                <w:szCs w:val="24"/>
                <w:highlight w:val="none"/>
                <w:u w:val="none"/>
                <w:lang w:val="en-US" w:eastAsia="zh-CN"/>
              </w:rPr>
              <w:t>总计</w:t>
            </w:r>
          </w:p>
        </w:tc>
        <w:tc>
          <w:tcPr>
            <w:tcW w:w="82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仿宋_GB2312" w:hAnsi="仿宋_GB2312" w:eastAsia="仿宋_GB2312" w:cs="仿宋_GB2312"/>
                <w:i w:val="0"/>
                <w:iCs w:val="0"/>
                <w:color w:val="auto"/>
                <w:kern w:val="0"/>
                <w:sz w:val="24"/>
                <w:szCs w:val="24"/>
                <w:highlight w:val="none"/>
                <w:u w:val="none"/>
                <w:lang w:val="en-US" w:eastAsia="zh-CN" w:bidi="ar"/>
              </w:rPr>
            </w:pPr>
            <w:r>
              <w:rPr>
                <w:rFonts w:hint="eastAsia" w:hAnsi="仿宋_GB2312" w:cs="仿宋_GB2312"/>
                <w:i w:val="0"/>
                <w:iCs w:val="0"/>
                <w:color w:val="auto"/>
                <w:kern w:val="0"/>
                <w:sz w:val="24"/>
                <w:szCs w:val="24"/>
                <w:highlight w:val="none"/>
                <w:u w:val="none"/>
                <w:lang w:val="en-US" w:eastAsia="zh-CN" w:bidi="ar"/>
              </w:rPr>
              <w:t>58</w:t>
            </w:r>
          </w:p>
        </w:tc>
        <w:tc>
          <w:tcPr>
            <w:tcW w:w="3705" w:type="dxa"/>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p>
        </w:tc>
      </w:tr>
    </w:tbl>
    <w:p>
      <w:pPr>
        <w:pStyle w:val="2"/>
        <w:rPr>
          <w:rFonts w:ascii="仿宋" w:hAnsi="仿宋" w:eastAsia="宋体" w:cs="仿宋"/>
          <w:color w:val="auto"/>
          <w:sz w:val="28"/>
          <w:szCs w:val="32"/>
          <w:highlight w:val="none"/>
        </w:rPr>
      </w:pPr>
    </w:p>
    <w:p>
      <w:pPr>
        <w:widowControl w:val="0"/>
        <w:kinsoku/>
        <w:spacing w:line="578" w:lineRule="exact"/>
        <w:ind w:firstLine="556" w:firstLineChars="200"/>
        <w:jc w:val="center"/>
        <w:textAlignment w:val="auto"/>
        <w:rPr>
          <w:rFonts w:ascii="仿宋" w:hAnsi="仿宋" w:eastAsia="宋体" w:cs="仿宋"/>
          <w:snapToGrid/>
          <w:color w:val="auto"/>
          <w:kern w:val="2"/>
          <w:sz w:val="28"/>
          <w:szCs w:val="30"/>
          <w:highlight w:val="none"/>
          <w:lang w:eastAsia="zh-CN"/>
        </w:rPr>
      </w:pPr>
      <w:r>
        <w:rPr>
          <w:rFonts w:hint="eastAsia" w:ascii="宋体" w:hAnsi="宋体" w:eastAsia="宋体" w:cs="宋体"/>
          <w:color w:val="auto"/>
          <w:spacing w:val="-1"/>
          <w:sz w:val="28"/>
          <w:szCs w:val="28"/>
          <w:highlight w:val="none"/>
          <w:lang w:eastAsia="zh-CN"/>
        </w:rPr>
        <w:t>第九部分 违约责任</w:t>
      </w:r>
    </w:p>
    <w:p>
      <w:pPr>
        <w:widowControl w:val="0"/>
        <w:kinsoku/>
        <w:autoSpaceDE/>
        <w:autoSpaceDN/>
        <w:adjustRightInd/>
        <w:spacing w:line="578" w:lineRule="exact"/>
        <w:ind w:firstLine="562" w:firstLineChars="200"/>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第十八条</w:t>
      </w:r>
      <w:r>
        <w:rPr>
          <w:rFonts w:hint="eastAsia" w:ascii="仿宋" w:hAnsi="仿宋" w:eastAsia="宋体" w:cs="仿宋"/>
          <w:snapToGrid/>
          <w:color w:val="auto"/>
          <w:kern w:val="2"/>
          <w:sz w:val="28"/>
          <w:szCs w:val="30"/>
          <w:highlight w:val="none"/>
          <w:lang w:eastAsia="zh-CN"/>
        </w:rPr>
        <w:t>如出现如下情形，甲方有权解除本合同，乙方应承担由此产生的一切损失及责任，</w:t>
      </w:r>
      <w:r>
        <w:rPr>
          <w:rFonts w:hint="eastAsia" w:ascii="宋体" w:hAnsi="宋体" w:eastAsia="宋体" w:cs="宋体"/>
          <w:color w:val="auto"/>
          <w:spacing w:val="-4"/>
          <w:sz w:val="28"/>
          <w:szCs w:val="28"/>
          <w:highlight w:val="none"/>
          <w:lang w:eastAsia="zh-CN"/>
        </w:rPr>
        <w:t>损失赔偿范围包括但不限于甲方向第三方支付的赔偿款、处理违约事件发生的调查费、诉讼费、律师费、保全费、担保费、公证费等全部费用，同时乙方需按合同约定年服务费用的30%向甲方支付违约金。</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bCs/>
          <w:color w:val="auto"/>
          <w:sz w:val="28"/>
          <w:szCs w:val="32"/>
          <w:highlight w:val="none"/>
          <w:lang w:eastAsia="zh-CN"/>
        </w:rPr>
        <w:t>1.出现安全生产、食品安全、消防安全事故;</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bCs/>
          <w:color w:val="auto"/>
          <w:sz w:val="28"/>
          <w:szCs w:val="32"/>
          <w:highlight w:val="none"/>
          <w:lang w:eastAsia="zh-CN"/>
        </w:rPr>
        <w:t>2.发生被投诉、通报，造成恶劣影响的;</w:t>
      </w:r>
    </w:p>
    <w:p>
      <w:pPr>
        <w:widowControl w:val="0"/>
        <w:kinsoku/>
        <w:autoSpaceDE/>
        <w:autoSpaceDN/>
        <w:adjustRightInd/>
        <w:spacing w:line="578" w:lineRule="exact"/>
        <w:ind w:firstLine="560" w:firstLineChars="200"/>
        <w:textAlignment w:val="auto"/>
        <w:rPr>
          <w:rFonts w:ascii="仿宋" w:hAnsi="仿宋" w:eastAsia="宋体" w:cs="仿宋"/>
          <w:bCs/>
          <w:color w:val="auto"/>
          <w:sz w:val="28"/>
          <w:szCs w:val="32"/>
          <w:highlight w:val="none"/>
          <w:lang w:eastAsia="zh-CN"/>
        </w:rPr>
      </w:pPr>
      <w:r>
        <w:rPr>
          <w:rFonts w:hint="eastAsia" w:ascii="仿宋" w:hAnsi="仿宋" w:eastAsia="宋体" w:cs="仿宋"/>
          <w:bCs/>
          <w:color w:val="auto"/>
          <w:sz w:val="28"/>
          <w:szCs w:val="32"/>
          <w:highlight w:val="none"/>
          <w:lang w:eastAsia="zh-CN"/>
        </w:rPr>
        <w:t>3.对乙方的服务考核累计两次考核低于60分的；</w:t>
      </w:r>
    </w:p>
    <w:p>
      <w:pPr>
        <w:widowControl w:val="0"/>
        <w:kinsoku/>
        <w:autoSpaceDE/>
        <w:autoSpaceDN/>
        <w:adjustRightInd/>
        <w:spacing w:line="578" w:lineRule="exact"/>
        <w:ind w:firstLine="560" w:firstLineChars="200"/>
        <w:jc w:val="left"/>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Cs/>
          <w:color w:val="auto"/>
          <w:sz w:val="28"/>
          <w:szCs w:val="32"/>
          <w:highlight w:val="none"/>
          <w:lang w:eastAsia="zh-CN"/>
        </w:rPr>
        <w:t>4.</w:t>
      </w:r>
      <w:r>
        <w:rPr>
          <w:rFonts w:hint="eastAsia" w:ascii="仿宋" w:hAnsi="仿宋" w:eastAsia="宋体" w:cs="仿宋"/>
          <w:snapToGrid/>
          <w:color w:val="auto"/>
          <w:kern w:val="2"/>
          <w:sz w:val="28"/>
          <w:szCs w:val="30"/>
          <w:highlight w:val="none"/>
          <w:lang w:eastAsia="zh-CN"/>
        </w:rPr>
        <w:t>乙方的管理服务达不到本合同约定的服务内容和质量标准，甲方有权要求乙方限期整改；逾期未整改的，或整改不符合要求的；</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5.</w:t>
      </w:r>
      <w:r>
        <w:rPr>
          <w:rFonts w:hint="eastAsia" w:ascii="仿宋" w:hAnsi="仿宋" w:eastAsia="宋体" w:cs="仿宋"/>
          <w:snapToGrid/>
          <w:color w:val="auto"/>
          <w:kern w:val="2"/>
          <w:sz w:val="28"/>
          <w:szCs w:val="30"/>
          <w:highlight w:val="none"/>
          <w:lang w:eastAsia="zh-CN"/>
        </w:rPr>
        <w:t>乙方擅自将本合同的项目管理责任权利转让给第三方；</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6.</w:t>
      </w:r>
      <w:r>
        <w:rPr>
          <w:rFonts w:hint="eastAsia" w:ascii="仿宋" w:hAnsi="仿宋" w:eastAsia="宋体" w:cs="仿宋"/>
          <w:snapToGrid/>
          <w:color w:val="auto"/>
          <w:kern w:val="2"/>
          <w:sz w:val="28"/>
          <w:szCs w:val="30"/>
          <w:highlight w:val="none"/>
          <w:lang w:eastAsia="zh-CN"/>
        </w:rPr>
        <w:t>发生用电用水、火灾、群体事件等安全责任事故；</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7.</w:t>
      </w:r>
      <w:r>
        <w:rPr>
          <w:rFonts w:hint="eastAsia" w:ascii="仿宋" w:hAnsi="仿宋" w:eastAsia="宋体" w:cs="仿宋"/>
          <w:snapToGrid/>
          <w:color w:val="auto"/>
          <w:kern w:val="2"/>
          <w:sz w:val="28"/>
          <w:szCs w:val="30"/>
          <w:highlight w:val="none"/>
          <w:lang w:eastAsia="zh-CN"/>
        </w:rPr>
        <w:t>乙方利用甲方服务场所进行违法活动。</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第十九条</w:t>
      </w:r>
      <w:r>
        <w:rPr>
          <w:rFonts w:hint="eastAsia" w:ascii="仿宋" w:hAnsi="仿宋" w:eastAsia="宋体" w:cs="仿宋"/>
          <w:snapToGrid/>
          <w:color w:val="auto"/>
          <w:kern w:val="2"/>
          <w:sz w:val="28"/>
          <w:szCs w:val="30"/>
          <w:highlight w:val="none"/>
          <w:lang w:eastAsia="zh-CN"/>
        </w:rPr>
        <w:t xml:space="preserve"> 甲方不得无故拖欠应付给乙方之款项，否则，每拖欠一日按拖欠款额的万分之五向乙方支付违约金，如甲方迟延付款超过30日,乙方有权单独解除合同并要求甲方支付拖欠款项及违约金。</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第二十条</w:t>
      </w:r>
      <w:r>
        <w:rPr>
          <w:rFonts w:hint="eastAsia" w:ascii="宋体" w:hAnsi="宋体" w:eastAsia="宋体" w:cs="宋体"/>
          <w:color w:val="auto"/>
          <w:spacing w:val="-4"/>
          <w:sz w:val="28"/>
          <w:szCs w:val="28"/>
          <w:highlight w:val="none"/>
          <w:lang w:eastAsia="zh-CN"/>
        </w:rPr>
        <w:t>合同履行期间，乙方如需单方面解除终止本合同，应提前三个月通知对方，否则，视为单方违约，应向甲方支付相当于年服务费的30%作为违约金</w:t>
      </w:r>
      <w:r>
        <w:rPr>
          <w:rFonts w:hint="eastAsia" w:ascii="仿宋" w:hAnsi="仿宋" w:eastAsia="宋体" w:cs="仿宋"/>
          <w:snapToGrid/>
          <w:color w:val="auto"/>
          <w:kern w:val="2"/>
          <w:sz w:val="28"/>
          <w:szCs w:val="30"/>
          <w:highlight w:val="none"/>
          <w:lang w:eastAsia="zh-CN"/>
        </w:rPr>
        <w:t>。</w:t>
      </w:r>
    </w:p>
    <w:p>
      <w:pPr>
        <w:widowControl w:val="0"/>
        <w:kinsoku/>
        <w:spacing w:line="578" w:lineRule="exact"/>
        <w:ind w:firstLine="544" w:firstLineChars="200"/>
        <w:jc w:val="both"/>
        <w:textAlignment w:val="auto"/>
        <w:rPr>
          <w:rFonts w:ascii="仿宋" w:hAnsi="仿宋" w:eastAsia="宋体" w:cs="仿宋"/>
          <w:snapToGrid/>
          <w:color w:val="auto"/>
          <w:kern w:val="2"/>
          <w:sz w:val="28"/>
          <w:szCs w:val="30"/>
          <w:highlight w:val="none"/>
          <w:lang w:eastAsia="zh-CN"/>
        </w:rPr>
      </w:pPr>
      <w:r>
        <w:rPr>
          <w:rFonts w:hint="eastAsia" w:ascii="宋体" w:hAnsi="宋体" w:eastAsia="宋体" w:cs="宋体"/>
          <w:color w:val="auto"/>
          <w:spacing w:val="-4"/>
          <w:sz w:val="28"/>
          <w:szCs w:val="28"/>
          <w:highlight w:val="none"/>
          <w:lang w:eastAsia="zh-CN"/>
        </w:rPr>
        <w:t>第二十一条若因甲方或上级主管部门要求，需取消本项目服务解除本合同的。甲方需提前</w:t>
      </w:r>
      <w:r>
        <w:rPr>
          <w:rFonts w:ascii="宋体" w:hAnsi="宋体" w:eastAsia="宋体" w:cs="宋体"/>
          <w:color w:val="auto"/>
          <w:spacing w:val="-4"/>
          <w:sz w:val="28"/>
          <w:szCs w:val="28"/>
          <w:highlight w:val="none"/>
          <w:lang w:eastAsia="zh-CN"/>
        </w:rPr>
        <w:t>1</w:t>
      </w:r>
      <w:r>
        <w:rPr>
          <w:rFonts w:hint="eastAsia" w:ascii="宋体" w:hAnsi="宋体" w:eastAsia="宋体" w:cs="宋体"/>
          <w:color w:val="auto"/>
          <w:spacing w:val="-4"/>
          <w:sz w:val="28"/>
          <w:szCs w:val="28"/>
          <w:highlight w:val="none"/>
          <w:lang w:eastAsia="zh-CN"/>
        </w:rPr>
        <w:t>个月通知乙方，乙方应当无条件配合，并按要求办理交接手续。</w:t>
      </w:r>
      <w:r>
        <w:rPr>
          <w:rFonts w:hint="eastAsia" w:ascii="宋体" w:hAnsi="宋体" w:eastAsia="宋体" w:cs="宋体"/>
          <w:color w:val="auto"/>
          <w:spacing w:val="-3"/>
          <w:kern w:val="2"/>
          <w:sz w:val="28"/>
          <w:szCs w:val="28"/>
          <w:highlight w:val="none"/>
          <w:lang w:eastAsia="zh-CN"/>
        </w:rPr>
        <w:t>甲方除需按合同约定标准支付乙方服务期间的服务费用外，不向乙方承担任何赔（补）偿义务责任。</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第二十二条</w:t>
      </w:r>
      <w:r>
        <w:rPr>
          <w:rFonts w:hint="eastAsia" w:ascii="仿宋" w:hAnsi="仿宋" w:eastAsia="宋体" w:cs="仿宋"/>
          <w:snapToGrid/>
          <w:color w:val="auto"/>
          <w:kern w:val="2"/>
          <w:sz w:val="28"/>
          <w:szCs w:val="30"/>
          <w:highlight w:val="none"/>
          <w:lang w:eastAsia="zh-CN"/>
        </w:rPr>
        <w:t xml:space="preserve"> 乙方有确切证据证明属于以下情况的，可不承担违约责任：</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（一）由于甲方或物业使用人的自身责任导致乙方的服务无法达到合同要求的。</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（二）因维修养护本物业区域内的物业，且事先已告知甲方并经得甲方同意，暂时停水、停电、停止共用设施设备使用等造成损失的。</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（三）非乙方责任出现供水、供电、供气、通讯、有线电视及其他共用设施设备运行障碍造成损失的。</w:t>
      </w:r>
    </w:p>
    <w:p>
      <w:pPr>
        <w:spacing w:line="578" w:lineRule="exact"/>
        <w:jc w:val="center"/>
        <w:outlineLvl w:val="1"/>
        <w:rPr>
          <w:rFonts w:ascii="仿宋" w:hAnsi="仿宋" w:eastAsia="宋体" w:cs="仿宋"/>
          <w:snapToGrid/>
          <w:color w:val="auto"/>
          <w:kern w:val="2"/>
          <w:sz w:val="28"/>
          <w:szCs w:val="30"/>
          <w:highlight w:val="none"/>
          <w:lang w:eastAsia="zh-CN"/>
        </w:rPr>
      </w:pPr>
      <w:r>
        <w:rPr>
          <w:rFonts w:hint="eastAsia" w:ascii="宋体" w:hAnsi="宋体" w:eastAsia="宋体" w:cs="宋体"/>
          <w:color w:val="auto"/>
          <w:spacing w:val="-1"/>
          <w:sz w:val="28"/>
          <w:szCs w:val="28"/>
          <w:highlight w:val="none"/>
          <w:lang w:eastAsia="zh-CN"/>
        </w:rPr>
        <w:t>第十部分 紧急避险</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第二十三条</w:t>
      </w:r>
      <w:r>
        <w:rPr>
          <w:rFonts w:hint="eastAsia" w:ascii="仿宋" w:hAnsi="仿宋" w:eastAsia="宋体" w:cs="仿宋"/>
          <w:snapToGrid/>
          <w:color w:val="auto"/>
          <w:kern w:val="2"/>
          <w:sz w:val="28"/>
          <w:szCs w:val="30"/>
          <w:highlight w:val="none"/>
          <w:lang w:eastAsia="zh-CN"/>
        </w:rPr>
        <w:t xml:space="preserve"> 紧急避险指的是为维护甲方、公众、使用人的切身利益，在不可预见情况下，如发生燃气泄漏、漏电、火灾、水管破裂、救助人命、协助公安机关执行任务等突发事件。</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第二十四条</w:t>
      </w:r>
      <w:r>
        <w:rPr>
          <w:rFonts w:hint="eastAsia" w:ascii="仿宋" w:hAnsi="仿宋" w:eastAsia="宋体" w:cs="仿宋"/>
          <w:snapToGrid/>
          <w:color w:val="auto"/>
          <w:kern w:val="2"/>
          <w:sz w:val="28"/>
          <w:szCs w:val="30"/>
          <w:highlight w:val="none"/>
          <w:lang w:eastAsia="zh-CN"/>
        </w:rPr>
        <w:t xml:space="preserve"> 甲、乙双方同意，在本合同有效期内，不可抗力的范围是：由于</w:t>
      </w:r>
      <w:r>
        <w:rPr>
          <w:rFonts w:hint="eastAsia" w:ascii="宋体" w:hAnsi="宋体" w:eastAsia="宋体" w:cs="Times New Roman"/>
          <w:color w:val="auto"/>
          <w:kern w:val="2"/>
          <w:sz w:val="30"/>
          <w:szCs w:val="30"/>
          <w:highlight w:val="none"/>
          <w:lang w:eastAsia="zh-CN"/>
        </w:rPr>
        <w:t>烈度为7级以上的</w:t>
      </w:r>
      <w:r>
        <w:rPr>
          <w:rFonts w:hint="eastAsia" w:ascii="宋体" w:hAnsi="宋体" w:eastAsia="宋体" w:cs="宋体"/>
          <w:color w:val="auto"/>
          <w:spacing w:val="-4"/>
          <w:sz w:val="28"/>
          <w:szCs w:val="28"/>
          <w:highlight w:val="none"/>
          <w:lang w:eastAsia="zh-CN"/>
        </w:rPr>
        <w:t>地震、</w:t>
      </w:r>
      <w:r>
        <w:rPr>
          <w:rFonts w:hint="eastAsia" w:ascii="宋体" w:hAnsi="宋体" w:eastAsia="宋体" w:cs="Times New Roman"/>
          <w:color w:val="auto"/>
          <w:kern w:val="2"/>
          <w:sz w:val="30"/>
          <w:szCs w:val="30"/>
          <w:highlight w:val="none"/>
          <w:lang w:eastAsia="zh-CN"/>
        </w:rPr>
        <w:t>10级以上持续12小时的</w:t>
      </w:r>
      <w:r>
        <w:rPr>
          <w:rFonts w:hint="eastAsia" w:ascii="宋体" w:hAnsi="宋体" w:eastAsia="宋体" w:cs="宋体"/>
          <w:color w:val="auto"/>
          <w:spacing w:val="-4"/>
          <w:sz w:val="28"/>
          <w:szCs w:val="28"/>
          <w:highlight w:val="none"/>
          <w:lang w:eastAsia="zh-CN"/>
        </w:rPr>
        <w:t>台风、</w:t>
      </w:r>
      <w:r>
        <w:rPr>
          <w:rFonts w:hint="eastAsia" w:ascii="宋体" w:hAnsi="宋体" w:eastAsia="宋体" w:cs="Times New Roman"/>
          <w:color w:val="auto"/>
          <w:kern w:val="2"/>
          <w:sz w:val="30"/>
          <w:szCs w:val="30"/>
          <w:highlight w:val="none"/>
          <w:lang w:eastAsia="zh-CN"/>
        </w:rPr>
        <w:t>持续降雨24小时且降雨量为100mm以上造成的雨</w:t>
      </w:r>
      <w:r>
        <w:rPr>
          <w:rFonts w:hint="eastAsia" w:ascii="宋体" w:hAnsi="宋体" w:eastAsia="宋体" w:cs="宋体"/>
          <w:color w:val="auto"/>
          <w:spacing w:val="-4"/>
          <w:sz w:val="28"/>
          <w:szCs w:val="28"/>
          <w:highlight w:val="none"/>
          <w:lang w:eastAsia="zh-CN"/>
        </w:rPr>
        <w:t>水灾、政府明令管控的疫情、</w:t>
      </w:r>
      <w:r>
        <w:rPr>
          <w:rFonts w:hint="eastAsia" w:ascii="仿宋" w:hAnsi="仿宋" w:eastAsia="宋体" w:cs="仿宋"/>
          <w:snapToGrid/>
          <w:color w:val="auto"/>
          <w:kern w:val="2"/>
          <w:sz w:val="28"/>
          <w:szCs w:val="30"/>
          <w:highlight w:val="none"/>
          <w:lang w:eastAsia="zh-CN"/>
        </w:rPr>
        <w:t>战争以及其他不能预见，并且对其发生和后果不能防止，或避免和克服的人力不可抗拒事件：由双方协商决定是否解除本合同，或者部分履行或对本合同进行修改。由于不可抗力造成任何一方的损失，另外一方不承担任何责任。</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第二十五条</w:t>
      </w:r>
      <w:r>
        <w:rPr>
          <w:rFonts w:hint="eastAsia" w:ascii="仿宋" w:hAnsi="仿宋" w:eastAsia="宋体" w:cs="仿宋"/>
          <w:snapToGrid/>
          <w:color w:val="auto"/>
          <w:kern w:val="2"/>
          <w:sz w:val="28"/>
          <w:szCs w:val="30"/>
          <w:highlight w:val="none"/>
          <w:lang w:eastAsia="zh-CN"/>
        </w:rPr>
        <w:t xml:space="preserve"> 合同执行期间，如发生不可抗力致使合同无法履行时，双方应按有关法律规定及时协商处理。如因国家或海南省相关政策规定发生变化，双方应友好协调适当增减人员和费用或终止合同。</w:t>
      </w:r>
    </w:p>
    <w:p>
      <w:pPr>
        <w:spacing w:line="578" w:lineRule="exact"/>
        <w:jc w:val="center"/>
        <w:outlineLvl w:val="1"/>
        <w:rPr>
          <w:rFonts w:ascii="宋体" w:hAnsi="宋体" w:eastAsia="宋体" w:cs="宋体"/>
          <w:color w:val="auto"/>
          <w:spacing w:val="-1"/>
          <w:sz w:val="28"/>
          <w:szCs w:val="28"/>
          <w:highlight w:val="none"/>
          <w:lang w:eastAsia="zh-CN"/>
        </w:rPr>
      </w:pPr>
      <w:r>
        <w:rPr>
          <w:rFonts w:hint="eastAsia" w:ascii="宋体" w:hAnsi="宋体" w:eastAsia="宋体" w:cs="宋体"/>
          <w:color w:val="auto"/>
          <w:spacing w:val="-1"/>
          <w:sz w:val="28"/>
          <w:szCs w:val="28"/>
          <w:highlight w:val="none"/>
          <w:lang w:eastAsia="zh-CN"/>
        </w:rPr>
        <w:t>第十一部分 通知</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第二十六条</w:t>
      </w:r>
      <w:r>
        <w:rPr>
          <w:rFonts w:hint="eastAsia" w:ascii="仿宋" w:hAnsi="仿宋" w:eastAsia="宋体" w:cs="仿宋"/>
          <w:snapToGrid/>
          <w:color w:val="auto"/>
          <w:kern w:val="2"/>
          <w:sz w:val="28"/>
          <w:szCs w:val="30"/>
          <w:highlight w:val="none"/>
          <w:lang w:eastAsia="zh-CN"/>
        </w:rPr>
        <w:t xml:space="preserve"> 甲乙双方因履行本合同而相互发出或提供的所有通知、文件、资料等，均应按照本合同所列明的通讯地址、电话号码、传真号码、电子邮件等通知方式进行传达；一方如果迁址或者变更相关号码，应当及时书面通知对方；通过邮寄方式的，挂号寄出或者投邮当日视为送达；以传真或电子邮件方式的，发出时视为到达。</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第二十七条</w:t>
      </w:r>
      <w:r>
        <w:rPr>
          <w:rFonts w:hint="eastAsia" w:ascii="仿宋" w:hAnsi="仿宋" w:eastAsia="宋体" w:cs="仿宋"/>
          <w:snapToGrid/>
          <w:color w:val="auto"/>
          <w:kern w:val="2"/>
          <w:sz w:val="28"/>
          <w:szCs w:val="30"/>
          <w:highlight w:val="none"/>
          <w:lang w:eastAsia="zh-CN"/>
        </w:rPr>
        <w:t xml:space="preserve"> 一方变更通知或通讯地址，应当在变更之日起5日内，以书面形式通知对方；否则，由未通知方承担由此而引起的相关责任。</w:t>
      </w:r>
    </w:p>
    <w:p>
      <w:pPr>
        <w:spacing w:line="578" w:lineRule="exact"/>
        <w:jc w:val="center"/>
        <w:outlineLvl w:val="1"/>
        <w:rPr>
          <w:rFonts w:ascii="宋体" w:hAnsi="宋体" w:eastAsia="宋体" w:cs="宋体"/>
          <w:color w:val="auto"/>
          <w:spacing w:val="-1"/>
          <w:sz w:val="28"/>
          <w:szCs w:val="28"/>
          <w:highlight w:val="none"/>
          <w:lang w:eastAsia="zh-CN"/>
        </w:rPr>
      </w:pPr>
      <w:r>
        <w:rPr>
          <w:rFonts w:hint="eastAsia" w:ascii="宋体" w:hAnsi="宋体" w:eastAsia="宋体" w:cs="宋体"/>
          <w:color w:val="auto"/>
          <w:spacing w:val="-1"/>
          <w:sz w:val="28"/>
          <w:szCs w:val="28"/>
          <w:highlight w:val="none"/>
          <w:lang w:eastAsia="zh-CN"/>
        </w:rPr>
        <w:t>第十二部分 其他事项</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第二十八条</w:t>
      </w:r>
      <w:r>
        <w:rPr>
          <w:rFonts w:ascii="仿宋" w:hAnsi="仿宋" w:eastAsia="宋体" w:cs="仿宋"/>
          <w:snapToGrid/>
          <w:color w:val="auto"/>
          <w:kern w:val="2"/>
          <w:sz w:val="28"/>
          <w:szCs w:val="30"/>
          <w:highlight w:val="none"/>
          <w:lang w:eastAsia="zh-CN"/>
        </w:rPr>
        <w:t>，</w:t>
      </w:r>
      <w:r>
        <w:rPr>
          <w:rFonts w:hint="eastAsia" w:ascii="仿宋" w:hAnsi="仿宋" w:eastAsia="宋体" w:cs="仿宋"/>
          <w:snapToGrid/>
          <w:color w:val="auto"/>
          <w:kern w:val="2"/>
          <w:sz w:val="28"/>
          <w:szCs w:val="30"/>
          <w:highlight w:val="none"/>
          <w:lang w:eastAsia="zh-CN"/>
        </w:rPr>
        <w:t>无论是合同依法</w:t>
      </w:r>
      <w:r>
        <w:rPr>
          <w:rFonts w:ascii="仿宋" w:hAnsi="仿宋" w:eastAsia="宋体" w:cs="仿宋"/>
          <w:snapToGrid/>
          <w:color w:val="auto"/>
          <w:kern w:val="2"/>
          <w:sz w:val="28"/>
          <w:szCs w:val="30"/>
          <w:highlight w:val="none"/>
          <w:lang w:eastAsia="zh-CN"/>
        </w:rPr>
        <w:t>解除</w:t>
      </w:r>
      <w:r>
        <w:rPr>
          <w:rFonts w:hint="eastAsia" w:ascii="仿宋" w:hAnsi="仿宋" w:eastAsia="宋体" w:cs="仿宋"/>
          <w:snapToGrid/>
          <w:color w:val="auto"/>
          <w:kern w:val="2"/>
          <w:sz w:val="28"/>
          <w:szCs w:val="30"/>
          <w:highlight w:val="none"/>
          <w:lang w:eastAsia="zh-CN"/>
        </w:rPr>
        <w:t>或是期满终止</w:t>
      </w:r>
      <w:r>
        <w:rPr>
          <w:rFonts w:ascii="仿宋" w:hAnsi="仿宋" w:eastAsia="宋体" w:cs="仿宋"/>
          <w:snapToGrid/>
          <w:color w:val="auto"/>
          <w:kern w:val="2"/>
          <w:sz w:val="28"/>
          <w:szCs w:val="30"/>
          <w:highlight w:val="none"/>
          <w:lang w:eastAsia="zh-CN"/>
        </w:rPr>
        <w:t>，</w:t>
      </w:r>
      <w:r>
        <w:rPr>
          <w:rFonts w:hint="eastAsia" w:ascii="仿宋" w:hAnsi="仿宋" w:eastAsia="宋体" w:cs="仿宋"/>
          <w:snapToGrid/>
          <w:color w:val="auto"/>
          <w:kern w:val="2"/>
          <w:sz w:val="28"/>
          <w:szCs w:val="30"/>
          <w:highlight w:val="none"/>
          <w:lang w:eastAsia="zh-CN"/>
        </w:rPr>
        <w:t>本合同终止时，乙方应按甲方要求将物业管理用房、物业管理相关资料等属于甲方所有的财物及时完整地移交给甲方或甲方指定的第三方代管，</w:t>
      </w:r>
      <w:r>
        <w:rPr>
          <w:rFonts w:ascii="仿宋" w:hAnsi="仿宋" w:eastAsia="宋体" w:cs="仿宋"/>
          <w:snapToGrid/>
          <w:color w:val="auto"/>
          <w:kern w:val="2"/>
          <w:sz w:val="28"/>
          <w:szCs w:val="30"/>
          <w:highlight w:val="none"/>
          <w:lang w:eastAsia="zh-CN"/>
        </w:rPr>
        <w:t>并撤出本物业。本合同终止后，在新物业管理企业接管本物业项目之前，乙方有义务按甲方要求继续为甲方提供物业管理服务，甲方根据实际服务周期按合同标准经考核确认后，以月度为单位结算相应物业管理服务费用；</w:t>
      </w:r>
      <w:r>
        <w:rPr>
          <w:rFonts w:hint="eastAsia" w:ascii="宋体" w:hAnsi="宋体" w:eastAsia="宋体" w:cs="宋体"/>
          <w:color w:val="auto"/>
          <w:spacing w:val="-4"/>
          <w:sz w:val="28"/>
          <w:szCs w:val="28"/>
          <w:highlight w:val="none"/>
          <w:lang w:eastAsia="zh-CN"/>
        </w:rPr>
        <w:t>不满一个月的，按实际服务天数及合同约定标准据实结算支付服务费用。</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第二十九条</w:t>
      </w:r>
      <w:r>
        <w:rPr>
          <w:rFonts w:hint="eastAsia" w:ascii="仿宋" w:hAnsi="仿宋" w:eastAsia="宋体" w:cs="仿宋"/>
          <w:snapToGrid/>
          <w:color w:val="auto"/>
          <w:kern w:val="2"/>
          <w:sz w:val="28"/>
          <w:szCs w:val="30"/>
          <w:highlight w:val="none"/>
          <w:lang w:eastAsia="zh-CN"/>
        </w:rPr>
        <w:t xml:space="preserve"> 双方可对本合同的未尽事宜进行协商，以书面形式签订补充协议，补充协议与本合同具有同等效力。补充协议与合同正文不一致的，以补充协议为准。</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第三十条</w:t>
      </w:r>
      <w:r>
        <w:rPr>
          <w:rFonts w:hint="eastAsia" w:ascii="仿宋" w:hAnsi="仿宋" w:eastAsia="宋体" w:cs="仿宋"/>
          <w:snapToGrid/>
          <w:color w:val="auto"/>
          <w:kern w:val="2"/>
          <w:sz w:val="28"/>
          <w:szCs w:val="30"/>
          <w:highlight w:val="none"/>
          <w:lang w:eastAsia="zh-CN"/>
        </w:rPr>
        <w:t xml:space="preserve"> 本合同的订立、效力、解释、履行和争议解决适用中华人民共和国法律。本合同在履行中如发生争议，双方应协商解决,协商未果需诉讼处理的由甲方所在地地人民法院管辖起诉。</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第三十一条</w:t>
      </w:r>
      <w:r>
        <w:rPr>
          <w:rFonts w:hint="eastAsia" w:ascii="仿宋" w:hAnsi="仿宋" w:eastAsia="宋体" w:cs="仿宋"/>
          <w:snapToGrid/>
          <w:color w:val="auto"/>
          <w:kern w:val="2"/>
          <w:sz w:val="28"/>
          <w:szCs w:val="30"/>
          <w:highlight w:val="none"/>
          <w:lang w:eastAsia="zh-CN"/>
        </w:rPr>
        <w:t xml:space="preserve"> 本合同正本连同附件，正本一式拾份，甲方留存叁份，乙方留存伍份，报市财政局壹份，送市政府采购中心壹份。</w:t>
      </w:r>
    </w:p>
    <w:p>
      <w:pPr>
        <w:widowControl w:val="0"/>
        <w:kinsoku/>
        <w:spacing w:line="578" w:lineRule="exact"/>
        <w:ind w:firstLine="562"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b/>
          <w:bCs/>
          <w:snapToGrid/>
          <w:color w:val="auto"/>
          <w:kern w:val="2"/>
          <w:sz w:val="28"/>
          <w:szCs w:val="30"/>
          <w:highlight w:val="none"/>
          <w:lang w:eastAsia="zh-CN"/>
        </w:rPr>
        <w:t>第三十二条</w:t>
      </w:r>
      <w:r>
        <w:rPr>
          <w:rFonts w:hint="eastAsia" w:ascii="仿宋" w:hAnsi="仿宋" w:eastAsia="宋体" w:cs="仿宋"/>
          <w:snapToGrid/>
          <w:color w:val="auto"/>
          <w:kern w:val="2"/>
          <w:sz w:val="28"/>
          <w:szCs w:val="30"/>
          <w:highlight w:val="none"/>
          <w:lang w:eastAsia="zh-CN"/>
        </w:rPr>
        <w:t xml:space="preserve"> 本合同经甲乙双方法定代表人或授权代表签字并加盖公章之日起生效。</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（以下无正文）</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甲方：</w:t>
      </w:r>
      <w:r>
        <w:rPr>
          <w:rFonts w:hint="eastAsia" w:ascii="仿宋" w:hAnsi="仿宋" w:eastAsia="宋体" w:cs="仿宋"/>
          <w:snapToGrid/>
          <w:color w:val="auto"/>
          <w:kern w:val="2"/>
          <w:sz w:val="28"/>
          <w:szCs w:val="30"/>
          <w:highlight w:val="none"/>
          <w:u w:val="single"/>
          <w:lang w:eastAsia="zh-CN"/>
        </w:rPr>
        <w:t xml:space="preserve">   三亚市机关事务管理服务中心           </w:t>
      </w:r>
      <w:r>
        <w:rPr>
          <w:rFonts w:hint="eastAsia" w:ascii="仿宋" w:hAnsi="仿宋" w:eastAsia="宋体" w:cs="仿宋"/>
          <w:snapToGrid/>
          <w:color w:val="auto"/>
          <w:kern w:val="2"/>
          <w:sz w:val="28"/>
          <w:szCs w:val="30"/>
          <w:highlight w:val="none"/>
          <w:lang w:eastAsia="zh-CN"/>
        </w:rPr>
        <w:t>（盖章）</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法定代表人（或授权代表）：（签字或盖章）</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签订日期：   年  月  日</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乙方：（盖章）</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法定代表人（或授权代表）：（签字或盖章）</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签订日期：   年  月  日</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p>
    <w:p>
      <w:pPr>
        <w:pStyle w:val="4"/>
        <w:rPr>
          <w:color w:val="auto"/>
          <w:highlight w:val="none"/>
          <w:lang w:eastAsia="zh-CN"/>
        </w:rPr>
      </w:pP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u w:val="single"/>
          <w:lang w:eastAsia="zh-CN"/>
        </w:rPr>
      </w:pPr>
      <w:r>
        <w:rPr>
          <w:rFonts w:hint="eastAsia" w:ascii="仿宋" w:hAnsi="仿宋" w:eastAsia="宋体" w:cs="仿宋"/>
          <w:snapToGrid/>
          <w:color w:val="auto"/>
          <w:kern w:val="2"/>
          <w:sz w:val="28"/>
          <w:szCs w:val="30"/>
          <w:highlight w:val="none"/>
          <w:lang w:eastAsia="zh-CN"/>
        </w:rPr>
        <w:t>乙方：</w:t>
      </w:r>
      <w:r>
        <w:rPr>
          <w:rFonts w:hint="eastAsia" w:ascii="仿宋" w:hAnsi="仿宋" w:eastAsia="宋体" w:cs="仿宋"/>
          <w:snapToGrid/>
          <w:color w:val="auto"/>
          <w:kern w:val="2"/>
          <w:sz w:val="28"/>
          <w:szCs w:val="30"/>
          <w:highlight w:val="none"/>
          <w:u w:val="single"/>
          <w:lang w:eastAsia="zh-CN"/>
        </w:rPr>
        <w:t>（盖章）</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法定代表人（或授权代表）：（签字或盖章）</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签订日期：   年  月  日</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附件：1.物业管理考核表</w:t>
      </w:r>
    </w:p>
    <w:p>
      <w:pPr>
        <w:widowControl w:val="0"/>
        <w:kinsoku/>
        <w:spacing w:line="578" w:lineRule="exact"/>
        <w:ind w:firstLine="560" w:firstLineChars="200"/>
        <w:jc w:val="both"/>
        <w:textAlignment w:val="auto"/>
        <w:rPr>
          <w:rFonts w:ascii="仿宋" w:hAnsi="仿宋" w:eastAsia="宋体" w:cs="仿宋"/>
          <w:snapToGrid/>
          <w:color w:val="auto"/>
          <w:kern w:val="2"/>
          <w:sz w:val="28"/>
          <w:szCs w:val="30"/>
          <w:highlight w:val="none"/>
          <w:lang w:eastAsia="zh-CN"/>
        </w:rPr>
      </w:pPr>
      <w:r>
        <w:rPr>
          <w:rFonts w:hint="eastAsia" w:ascii="仿宋" w:hAnsi="仿宋" w:eastAsia="宋体" w:cs="仿宋"/>
          <w:snapToGrid/>
          <w:color w:val="auto"/>
          <w:kern w:val="2"/>
          <w:sz w:val="28"/>
          <w:szCs w:val="30"/>
          <w:highlight w:val="none"/>
          <w:lang w:eastAsia="zh-CN"/>
        </w:rPr>
        <w:t xml:space="preserve">      2.消耗品明细单</w:t>
      </w:r>
    </w:p>
    <w:p>
      <w:pPr>
        <w:widowControl w:val="0"/>
        <w:kinsoku/>
        <w:spacing w:line="578" w:lineRule="exact"/>
        <w:jc w:val="both"/>
        <w:textAlignment w:val="auto"/>
        <w:rPr>
          <w:rFonts w:ascii="仿宋" w:hAnsi="仿宋" w:eastAsia="宋体" w:cs="仿宋"/>
          <w:snapToGrid/>
          <w:color w:val="auto"/>
          <w:kern w:val="2"/>
          <w:sz w:val="28"/>
          <w:szCs w:val="30"/>
          <w:highlight w:val="none"/>
          <w:lang w:eastAsia="zh-CN"/>
        </w:rPr>
        <w:sectPr>
          <w:footerReference r:id="rId4" w:type="default"/>
          <w:pgSz w:w="11906" w:h="16838"/>
          <w:pgMar w:top="2098" w:right="1474" w:bottom="1984" w:left="1587" w:header="851" w:footer="992" w:gutter="0"/>
          <w:pgNumType w:fmt="decimal"/>
          <w:cols w:space="720" w:num="1"/>
          <w:docGrid w:type="lines" w:linePitch="312" w:charSpace="0"/>
        </w:sectPr>
      </w:pPr>
    </w:p>
    <w:p>
      <w:pPr>
        <w:spacing w:before="64" w:line="228" w:lineRule="auto"/>
        <w:ind w:left="53"/>
        <w:rPr>
          <w:rFonts w:ascii="仿宋" w:hAnsi="仿宋" w:eastAsia="仿宋" w:cs="仿宋"/>
          <w:color w:val="auto"/>
          <w:spacing w:val="-6"/>
          <w:sz w:val="31"/>
          <w:szCs w:val="31"/>
          <w:highlight w:val="none"/>
          <w:lang w:eastAsia="zh-CN"/>
        </w:rPr>
      </w:pPr>
      <w:r>
        <w:rPr>
          <w:rFonts w:hint="eastAsia" w:ascii="仿宋" w:hAnsi="仿宋" w:eastAsia="仿宋" w:cs="仿宋"/>
          <w:color w:val="auto"/>
          <w:spacing w:val="-6"/>
          <w:sz w:val="31"/>
          <w:szCs w:val="31"/>
          <w:highlight w:val="none"/>
          <w:lang w:eastAsia="zh-CN"/>
        </w:rPr>
        <w:t>附件1</w:t>
      </w:r>
    </w:p>
    <w:p>
      <w:pPr>
        <w:widowControl w:val="0"/>
        <w:kinsoku/>
        <w:autoSpaceDE/>
        <w:autoSpaceDN/>
        <w:adjustRightInd/>
        <w:snapToGrid/>
        <w:spacing w:line="360" w:lineRule="exact"/>
        <w:ind w:firstLine="640" w:firstLineChars="200"/>
        <w:jc w:val="center"/>
        <w:textAlignment w:val="auto"/>
        <w:rPr>
          <w:rFonts w:ascii="仿宋_GB2312" w:hAnsi="仿宋_GB2312" w:eastAsia="仿宋_GB2312" w:cs="仿宋_GB2312"/>
          <w:color w:val="auto"/>
          <w:sz w:val="32"/>
          <w:szCs w:val="32"/>
          <w:highlight w:val="none"/>
          <w:lang w:eastAsia="zh-CN"/>
        </w:rPr>
      </w:pPr>
      <w:r>
        <w:rPr>
          <w:rFonts w:hint="eastAsia" w:ascii="方正小标宋_GBK" w:hAnsi="方正小标宋_GBK" w:eastAsia="方正小标宋_GBK" w:cs="方正小标宋_GBK"/>
          <w:color w:val="auto"/>
          <w:sz w:val="32"/>
          <w:szCs w:val="32"/>
          <w:highlight w:val="none"/>
          <w:lang w:eastAsia="zh-CN"/>
        </w:rPr>
        <w:t>物业管理考核表</w:t>
      </w:r>
    </w:p>
    <w:tbl>
      <w:tblPr>
        <w:tblStyle w:val="9"/>
        <w:tblW w:w="86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2759"/>
        <w:gridCol w:w="26"/>
        <w:gridCol w:w="2656"/>
        <w:gridCol w:w="26"/>
        <w:gridCol w:w="874"/>
        <w:gridCol w:w="545"/>
        <w:gridCol w:w="608"/>
        <w:gridCol w:w="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926" w:hRule="atLeast"/>
          <w:jc w:val="center"/>
        </w:trPr>
        <w:tc>
          <w:tcPr>
            <w:tcW w:w="1148" w:type="dxa"/>
            <w:noWrap w:val="0"/>
            <w:vAlign w:val="center"/>
          </w:tcPr>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项目</w:t>
            </w:r>
          </w:p>
        </w:tc>
        <w:tc>
          <w:tcPr>
            <w:tcW w:w="2759" w:type="dxa"/>
            <w:noWrap w:val="0"/>
            <w:vAlign w:val="center"/>
          </w:tcPr>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检查具体内容</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评分标准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检查</w:t>
            </w:r>
          </w:p>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结果</w:t>
            </w:r>
          </w:p>
        </w:tc>
        <w:tc>
          <w:tcPr>
            <w:tcW w:w="545" w:type="dxa"/>
            <w:noWrap w:val="0"/>
            <w:vAlign w:val="center"/>
          </w:tcPr>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分值</w:t>
            </w:r>
          </w:p>
        </w:tc>
        <w:tc>
          <w:tcPr>
            <w:tcW w:w="608" w:type="dxa"/>
            <w:noWrap w:val="0"/>
            <w:vAlign w:val="center"/>
          </w:tcPr>
          <w:p>
            <w:pPr>
              <w:widowControl w:val="0"/>
              <w:kinsoku/>
              <w:autoSpaceDE/>
              <w:autoSpaceDN/>
              <w:adjustRightInd/>
              <w:snapToGrid/>
              <w:spacing w:line="360" w:lineRule="exact"/>
              <w:jc w:val="center"/>
              <w:textAlignment w:val="auto"/>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restart"/>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基本要求（15分）</w:t>
            </w: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有完善的物业管理方案，质量管理、财务管理、食品安全管理等制度健全。</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无管理方案减2分，无相应制度，缺少一项减1分。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设置服务热线，公示服务电话。</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未在明显区域公示减1分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管理服务人员统一着装、佩戴标志，行为规范，服务主动、热情。专业操作人员按照国家有关规定取得执业资格证书。</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未按要求统一着装减1分,未佩戴标志扣1分，服务态度消极扣1分，专业人员无证上岗减2分。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运行服务费用使用情况的监督。强化节能意识，节约资源杜绝浪费。</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每月未向采购人报告费用使用情况的减1分，发现水电等公共资源浪费现象的减1分。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强化保密管理，人员入职统一政审。把好政审关口，加强保密教育。</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未按要求政审减1分,保密管理未达到要求减2分，情节严重者将依法处理。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及时上报突发事件，压实管理责任。</w:t>
            </w:r>
          </w:p>
        </w:tc>
        <w:tc>
          <w:tcPr>
            <w:tcW w:w="4735" w:type="dxa"/>
            <w:gridSpan w:val="6"/>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发生舆情事件并造成不良影响的，该项“基本要求”评分项目不得分。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restart"/>
            <w:noWrap w:val="0"/>
            <w:vAlign w:val="center"/>
          </w:tcPr>
          <w:p>
            <w:pPr>
              <w:widowControl w:val="0"/>
              <w:kinsoku/>
              <w:autoSpaceDE/>
              <w:autoSpaceDN/>
              <w:adjustRightInd/>
              <w:snapToGrid/>
              <w:spacing w:line="360" w:lineRule="exact"/>
              <w:jc w:val="center"/>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公共秩序维护（25分）</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门岗24小时执勤情况。</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发现脱岗一次减2分、迟到一次减2分、旷工一次减5分。发现两次以上，该项不得分。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安保人员着装统一，消防设施操作人员持证上岗。</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无统一着装发现一次减2分，无证上岗减3分。发现两次以上该项不得分。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90"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对火灾、治安、公共卫生等突发事件备有应急预案。</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有一项未达标减1分。三项应急预案均没有减4分。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22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安全巡逻、设备检查。</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有一项未达标减1分。发现两次以上该项不得分。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公共区域无乱堆乱放，消防通道畅通。</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有一项未达标减2分，发现两次以上该项不得分。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4" w:type="dxa"/>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59"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外来车辆人员出入登记。</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每发现未登记一次扣2分，发现两次以上该项不得分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08"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restart"/>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设施设备维修养护（20分）</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配电设备运行正常无安全隐患，设备运行及维修记录，安全防护设备齐全完好无过期，配电房内温度不超过30度，机房卫生良好，配电房巡检2小时一次记录。</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缺一项减1分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应急发电机运转正常无漏油，应急电池和油料充足，运行保养记录详实，卫生良好，发电机发上下班巡检。</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缺一项减1分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电梯设备运行稳定安全，做好维保记录，轿厢内灯光良好，无按键缺失，机房卫生状况良好。</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缺一项减1分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周转房设备设施定期巡检，发现问题或接保障申请后及时处理。</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缺一项减1分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消防泵房及设备运行正常，消防设备设施齐全无老化缺失，设备保持清洁，火灾监测报警系统正常运行，每日上下班巡检记录。</w:t>
            </w:r>
          </w:p>
        </w:tc>
        <w:tc>
          <w:tcPr>
            <w:tcW w:w="268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缺一项减1分</w:t>
            </w:r>
          </w:p>
        </w:tc>
        <w:tc>
          <w:tcPr>
            <w:tcW w:w="874"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水泵房及设备运行正常无漏水，管道阀门完好无生锈，做好每日巡检一次记录。</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缺一项减1分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restart"/>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保洁</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绿化（</w:t>
            </w:r>
            <w:r>
              <w:rPr>
                <w:rFonts w:hint="eastAsia" w:ascii="仿宋_GB2312" w:hAnsi="仿宋_GB2312" w:eastAsia="仿宋_GB2312" w:cs="仿宋_GB2312"/>
                <w:color w:val="auto"/>
                <w:sz w:val="24"/>
                <w:szCs w:val="24"/>
                <w:highlight w:val="none"/>
                <w:lang w:eastAsia="zh-CN"/>
              </w:rPr>
              <w:t>25</w:t>
            </w:r>
            <w:r>
              <w:rPr>
                <w:rFonts w:hint="eastAsia" w:ascii="仿宋_GB2312" w:hAnsi="仿宋_GB2312" w:eastAsia="仿宋_GB2312" w:cs="仿宋_GB2312"/>
                <w:color w:val="auto"/>
                <w:sz w:val="24"/>
                <w:szCs w:val="24"/>
                <w:highlight w:val="none"/>
              </w:rPr>
              <w:t>分）</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道路地面无杂物、无污迹。分类垃圾桶闭盖放置，外观干净，周围无垃圾堆放。公共设施无污迹、无张贴。</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发现一项不合格减1分。发现两项不合格，该项不得分。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before="120" w:after="120" w:line="23" w:lineRule="atLeast"/>
              <w:ind w:left="-360"/>
              <w:jc w:val="left"/>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电梯轿厢及楼梯通道楼梯、消防通道、墙面、地面、扶手等无污迹、无积灰、无杂物、无蜘蛛网，不锈钢光洁，垃圾袋及时更换，垃圾桶清洗干净，无接触按键用品及时补充。</w:t>
            </w:r>
            <w:r>
              <w:rPr>
                <w:rFonts w:hint="eastAsia" w:ascii="仿宋_GB2312" w:hAnsi="仿宋_GB2312" w:eastAsia="仿宋_GB2312" w:cs="仿宋_GB2312"/>
                <w:color w:val="auto"/>
                <w:sz w:val="24"/>
                <w:szCs w:val="24"/>
                <w:highlight w:val="none"/>
                <w:shd w:val="clear" w:color="auto" w:fill="auto"/>
                <w:lang w:eastAsia="zh-CN"/>
              </w:rPr>
              <w:t>空置房每周至少开窗通风</w:t>
            </w:r>
            <w:r>
              <w:rPr>
                <w:rFonts w:ascii="仿宋_GB2312" w:hAnsi="仿宋_GB2312" w:eastAsia="仿宋_GB2312" w:cs="仿宋_GB2312"/>
                <w:color w:val="auto"/>
                <w:sz w:val="24"/>
                <w:szCs w:val="24"/>
                <w:highlight w:val="none"/>
                <w:shd w:val="clear" w:color="auto" w:fill="auto"/>
                <w:lang w:eastAsia="zh-CN"/>
              </w:rPr>
              <w:t xml:space="preserve"> 2 </w:t>
            </w:r>
            <w:r>
              <w:rPr>
                <w:rFonts w:hint="eastAsia" w:ascii="仿宋_GB2312" w:hAnsi="仿宋_GB2312" w:eastAsia="仿宋_GB2312" w:cs="仿宋_GB2312"/>
                <w:color w:val="auto"/>
                <w:sz w:val="24"/>
                <w:szCs w:val="24"/>
                <w:highlight w:val="none"/>
                <w:shd w:val="clear" w:color="auto" w:fill="auto"/>
                <w:lang w:eastAsia="zh-CN"/>
              </w:rPr>
              <w:t>次，每次通风时长不少于</w:t>
            </w:r>
            <w:r>
              <w:rPr>
                <w:rFonts w:ascii="仿宋_GB2312" w:hAnsi="仿宋_GB2312" w:eastAsia="仿宋_GB2312" w:cs="仿宋_GB2312"/>
                <w:color w:val="auto"/>
                <w:sz w:val="24"/>
                <w:szCs w:val="24"/>
                <w:highlight w:val="none"/>
                <w:shd w:val="clear" w:color="auto" w:fill="auto"/>
                <w:lang w:eastAsia="zh-CN"/>
              </w:rPr>
              <w:t xml:space="preserve"> 2 </w:t>
            </w:r>
            <w:r>
              <w:rPr>
                <w:rFonts w:hint="eastAsia" w:ascii="仿宋_GB2312" w:hAnsi="仿宋_GB2312" w:eastAsia="仿宋_GB2312" w:cs="仿宋_GB2312"/>
                <w:color w:val="auto"/>
                <w:sz w:val="24"/>
                <w:szCs w:val="24"/>
                <w:highlight w:val="none"/>
                <w:shd w:val="clear" w:color="auto" w:fill="auto"/>
                <w:lang w:eastAsia="zh-CN"/>
              </w:rPr>
              <w:t>小时，</w:t>
            </w:r>
            <w:r>
              <w:rPr>
                <w:rFonts w:hint="eastAsia" w:ascii="仿宋_GB2312" w:hAnsi="仿宋_GB2312" w:eastAsia="仿宋_GB2312" w:cs="仿宋_GB2312"/>
                <w:color w:val="auto"/>
                <w:sz w:val="24"/>
                <w:szCs w:val="24"/>
                <w:highlight w:val="none"/>
                <w:lang w:eastAsia="zh-CN"/>
              </w:rPr>
              <w:t>及时关闭门窗</w:t>
            </w:r>
            <w:r>
              <w:rPr>
                <w:rFonts w:hint="eastAsia" w:ascii="仿宋_GB2312" w:hAnsi="仿宋_GB2312" w:eastAsia="仿宋_GB2312" w:cs="仿宋_GB2312"/>
                <w:color w:val="auto"/>
                <w:sz w:val="24"/>
                <w:szCs w:val="24"/>
                <w:highlight w:val="none"/>
                <w:shd w:val="clear" w:color="auto" w:fill="auto"/>
                <w:lang w:eastAsia="zh-CN"/>
              </w:rPr>
              <w:t>。每月对空置房进行</w:t>
            </w:r>
            <w:r>
              <w:rPr>
                <w:rFonts w:ascii="仿宋_GB2312" w:hAnsi="仿宋_GB2312" w:eastAsia="仿宋_GB2312" w:cs="仿宋_GB2312"/>
                <w:color w:val="auto"/>
                <w:sz w:val="24"/>
                <w:szCs w:val="24"/>
                <w:highlight w:val="none"/>
                <w:shd w:val="clear" w:color="auto" w:fill="auto"/>
                <w:lang w:eastAsia="zh-CN"/>
              </w:rPr>
              <w:t xml:space="preserve"> 1 </w:t>
            </w:r>
            <w:r>
              <w:rPr>
                <w:rFonts w:hint="eastAsia" w:ascii="仿宋_GB2312" w:hAnsi="仿宋_GB2312" w:eastAsia="仿宋_GB2312" w:cs="仿宋_GB2312"/>
                <w:color w:val="auto"/>
                <w:sz w:val="24"/>
                <w:szCs w:val="24"/>
                <w:highlight w:val="none"/>
                <w:shd w:val="clear" w:color="auto" w:fill="auto"/>
                <w:lang w:eastAsia="zh-CN"/>
              </w:rPr>
              <w:t>次全面清洁检查，发现问题及</w:t>
            </w:r>
            <w:r>
              <w:rPr>
                <w:rFonts w:hint="eastAsia" w:ascii="仿宋_GB2312" w:hAnsi="仿宋_GB2312" w:eastAsia="仿宋_GB2312" w:cs="仿宋_GB2312"/>
                <w:color w:val="auto"/>
                <w:sz w:val="24"/>
                <w:szCs w:val="24"/>
                <w:highlight w:val="none"/>
                <w:lang w:eastAsia="zh-CN"/>
              </w:rPr>
              <w:t>时</w:t>
            </w:r>
            <w:r>
              <w:rPr>
                <w:rFonts w:hint="eastAsia" w:ascii="仿宋_GB2312" w:hAnsi="仿宋_GB2312" w:eastAsia="仿宋_GB2312" w:cs="仿宋_GB2312"/>
                <w:color w:val="auto"/>
                <w:sz w:val="24"/>
                <w:szCs w:val="24"/>
                <w:highlight w:val="none"/>
                <w:shd w:val="clear" w:color="auto" w:fill="auto"/>
                <w:lang w:eastAsia="zh-CN"/>
              </w:rPr>
              <w:t>时处理并</w:t>
            </w:r>
            <w:r>
              <w:rPr>
                <w:rFonts w:hint="eastAsia" w:ascii="仿宋_GB2312" w:hAnsi="仿宋_GB2312" w:eastAsia="仿宋_GB2312" w:cs="仿宋_GB2312"/>
                <w:color w:val="auto"/>
                <w:sz w:val="24"/>
                <w:szCs w:val="24"/>
                <w:highlight w:val="none"/>
                <w:lang w:eastAsia="zh-CN"/>
              </w:rPr>
              <w:t>报甲方，做好记录</w:t>
            </w:r>
            <w:r>
              <w:rPr>
                <w:rFonts w:hint="eastAsia" w:ascii="仿宋_GB2312" w:hAnsi="仿宋_GB2312" w:eastAsia="仿宋_GB2312" w:cs="仿宋_GB2312"/>
                <w:color w:val="auto"/>
                <w:sz w:val="24"/>
                <w:szCs w:val="24"/>
                <w:highlight w:val="none"/>
                <w:shd w:val="clear" w:color="auto" w:fill="auto"/>
                <w:lang w:eastAsia="zh-CN"/>
              </w:rPr>
              <w:t>。</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发现一项不合格减1分。发现两项不合格，该项不得分。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办公楼区域如会议室、会客室、开水间场地等区域干净整洁，垃圾桶及时倾倒、清洗干净，静置状态时关闭盖子；卫生间干净整洁、无异味，大小便器无污垢、无堵塞，洗手盆进水排水正常，厕纸、擦手纸、洗手液等供应到位，每日检查、清洗。</w:t>
            </w:r>
          </w:p>
          <w:p>
            <w:pPr>
              <w:pStyle w:val="2"/>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空置房间及时清理，保证干净、卫生、整洁。</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发现一项不合格减1分。发现两项不合格，该项不得分。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绿地无杂物、无垃圾、无明显黄土裸露。</w:t>
            </w:r>
            <w:r>
              <w:rPr>
                <w:rFonts w:hint="eastAsia" w:ascii="仿宋_GB2312" w:hAnsi="仿宋_GB2312" w:eastAsia="仿宋_GB2312" w:cs="仿宋_GB2312"/>
                <w:color w:val="auto"/>
                <w:sz w:val="24"/>
                <w:szCs w:val="24"/>
                <w:highlight w:val="none"/>
              </w:rPr>
              <w:t>每天清理绿化垃圾。</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发现一项不合格减1分。发现两项不合格，该项不得分。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服务区域内各类植物浇水、施肥、修剪、松土生长、病虫害防治等养护工作有计划、有记录。</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缺少工作计划，没有养护记录的减1分。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室内绿植定期保养</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绿植干枯等，发现一项减1分。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绿植无缺水，视季节、雨量情况增减浇水频次。科学施肥，适时松土、土壤改进，以达到最好效果</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因浇水不及时、方法不当致使绿植枯黄、死株等现象的减2分。发现两次绿植枯黄、死株等现象的，该项不得分。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9"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做好室内绿植摆放养护</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室内绿植摆放杂乱的一次减1分。发现两次以上摆放杂乱的，该项不得分。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重要部位叶片无明显灰尘。</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未做到减1分。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5"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根据不同植物生长特点合理修剪，经常性清除杂草。</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未做到减1分。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6" w:hRule="atLeast"/>
          <w:jc w:val="center"/>
        </w:trPr>
        <w:tc>
          <w:tcPr>
            <w:tcW w:w="1148" w:type="dxa"/>
            <w:vMerge w:val="restart"/>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会务接待</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rPr>
              <w:t>5分）</w:t>
            </w: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p>
            <w:pPr>
              <w:rPr>
                <w:color w:val="auto"/>
                <w:highlight w:val="none"/>
              </w:rPr>
            </w:pPr>
          </w:p>
          <w:p>
            <w:pPr>
              <w:rPr>
                <w:color w:val="auto"/>
                <w:highlight w:val="none"/>
              </w:rPr>
            </w:pPr>
          </w:p>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会议会见信息确认、物资设备、卫生检查、引导服务等会前准备工作。</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未能提前登记外来参会人员车辆信息的减1分。未提前准备好会议设施设备影响使用的减2分。地面、桌面、座椅有污渍、灰尘等不整洁现象减1分。</w:t>
            </w:r>
            <w:r>
              <w:rPr>
                <w:rFonts w:hint="eastAsia" w:ascii="仿宋_GB2312" w:hAnsi="仿宋_GB2312" w:eastAsia="仿宋_GB2312" w:cs="仿宋_GB2312"/>
                <w:color w:val="auto"/>
                <w:sz w:val="24"/>
                <w:szCs w:val="24"/>
                <w:highlight w:val="none"/>
              </w:rPr>
              <w:t>纸巾未折角、矿泉水等未准备充足的减0.5分。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6"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会议会见日期、时间、使用部门、人数、会议主持人等记录详实。</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未做登记减1分。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会中服务人员应在管理区等待服务。</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服务人员无故离开管理区的减1分。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会后，桌面、地面清理干净，桌椅摆放整齐；将未使用的瓶装水等会议物资收回储藏室；插线板、铭牌等临时用品收回指定位置；茶杯等用具清洗消毒；关闭门、窗、灯、空调、会议设备等。</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有一项未达标减1分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545" w:type="dxa"/>
            <w:noWrap w:val="0"/>
            <w:vAlign w:val="center"/>
          </w:tcPr>
          <w:p>
            <w:pPr>
              <w:widowControl w:val="0"/>
              <w:kinsoku/>
              <w:autoSpaceDE/>
              <w:autoSpaceDN/>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5</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 w:hRule="atLeast"/>
          <w:jc w:val="center"/>
        </w:trPr>
        <w:tc>
          <w:tcPr>
            <w:tcW w:w="1148" w:type="dxa"/>
            <w:vMerge w:val="continue"/>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c>
          <w:tcPr>
            <w:tcW w:w="2785"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每周维护、检查会议室、会客室等的设备。</w:t>
            </w:r>
          </w:p>
        </w:tc>
        <w:tc>
          <w:tcPr>
            <w:tcW w:w="2656" w:type="dxa"/>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未按时检查维护设备导致影响使用的减1分。</w:t>
            </w:r>
          </w:p>
        </w:tc>
        <w:tc>
          <w:tcPr>
            <w:tcW w:w="900"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lang w:eastAsia="zh-CN"/>
              </w:rPr>
            </w:pPr>
          </w:p>
        </w:tc>
        <w:tc>
          <w:tcPr>
            <w:tcW w:w="545" w:type="dxa"/>
            <w:noWrap w:val="0"/>
            <w:vAlign w:val="center"/>
          </w:tcPr>
          <w:p>
            <w:pPr>
              <w:widowControl w:val="0"/>
              <w:kinsoku/>
              <w:autoSpaceDE/>
              <w:autoSpaceDN/>
              <w:adjustRightInd/>
              <w:snapToGrid/>
              <w:spacing w:line="360" w:lineRule="exact"/>
              <w:jc w:val="center"/>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2</w:t>
            </w:r>
          </w:p>
        </w:tc>
        <w:tc>
          <w:tcPr>
            <w:tcW w:w="632" w:type="dxa"/>
            <w:gridSpan w:val="2"/>
            <w:noWrap w:val="0"/>
            <w:vAlign w:val="center"/>
          </w:tcPr>
          <w:p>
            <w:pPr>
              <w:widowControl w:val="0"/>
              <w:kinsoku/>
              <w:autoSpaceDE/>
              <w:autoSpaceDN/>
              <w:adjustRightInd/>
              <w:snapToGrid/>
              <w:spacing w:line="360" w:lineRule="exact"/>
              <w:jc w:val="center"/>
              <w:textAlignment w:val="auto"/>
              <w:rPr>
                <w:rFonts w:ascii="仿宋_GB2312" w:hAnsi="仿宋_GB2312" w:eastAsia="仿宋_GB2312" w:cs="仿宋_GB2312"/>
                <w:color w:val="auto"/>
                <w:sz w:val="24"/>
                <w:szCs w:val="24"/>
                <w:highlight w:val="none"/>
              </w:rPr>
            </w:pPr>
          </w:p>
        </w:tc>
      </w:tr>
    </w:tbl>
    <w:p>
      <w:pPr>
        <w:spacing w:line="225" w:lineRule="auto"/>
        <w:ind w:left="46"/>
        <w:rPr>
          <w:rFonts w:ascii="黑体" w:hAnsi="黑体" w:eastAsia="黑体" w:cs="黑体"/>
          <w:color w:val="auto"/>
          <w:spacing w:val="-9"/>
          <w:sz w:val="28"/>
          <w:szCs w:val="28"/>
          <w:highlight w:val="none"/>
        </w:rPr>
      </w:pPr>
    </w:p>
    <w:p>
      <w:pPr>
        <w:spacing w:before="64" w:line="228" w:lineRule="auto"/>
        <w:ind w:left="53"/>
        <w:rPr>
          <w:rFonts w:ascii="仿宋" w:hAnsi="仿宋" w:eastAsia="仿宋" w:cs="仿宋"/>
          <w:color w:val="auto"/>
          <w:sz w:val="31"/>
          <w:szCs w:val="31"/>
          <w:highlight w:val="none"/>
          <w:lang w:eastAsia="zh-CN"/>
        </w:rPr>
      </w:pPr>
      <w:r>
        <w:rPr>
          <w:rFonts w:ascii="仿宋" w:hAnsi="仿宋" w:eastAsia="仿宋" w:cs="仿宋"/>
          <w:color w:val="auto"/>
          <w:spacing w:val="-6"/>
          <w:sz w:val="31"/>
          <w:szCs w:val="31"/>
          <w:highlight w:val="none"/>
        </w:rPr>
        <w:t>附件</w:t>
      </w:r>
      <w:r>
        <w:rPr>
          <w:rFonts w:hint="eastAsia" w:ascii="仿宋" w:hAnsi="仿宋" w:eastAsia="仿宋" w:cs="仿宋"/>
          <w:color w:val="auto"/>
          <w:spacing w:val="-56"/>
          <w:sz w:val="31"/>
          <w:szCs w:val="31"/>
          <w:highlight w:val="none"/>
          <w:lang w:eastAsia="zh-CN"/>
        </w:rPr>
        <w:t>2</w:t>
      </w:r>
    </w:p>
    <w:p>
      <w:pPr>
        <w:spacing w:line="218" w:lineRule="auto"/>
        <w:ind w:left="3363"/>
        <w:rPr>
          <w:rFonts w:ascii="宋体" w:hAnsi="宋体" w:eastAsia="宋体" w:cs="宋体"/>
          <w:color w:val="auto"/>
          <w:spacing w:val="-1"/>
          <w:sz w:val="28"/>
          <w:szCs w:val="28"/>
          <w:highlight w:val="none"/>
        </w:rPr>
      </w:pPr>
      <w:r>
        <w:rPr>
          <w:rFonts w:ascii="宋体" w:hAnsi="宋体" w:eastAsia="宋体" w:cs="宋体"/>
          <w:color w:val="auto"/>
          <w:spacing w:val="-1"/>
          <w:sz w:val="28"/>
          <w:szCs w:val="28"/>
          <w:highlight w:val="none"/>
        </w:rPr>
        <w:t>消耗品明细单</w:t>
      </w:r>
    </w:p>
    <w:p>
      <w:pPr>
        <w:spacing w:line="109" w:lineRule="exact"/>
        <w:rPr>
          <w:color w:val="auto"/>
          <w:highlight w:val="none"/>
        </w:rPr>
      </w:pPr>
    </w:p>
    <w:tbl>
      <w:tblPr>
        <w:tblStyle w:val="13"/>
        <w:tblW w:w="79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4"/>
        <w:gridCol w:w="3116"/>
        <w:gridCol w:w="849"/>
        <w:gridCol w:w="31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26" w:hRule="atLeast"/>
        </w:trPr>
        <w:tc>
          <w:tcPr>
            <w:tcW w:w="854" w:type="dxa"/>
            <w:noWrap w:val="0"/>
            <w:vAlign w:val="top"/>
          </w:tcPr>
          <w:p>
            <w:pPr>
              <w:pStyle w:val="11"/>
              <w:spacing w:before="200" w:line="221" w:lineRule="auto"/>
              <w:ind w:left="192"/>
              <w:rPr>
                <w:color w:val="auto"/>
                <w:highlight w:val="none"/>
              </w:rPr>
            </w:pPr>
            <w:r>
              <w:rPr>
                <w:color w:val="auto"/>
                <w:spacing w:val="-5"/>
                <w:highlight w:val="none"/>
              </w:rPr>
              <w:t>序号</w:t>
            </w:r>
          </w:p>
        </w:tc>
        <w:tc>
          <w:tcPr>
            <w:tcW w:w="3116" w:type="dxa"/>
            <w:noWrap w:val="0"/>
            <w:vAlign w:val="top"/>
          </w:tcPr>
          <w:p>
            <w:pPr>
              <w:pStyle w:val="11"/>
              <w:spacing w:before="201" w:line="221" w:lineRule="auto"/>
              <w:ind w:left="1327"/>
              <w:rPr>
                <w:color w:val="auto"/>
                <w:highlight w:val="none"/>
              </w:rPr>
            </w:pPr>
            <w:r>
              <w:rPr>
                <w:color w:val="auto"/>
                <w:spacing w:val="-7"/>
                <w:highlight w:val="none"/>
              </w:rPr>
              <w:t>名称</w:t>
            </w:r>
          </w:p>
        </w:tc>
        <w:tc>
          <w:tcPr>
            <w:tcW w:w="849" w:type="dxa"/>
            <w:noWrap w:val="0"/>
            <w:vAlign w:val="top"/>
          </w:tcPr>
          <w:p>
            <w:pPr>
              <w:pStyle w:val="11"/>
              <w:spacing w:before="200" w:line="221" w:lineRule="auto"/>
              <w:ind w:left="189"/>
              <w:rPr>
                <w:color w:val="auto"/>
                <w:highlight w:val="none"/>
              </w:rPr>
            </w:pPr>
            <w:r>
              <w:rPr>
                <w:color w:val="auto"/>
                <w:spacing w:val="-5"/>
                <w:highlight w:val="none"/>
              </w:rPr>
              <w:t>序号</w:t>
            </w:r>
          </w:p>
        </w:tc>
        <w:tc>
          <w:tcPr>
            <w:tcW w:w="3121" w:type="dxa"/>
            <w:noWrap w:val="0"/>
            <w:vAlign w:val="top"/>
          </w:tcPr>
          <w:p>
            <w:pPr>
              <w:pStyle w:val="11"/>
              <w:spacing w:before="201" w:line="221" w:lineRule="auto"/>
              <w:ind w:left="1329"/>
              <w:rPr>
                <w:color w:val="auto"/>
                <w:highlight w:val="none"/>
              </w:rPr>
            </w:pPr>
            <w:r>
              <w:rPr>
                <w:color w:val="auto"/>
                <w:spacing w:val="-7"/>
                <w:highlight w:val="none"/>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3" w:line="184" w:lineRule="auto"/>
              <w:ind w:left="391"/>
              <w:rPr>
                <w:color w:val="auto"/>
                <w:highlight w:val="none"/>
              </w:rPr>
            </w:pPr>
            <w:r>
              <w:rPr>
                <w:color w:val="auto"/>
                <w:highlight w:val="none"/>
              </w:rPr>
              <w:t>1</w:t>
            </w:r>
          </w:p>
        </w:tc>
        <w:tc>
          <w:tcPr>
            <w:tcW w:w="3116" w:type="dxa"/>
            <w:noWrap w:val="0"/>
            <w:vAlign w:val="top"/>
          </w:tcPr>
          <w:p>
            <w:pPr>
              <w:pStyle w:val="11"/>
              <w:spacing w:before="67" w:line="220" w:lineRule="auto"/>
              <w:ind w:left="1333"/>
              <w:rPr>
                <w:color w:val="auto"/>
                <w:highlight w:val="none"/>
              </w:rPr>
            </w:pPr>
            <w:r>
              <w:rPr>
                <w:color w:val="auto"/>
                <w:spacing w:val="-10"/>
                <w:highlight w:val="none"/>
              </w:rPr>
              <w:t>雨鞋</w:t>
            </w:r>
          </w:p>
        </w:tc>
        <w:tc>
          <w:tcPr>
            <w:tcW w:w="849" w:type="dxa"/>
            <w:noWrap w:val="0"/>
            <w:vAlign w:val="top"/>
          </w:tcPr>
          <w:p>
            <w:pPr>
              <w:pStyle w:val="11"/>
              <w:spacing w:before="104" w:line="183" w:lineRule="auto"/>
              <w:ind w:left="317"/>
              <w:rPr>
                <w:color w:val="auto"/>
                <w:highlight w:val="none"/>
              </w:rPr>
            </w:pPr>
            <w:r>
              <w:rPr>
                <w:color w:val="auto"/>
                <w:spacing w:val="-8"/>
                <w:highlight w:val="none"/>
              </w:rPr>
              <w:t>32</w:t>
            </w:r>
          </w:p>
        </w:tc>
        <w:tc>
          <w:tcPr>
            <w:tcW w:w="3121" w:type="dxa"/>
            <w:noWrap w:val="0"/>
            <w:vAlign w:val="top"/>
          </w:tcPr>
          <w:p>
            <w:pPr>
              <w:pStyle w:val="11"/>
              <w:spacing w:before="67" w:line="219" w:lineRule="auto"/>
              <w:ind w:left="1206"/>
              <w:rPr>
                <w:color w:val="auto"/>
                <w:highlight w:val="none"/>
              </w:rPr>
            </w:pPr>
            <w:r>
              <w:rPr>
                <w:color w:val="auto"/>
                <w:spacing w:val="-4"/>
                <w:highlight w:val="none"/>
              </w:rPr>
              <w:t>湿纸巾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3" w:hRule="atLeast"/>
        </w:trPr>
        <w:tc>
          <w:tcPr>
            <w:tcW w:w="854" w:type="dxa"/>
            <w:noWrap w:val="0"/>
            <w:vAlign w:val="top"/>
          </w:tcPr>
          <w:p>
            <w:pPr>
              <w:pStyle w:val="11"/>
              <w:spacing w:before="105" w:line="183" w:lineRule="auto"/>
              <w:ind w:left="376"/>
              <w:rPr>
                <w:color w:val="auto"/>
                <w:highlight w:val="none"/>
              </w:rPr>
            </w:pPr>
            <w:r>
              <w:rPr>
                <w:color w:val="auto"/>
                <w:highlight w:val="none"/>
              </w:rPr>
              <w:t>2</w:t>
            </w:r>
          </w:p>
        </w:tc>
        <w:tc>
          <w:tcPr>
            <w:tcW w:w="3116" w:type="dxa"/>
            <w:noWrap w:val="0"/>
            <w:vAlign w:val="top"/>
          </w:tcPr>
          <w:p>
            <w:pPr>
              <w:pStyle w:val="11"/>
              <w:spacing w:before="67" w:line="220" w:lineRule="auto"/>
              <w:ind w:left="1333"/>
              <w:rPr>
                <w:color w:val="auto"/>
                <w:highlight w:val="none"/>
              </w:rPr>
            </w:pPr>
            <w:r>
              <w:rPr>
                <w:color w:val="auto"/>
                <w:spacing w:val="-10"/>
                <w:highlight w:val="none"/>
              </w:rPr>
              <w:t>雨衣</w:t>
            </w:r>
          </w:p>
        </w:tc>
        <w:tc>
          <w:tcPr>
            <w:tcW w:w="849" w:type="dxa"/>
            <w:noWrap w:val="0"/>
            <w:vAlign w:val="top"/>
          </w:tcPr>
          <w:p>
            <w:pPr>
              <w:pStyle w:val="11"/>
              <w:spacing w:before="105" w:line="183" w:lineRule="auto"/>
              <w:ind w:left="317"/>
              <w:rPr>
                <w:color w:val="auto"/>
                <w:highlight w:val="none"/>
              </w:rPr>
            </w:pPr>
            <w:r>
              <w:rPr>
                <w:color w:val="auto"/>
                <w:spacing w:val="-8"/>
                <w:highlight w:val="none"/>
              </w:rPr>
              <w:t>33</w:t>
            </w:r>
          </w:p>
        </w:tc>
        <w:tc>
          <w:tcPr>
            <w:tcW w:w="3121" w:type="dxa"/>
            <w:noWrap w:val="0"/>
            <w:vAlign w:val="top"/>
          </w:tcPr>
          <w:p>
            <w:pPr>
              <w:pStyle w:val="11"/>
              <w:spacing w:before="68" w:line="219" w:lineRule="auto"/>
              <w:ind w:left="1325"/>
              <w:rPr>
                <w:color w:val="auto"/>
                <w:highlight w:val="none"/>
              </w:rPr>
            </w:pPr>
            <w:r>
              <w:rPr>
                <w:color w:val="auto"/>
                <w:spacing w:val="-5"/>
                <w:highlight w:val="none"/>
              </w:rPr>
              <w:t>蚊香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7" w:line="183" w:lineRule="auto"/>
              <w:ind w:left="378"/>
              <w:rPr>
                <w:color w:val="auto"/>
                <w:highlight w:val="none"/>
              </w:rPr>
            </w:pPr>
            <w:r>
              <w:rPr>
                <w:color w:val="auto"/>
                <w:highlight w:val="none"/>
              </w:rPr>
              <w:t>3</w:t>
            </w:r>
          </w:p>
        </w:tc>
        <w:tc>
          <w:tcPr>
            <w:tcW w:w="3116" w:type="dxa"/>
            <w:noWrap w:val="0"/>
            <w:vAlign w:val="top"/>
          </w:tcPr>
          <w:p>
            <w:pPr>
              <w:pStyle w:val="11"/>
              <w:spacing w:before="69" w:line="219" w:lineRule="auto"/>
              <w:ind w:left="1206"/>
              <w:rPr>
                <w:color w:val="auto"/>
                <w:highlight w:val="none"/>
              </w:rPr>
            </w:pPr>
            <w:r>
              <w:rPr>
                <w:color w:val="auto"/>
                <w:spacing w:val="-4"/>
                <w:highlight w:val="none"/>
              </w:rPr>
              <w:t>尘推杆</w:t>
            </w:r>
          </w:p>
        </w:tc>
        <w:tc>
          <w:tcPr>
            <w:tcW w:w="849" w:type="dxa"/>
            <w:noWrap w:val="0"/>
            <w:vAlign w:val="top"/>
          </w:tcPr>
          <w:p>
            <w:pPr>
              <w:pStyle w:val="11"/>
              <w:spacing w:before="107" w:line="183" w:lineRule="auto"/>
              <w:ind w:left="317"/>
              <w:rPr>
                <w:color w:val="auto"/>
                <w:highlight w:val="none"/>
              </w:rPr>
            </w:pPr>
            <w:r>
              <w:rPr>
                <w:color w:val="auto"/>
                <w:spacing w:val="-8"/>
                <w:highlight w:val="none"/>
              </w:rPr>
              <w:t>34</w:t>
            </w:r>
          </w:p>
        </w:tc>
        <w:tc>
          <w:tcPr>
            <w:tcW w:w="3121" w:type="dxa"/>
            <w:noWrap w:val="0"/>
            <w:vAlign w:val="top"/>
          </w:tcPr>
          <w:p>
            <w:pPr>
              <w:pStyle w:val="11"/>
              <w:spacing w:before="69" w:line="219" w:lineRule="auto"/>
              <w:ind w:left="1207"/>
              <w:rPr>
                <w:color w:val="auto"/>
                <w:highlight w:val="none"/>
              </w:rPr>
            </w:pPr>
            <w:r>
              <w:rPr>
                <w:color w:val="auto"/>
                <w:spacing w:val="-4"/>
                <w:highlight w:val="none"/>
              </w:rPr>
              <w:t>花露水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3" w:hRule="atLeast"/>
        </w:trPr>
        <w:tc>
          <w:tcPr>
            <w:tcW w:w="854" w:type="dxa"/>
            <w:noWrap w:val="0"/>
            <w:vAlign w:val="top"/>
          </w:tcPr>
          <w:p>
            <w:pPr>
              <w:pStyle w:val="11"/>
              <w:spacing w:before="107" w:line="183" w:lineRule="auto"/>
              <w:ind w:left="372"/>
              <w:rPr>
                <w:color w:val="auto"/>
                <w:highlight w:val="none"/>
              </w:rPr>
            </w:pPr>
            <w:r>
              <w:rPr>
                <w:color w:val="auto"/>
                <w:highlight w:val="none"/>
              </w:rPr>
              <w:t>4</w:t>
            </w:r>
          </w:p>
        </w:tc>
        <w:tc>
          <w:tcPr>
            <w:tcW w:w="3116" w:type="dxa"/>
            <w:noWrap w:val="0"/>
            <w:vAlign w:val="top"/>
          </w:tcPr>
          <w:p>
            <w:pPr>
              <w:pStyle w:val="11"/>
              <w:spacing w:before="69" w:line="218" w:lineRule="auto"/>
              <w:ind w:left="1206"/>
              <w:rPr>
                <w:color w:val="auto"/>
                <w:highlight w:val="none"/>
              </w:rPr>
            </w:pPr>
            <w:r>
              <w:rPr>
                <w:color w:val="auto"/>
                <w:spacing w:val="-4"/>
                <w:highlight w:val="none"/>
              </w:rPr>
              <w:t>尘推布</w:t>
            </w:r>
          </w:p>
        </w:tc>
        <w:tc>
          <w:tcPr>
            <w:tcW w:w="849" w:type="dxa"/>
            <w:noWrap w:val="0"/>
            <w:vAlign w:val="top"/>
          </w:tcPr>
          <w:p>
            <w:pPr>
              <w:pStyle w:val="11"/>
              <w:spacing w:before="107" w:line="183" w:lineRule="auto"/>
              <w:ind w:left="317"/>
              <w:rPr>
                <w:color w:val="auto"/>
                <w:highlight w:val="none"/>
              </w:rPr>
            </w:pPr>
            <w:r>
              <w:rPr>
                <w:color w:val="auto"/>
                <w:spacing w:val="-8"/>
                <w:highlight w:val="none"/>
              </w:rPr>
              <w:t>35</w:t>
            </w:r>
          </w:p>
        </w:tc>
        <w:tc>
          <w:tcPr>
            <w:tcW w:w="3121" w:type="dxa"/>
            <w:noWrap w:val="0"/>
            <w:vAlign w:val="top"/>
          </w:tcPr>
          <w:p>
            <w:pPr>
              <w:pStyle w:val="11"/>
              <w:spacing w:before="69" w:line="218" w:lineRule="auto"/>
              <w:ind w:left="1328"/>
              <w:rPr>
                <w:color w:val="auto"/>
                <w:highlight w:val="none"/>
              </w:rPr>
            </w:pPr>
            <w:r>
              <w:rPr>
                <w:color w:val="auto"/>
                <w:spacing w:val="-6"/>
                <w:highlight w:val="none"/>
              </w:rPr>
              <w:t>草帽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2" w:lineRule="auto"/>
              <w:ind w:left="378"/>
              <w:rPr>
                <w:color w:val="auto"/>
                <w:highlight w:val="none"/>
              </w:rPr>
            </w:pPr>
            <w:r>
              <w:rPr>
                <w:color w:val="auto"/>
                <w:highlight w:val="none"/>
              </w:rPr>
              <w:t>5</w:t>
            </w:r>
          </w:p>
        </w:tc>
        <w:tc>
          <w:tcPr>
            <w:tcW w:w="3116" w:type="dxa"/>
            <w:noWrap w:val="0"/>
            <w:vAlign w:val="top"/>
          </w:tcPr>
          <w:p>
            <w:pPr>
              <w:pStyle w:val="11"/>
              <w:spacing w:before="69" w:line="219" w:lineRule="auto"/>
              <w:ind w:left="1207"/>
              <w:rPr>
                <w:color w:val="auto"/>
                <w:highlight w:val="none"/>
              </w:rPr>
            </w:pPr>
            <w:r>
              <w:rPr>
                <w:color w:val="auto"/>
                <w:spacing w:val="-5"/>
                <w:highlight w:val="none"/>
              </w:rPr>
              <w:t>玻璃刮</w:t>
            </w:r>
          </w:p>
        </w:tc>
        <w:tc>
          <w:tcPr>
            <w:tcW w:w="849" w:type="dxa"/>
            <w:noWrap w:val="0"/>
            <w:vAlign w:val="top"/>
          </w:tcPr>
          <w:p>
            <w:pPr>
              <w:pStyle w:val="11"/>
              <w:spacing w:before="106" w:line="183" w:lineRule="auto"/>
              <w:ind w:left="317"/>
              <w:rPr>
                <w:color w:val="auto"/>
                <w:highlight w:val="none"/>
              </w:rPr>
            </w:pPr>
            <w:r>
              <w:rPr>
                <w:color w:val="auto"/>
                <w:spacing w:val="-8"/>
                <w:highlight w:val="none"/>
              </w:rPr>
              <w:t>36</w:t>
            </w:r>
          </w:p>
        </w:tc>
        <w:tc>
          <w:tcPr>
            <w:tcW w:w="3121" w:type="dxa"/>
            <w:noWrap w:val="0"/>
            <w:vAlign w:val="top"/>
          </w:tcPr>
          <w:p>
            <w:pPr>
              <w:pStyle w:val="11"/>
              <w:spacing w:before="69" w:line="219" w:lineRule="auto"/>
              <w:ind w:left="1087"/>
              <w:rPr>
                <w:color w:val="auto"/>
                <w:highlight w:val="none"/>
              </w:rPr>
            </w:pPr>
            <w:r>
              <w:rPr>
                <w:color w:val="auto"/>
                <w:spacing w:val="-3"/>
                <w:highlight w:val="none"/>
              </w:rPr>
              <w:t>疏通管道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7" w:line="183" w:lineRule="auto"/>
              <w:ind w:left="375"/>
              <w:rPr>
                <w:color w:val="auto"/>
                <w:highlight w:val="none"/>
              </w:rPr>
            </w:pPr>
            <w:r>
              <w:rPr>
                <w:color w:val="auto"/>
                <w:highlight w:val="none"/>
              </w:rPr>
              <w:t>6</w:t>
            </w:r>
          </w:p>
        </w:tc>
        <w:tc>
          <w:tcPr>
            <w:tcW w:w="3116" w:type="dxa"/>
            <w:noWrap w:val="0"/>
            <w:vAlign w:val="top"/>
          </w:tcPr>
          <w:p>
            <w:pPr>
              <w:pStyle w:val="11"/>
              <w:spacing w:before="69" w:line="219" w:lineRule="auto"/>
              <w:ind w:left="1327"/>
              <w:rPr>
                <w:color w:val="auto"/>
                <w:highlight w:val="none"/>
              </w:rPr>
            </w:pPr>
            <w:r>
              <w:rPr>
                <w:color w:val="auto"/>
                <w:spacing w:val="-7"/>
                <w:highlight w:val="none"/>
              </w:rPr>
              <w:t>水桶</w:t>
            </w:r>
          </w:p>
        </w:tc>
        <w:tc>
          <w:tcPr>
            <w:tcW w:w="849" w:type="dxa"/>
            <w:noWrap w:val="0"/>
            <w:vAlign w:val="top"/>
          </w:tcPr>
          <w:p>
            <w:pPr>
              <w:pStyle w:val="11"/>
              <w:spacing w:before="107" w:line="183" w:lineRule="auto"/>
              <w:ind w:left="317"/>
              <w:rPr>
                <w:color w:val="auto"/>
                <w:highlight w:val="none"/>
              </w:rPr>
            </w:pPr>
            <w:r>
              <w:rPr>
                <w:color w:val="auto"/>
                <w:spacing w:val="-8"/>
                <w:highlight w:val="none"/>
              </w:rPr>
              <w:t>37</w:t>
            </w:r>
          </w:p>
        </w:tc>
        <w:tc>
          <w:tcPr>
            <w:tcW w:w="3121" w:type="dxa"/>
            <w:noWrap w:val="0"/>
            <w:vAlign w:val="top"/>
          </w:tcPr>
          <w:p>
            <w:pPr>
              <w:pStyle w:val="11"/>
              <w:spacing w:before="69" w:line="219" w:lineRule="auto"/>
              <w:ind w:left="1208"/>
              <w:rPr>
                <w:color w:val="auto"/>
                <w:highlight w:val="none"/>
              </w:rPr>
            </w:pPr>
            <w:r>
              <w:rPr>
                <w:color w:val="auto"/>
                <w:spacing w:val="-4"/>
                <w:highlight w:val="none"/>
              </w:rPr>
              <w:t>垃圾斗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3" w:hRule="atLeast"/>
        </w:trPr>
        <w:tc>
          <w:tcPr>
            <w:tcW w:w="854" w:type="dxa"/>
            <w:noWrap w:val="0"/>
            <w:vAlign w:val="top"/>
          </w:tcPr>
          <w:p>
            <w:pPr>
              <w:pStyle w:val="11"/>
              <w:spacing w:before="109" w:line="182" w:lineRule="auto"/>
              <w:ind w:left="379"/>
              <w:rPr>
                <w:color w:val="auto"/>
                <w:highlight w:val="none"/>
              </w:rPr>
            </w:pPr>
            <w:r>
              <w:rPr>
                <w:color w:val="auto"/>
                <w:highlight w:val="none"/>
              </w:rPr>
              <w:t>7</w:t>
            </w:r>
          </w:p>
        </w:tc>
        <w:tc>
          <w:tcPr>
            <w:tcW w:w="3116" w:type="dxa"/>
            <w:noWrap w:val="0"/>
            <w:vAlign w:val="top"/>
          </w:tcPr>
          <w:p>
            <w:pPr>
              <w:pStyle w:val="11"/>
              <w:spacing w:before="69" w:line="218" w:lineRule="auto"/>
              <w:ind w:left="1324"/>
              <w:rPr>
                <w:color w:val="auto"/>
                <w:highlight w:val="none"/>
              </w:rPr>
            </w:pPr>
            <w:r>
              <w:rPr>
                <w:color w:val="auto"/>
                <w:spacing w:val="-5"/>
                <w:highlight w:val="none"/>
              </w:rPr>
              <w:t>地刷</w:t>
            </w:r>
          </w:p>
        </w:tc>
        <w:tc>
          <w:tcPr>
            <w:tcW w:w="849" w:type="dxa"/>
            <w:noWrap w:val="0"/>
            <w:vAlign w:val="top"/>
          </w:tcPr>
          <w:p>
            <w:pPr>
              <w:pStyle w:val="11"/>
              <w:spacing w:before="108" w:line="183" w:lineRule="auto"/>
              <w:ind w:left="317"/>
              <w:rPr>
                <w:color w:val="auto"/>
                <w:highlight w:val="none"/>
              </w:rPr>
            </w:pPr>
            <w:r>
              <w:rPr>
                <w:color w:val="auto"/>
                <w:spacing w:val="-8"/>
                <w:highlight w:val="none"/>
              </w:rPr>
              <w:t>38</w:t>
            </w:r>
          </w:p>
        </w:tc>
        <w:tc>
          <w:tcPr>
            <w:tcW w:w="3121" w:type="dxa"/>
            <w:noWrap w:val="0"/>
            <w:vAlign w:val="top"/>
          </w:tcPr>
          <w:p>
            <w:pPr>
              <w:pStyle w:val="11"/>
              <w:spacing w:before="69" w:line="218" w:lineRule="auto"/>
              <w:ind w:left="1328"/>
              <w:rPr>
                <w:color w:val="auto"/>
                <w:highlight w:val="none"/>
              </w:rPr>
            </w:pPr>
            <w:r>
              <w:rPr>
                <w:color w:val="auto"/>
                <w:spacing w:val="-6"/>
                <w:highlight w:val="none"/>
              </w:rPr>
              <w:t>绿植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9" w:line="183" w:lineRule="auto"/>
              <w:ind w:left="374"/>
              <w:rPr>
                <w:color w:val="auto"/>
                <w:highlight w:val="none"/>
              </w:rPr>
            </w:pPr>
            <w:r>
              <w:rPr>
                <w:color w:val="auto"/>
                <w:highlight w:val="none"/>
              </w:rPr>
              <w:t>8</w:t>
            </w:r>
          </w:p>
        </w:tc>
        <w:tc>
          <w:tcPr>
            <w:tcW w:w="3116" w:type="dxa"/>
            <w:noWrap w:val="0"/>
            <w:vAlign w:val="top"/>
          </w:tcPr>
          <w:p>
            <w:pPr>
              <w:pStyle w:val="11"/>
              <w:spacing w:before="71" w:line="217" w:lineRule="auto"/>
              <w:ind w:left="1088"/>
              <w:rPr>
                <w:color w:val="auto"/>
                <w:highlight w:val="none"/>
              </w:rPr>
            </w:pPr>
            <w:r>
              <w:rPr>
                <w:color w:val="auto"/>
                <w:spacing w:val="-4"/>
                <w:highlight w:val="none"/>
              </w:rPr>
              <w:t>塑料扫把</w:t>
            </w:r>
          </w:p>
        </w:tc>
        <w:tc>
          <w:tcPr>
            <w:tcW w:w="849" w:type="dxa"/>
            <w:noWrap w:val="0"/>
            <w:vAlign w:val="top"/>
          </w:tcPr>
          <w:p>
            <w:pPr>
              <w:pStyle w:val="11"/>
              <w:spacing w:before="109" w:line="183" w:lineRule="auto"/>
              <w:ind w:left="317"/>
              <w:rPr>
                <w:color w:val="auto"/>
                <w:highlight w:val="none"/>
              </w:rPr>
            </w:pPr>
            <w:r>
              <w:rPr>
                <w:color w:val="auto"/>
                <w:spacing w:val="-8"/>
                <w:highlight w:val="none"/>
              </w:rPr>
              <w:t>39</w:t>
            </w:r>
          </w:p>
        </w:tc>
        <w:tc>
          <w:tcPr>
            <w:tcW w:w="3121" w:type="dxa"/>
            <w:noWrap w:val="0"/>
            <w:vAlign w:val="top"/>
          </w:tcPr>
          <w:p>
            <w:pPr>
              <w:pStyle w:val="11"/>
              <w:spacing w:before="71" w:line="217" w:lineRule="auto"/>
              <w:ind w:left="1328"/>
              <w:rPr>
                <w:color w:val="auto"/>
                <w:highlight w:val="none"/>
              </w:rPr>
            </w:pPr>
            <w:r>
              <w:rPr>
                <w:color w:val="auto"/>
                <w:spacing w:val="-6"/>
                <w:highlight w:val="none"/>
              </w:rPr>
              <w:t>纸杯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3" w:hRule="atLeast"/>
        </w:trPr>
        <w:tc>
          <w:tcPr>
            <w:tcW w:w="854" w:type="dxa"/>
            <w:noWrap w:val="0"/>
            <w:vAlign w:val="top"/>
          </w:tcPr>
          <w:p>
            <w:pPr>
              <w:pStyle w:val="11"/>
              <w:spacing w:before="107" w:line="183" w:lineRule="auto"/>
              <w:ind w:left="374"/>
              <w:rPr>
                <w:color w:val="auto"/>
                <w:highlight w:val="none"/>
              </w:rPr>
            </w:pPr>
            <w:r>
              <w:rPr>
                <w:color w:val="auto"/>
                <w:highlight w:val="none"/>
              </w:rPr>
              <w:t>9</w:t>
            </w:r>
          </w:p>
        </w:tc>
        <w:tc>
          <w:tcPr>
            <w:tcW w:w="3116" w:type="dxa"/>
            <w:noWrap w:val="0"/>
            <w:vAlign w:val="top"/>
          </w:tcPr>
          <w:p>
            <w:pPr>
              <w:pStyle w:val="11"/>
              <w:spacing w:before="69" w:line="218" w:lineRule="auto"/>
              <w:ind w:left="1211"/>
              <w:rPr>
                <w:color w:val="auto"/>
                <w:highlight w:val="none"/>
              </w:rPr>
            </w:pPr>
            <w:r>
              <w:rPr>
                <w:color w:val="auto"/>
                <w:spacing w:val="-6"/>
                <w:highlight w:val="none"/>
              </w:rPr>
              <w:t>马桶吸</w:t>
            </w:r>
          </w:p>
        </w:tc>
        <w:tc>
          <w:tcPr>
            <w:tcW w:w="849" w:type="dxa"/>
            <w:noWrap w:val="0"/>
            <w:vAlign w:val="top"/>
          </w:tcPr>
          <w:p>
            <w:pPr>
              <w:pStyle w:val="11"/>
              <w:spacing w:before="107" w:line="183" w:lineRule="auto"/>
              <w:ind w:left="312"/>
              <w:rPr>
                <w:color w:val="auto"/>
                <w:highlight w:val="none"/>
              </w:rPr>
            </w:pPr>
            <w:r>
              <w:rPr>
                <w:color w:val="auto"/>
                <w:spacing w:val="-5"/>
                <w:highlight w:val="none"/>
              </w:rPr>
              <w:t>40</w:t>
            </w:r>
          </w:p>
        </w:tc>
        <w:tc>
          <w:tcPr>
            <w:tcW w:w="3121" w:type="dxa"/>
            <w:noWrap w:val="0"/>
            <w:vAlign w:val="top"/>
          </w:tcPr>
          <w:p>
            <w:pPr>
              <w:pStyle w:val="11"/>
              <w:spacing w:before="69" w:line="218" w:lineRule="auto"/>
              <w:ind w:left="1207"/>
              <w:rPr>
                <w:color w:val="auto"/>
                <w:highlight w:val="none"/>
              </w:rPr>
            </w:pPr>
            <w:r>
              <w:rPr>
                <w:color w:val="auto"/>
                <w:spacing w:val="-4"/>
                <w:highlight w:val="none"/>
              </w:rPr>
              <w:t>保鲜袋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4" w:lineRule="auto"/>
              <w:ind w:left="331"/>
              <w:rPr>
                <w:color w:val="auto"/>
                <w:highlight w:val="none"/>
              </w:rPr>
            </w:pPr>
            <w:r>
              <w:rPr>
                <w:color w:val="auto"/>
                <w:spacing w:val="-14"/>
                <w:highlight w:val="none"/>
              </w:rPr>
              <w:t>10</w:t>
            </w:r>
          </w:p>
        </w:tc>
        <w:tc>
          <w:tcPr>
            <w:tcW w:w="3116" w:type="dxa"/>
            <w:noWrap w:val="0"/>
            <w:vAlign w:val="top"/>
          </w:tcPr>
          <w:p>
            <w:pPr>
              <w:pStyle w:val="11"/>
              <w:spacing w:before="71" w:line="217" w:lineRule="auto"/>
              <w:ind w:left="862"/>
              <w:rPr>
                <w:color w:val="auto"/>
                <w:highlight w:val="none"/>
              </w:rPr>
            </w:pPr>
            <w:r>
              <w:rPr>
                <w:color w:val="auto"/>
                <w:spacing w:val="-5"/>
                <w:highlight w:val="none"/>
              </w:rPr>
              <w:t>降解大垃圾袋</w:t>
            </w:r>
          </w:p>
        </w:tc>
        <w:tc>
          <w:tcPr>
            <w:tcW w:w="849" w:type="dxa"/>
            <w:noWrap w:val="0"/>
            <w:vAlign w:val="top"/>
          </w:tcPr>
          <w:p>
            <w:pPr>
              <w:pStyle w:val="11"/>
              <w:spacing w:before="108" w:line="184" w:lineRule="auto"/>
              <w:ind w:left="312"/>
              <w:rPr>
                <w:color w:val="auto"/>
                <w:highlight w:val="none"/>
              </w:rPr>
            </w:pPr>
            <w:r>
              <w:rPr>
                <w:color w:val="auto"/>
                <w:spacing w:val="-5"/>
                <w:highlight w:val="none"/>
              </w:rPr>
              <w:t>41</w:t>
            </w:r>
          </w:p>
        </w:tc>
        <w:tc>
          <w:tcPr>
            <w:tcW w:w="3121" w:type="dxa"/>
            <w:noWrap w:val="0"/>
            <w:vAlign w:val="top"/>
          </w:tcPr>
          <w:p>
            <w:pPr>
              <w:pStyle w:val="11"/>
              <w:spacing w:before="71" w:line="217" w:lineRule="auto"/>
              <w:ind w:left="1211"/>
              <w:rPr>
                <w:color w:val="auto"/>
                <w:highlight w:val="none"/>
              </w:rPr>
            </w:pPr>
            <w:r>
              <w:rPr>
                <w:color w:val="auto"/>
                <w:spacing w:val="-5"/>
                <w:highlight w:val="none"/>
              </w:rPr>
              <w:t>消毒片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4" w:lineRule="auto"/>
              <w:ind w:left="331"/>
              <w:rPr>
                <w:color w:val="auto"/>
                <w:highlight w:val="none"/>
              </w:rPr>
            </w:pPr>
            <w:r>
              <w:rPr>
                <w:color w:val="auto"/>
                <w:spacing w:val="-14"/>
                <w:highlight w:val="none"/>
              </w:rPr>
              <w:t>11</w:t>
            </w:r>
          </w:p>
        </w:tc>
        <w:tc>
          <w:tcPr>
            <w:tcW w:w="3116" w:type="dxa"/>
            <w:noWrap w:val="0"/>
            <w:vAlign w:val="top"/>
          </w:tcPr>
          <w:p>
            <w:pPr>
              <w:pStyle w:val="11"/>
              <w:spacing w:before="71" w:line="217" w:lineRule="auto"/>
              <w:ind w:left="862"/>
              <w:rPr>
                <w:color w:val="auto"/>
                <w:highlight w:val="none"/>
              </w:rPr>
            </w:pPr>
            <w:r>
              <w:rPr>
                <w:color w:val="auto"/>
                <w:spacing w:val="-5"/>
                <w:highlight w:val="none"/>
              </w:rPr>
              <w:t>降解小垃圾袋</w:t>
            </w:r>
          </w:p>
        </w:tc>
        <w:tc>
          <w:tcPr>
            <w:tcW w:w="849" w:type="dxa"/>
            <w:noWrap w:val="0"/>
            <w:vAlign w:val="top"/>
          </w:tcPr>
          <w:p>
            <w:pPr>
              <w:pStyle w:val="11"/>
              <w:spacing w:before="110" w:line="183" w:lineRule="auto"/>
              <w:ind w:left="312"/>
              <w:rPr>
                <w:color w:val="auto"/>
                <w:highlight w:val="none"/>
              </w:rPr>
            </w:pPr>
            <w:r>
              <w:rPr>
                <w:color w:val="auto"/>
                <w:spacing w:val="-5"/>
                <w:highlight w:val="none"/>
              </w:rPr>
              <w:t>42</w:t>
            </w:r>
          </w:p>
        </w:tc>
        <w:tc>
          <w:tcPr>
            <w:tcW w:w="3121" w:type="dxa"/>
            <w:noWrap w:val="0"/>
            <w:vAlign w:val="top"/>
          </w:tcPr>
          <w:p>
            <w:pPr>
              <w:pStyle w:val="11"/>
              <w:spacing w:before="71" w:line="217" w:lineRule="auto"/>
              <w:ind w:left="1204"/>
              <w:rPr>
                <w:color w:val="auto"/>
                <w:highlight w:val="none"/>
              </w:rPr>
            </w:pPr>
            <w:r>
              <w:rPr>
                <w:color w:val="auto"/>
                <w:spacing w:val="-3"/>
                <w:highlight w:val="none"/>
              </w:rPr>
              <w:t>擦手纸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9" w:line="184" w:lineRule="auto"/>
              <w:ind w:left="331"/>
              <w:rPr>
                <w:color w:val="auto"/>
                <w:highlight w:val="none"/>
              </w:rPr>
            </w:pPr>
            <w:r>
              <w:rPr>
                <w:color w:val="auto"/>
                <w:spacing w:val="-14"/>
                <w:highlight w:val="none"/>
              </w:rPr>
              <w:t>12</w:t>
            </w:r>
          </w:p>
        </w:tc>
        <w:tc>
          <w:tcPr>
            <w:tcW w:w="3116" w:type="dxa"/>
            <w:noWrap w:val="0"/>
            <w:vAlign w:val="top"/>
          </w:tcPr>
          <w:p>
            <w:pPr>
              <w:pStyle w:val="11"/>
              <w:spacing w:before="73" w:line="216" w:lineRule="auto"/>
              <w:ind w:left="1203"/>
              <w:rPr>
                <w:color w:val="auto"/>
                <w:highlight w:val="none"/>
              </w:rPr>
            </w:pPr>
            <w:r>
              <w:rPr>
                <w:color w:val="auto"/>
                <w:spacing w:val="-3"/>
                <w:highlight w:val="none"/>
              </w:rPr>
              <w:t>洗衣粉</w:t>
            </w:r>
          </w:p>
        </w:tc>
        <w:tc>
          <w:tcPr>
            <w:tcW w:w="849" w:type="dxa"/>
            <w:noWrap w:val="0"/>
            <w:vAlign w:val="top"/>
          </w:tcPr>
          <w:p>
            <w:pPr>
              <w:pStyle w:val="11"/>
              <w:spacing w:before="110" w:line="183" w:lineRule="auto"/>
              <w:ind w:left="312"/>
              <w:rPr>
                <w:color w:val="auto"/>
                <w:highlight w:val="none"/>
              </w:rPr>
            </w:pPr>
            <w:r>
              <w:rPr>
                <w:color w:val="auto"/>
                <w:spacing w:val="-5"/>
                <w:highlight w:val="none"/>
              </w:rPr>
              <w:t>43</w:t>
            </w:r>
          </w:p>
        </w:tc>
        <w:tc>
          <w:tcPr>
            <w:tcW w:w="3121" w:type="dxa"/>
            <w:noWrap w:val="0"/>
            <w:vAlign w:val="top"/>
          </w:tcPr>
          <w:p>
            <w:pPr>
              <w:pStyle w:val="11"/>
              <w:spacing w:before="73" w:line="216" w:lineRule="auto"/>
              <w:ind w:left="1328"/>
              <w:rPr>
                <w:color w:val="auto"/>
                <w:highlight w:val="none"/>
              </w:rPr>
            </w:pPr>
            <w:r>
              <w:rPr>
                <w:color w:val="auto"/>
                <w:spacing w:val="-6"/>
                <w:highlight w:val="none"/>
              </w:rPr>
              <w:t>纸篓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7" w:line="184" w:lineRule="auto"/>
              <w:ind w:left="331"/>
              <w:rPr>
                <w:color w:val="auto"/>
                <w:highlight w:val="none"/>
              </w:rPr>
            </w:pPr>
            <w:r>
              <w:rPr>
                <w:color w:val="auto"/>
                <w:spacing w:val="-14"/>
                <w:highlight w:val="none"/>
              </w:rPr>
              <w:t>13</w:t>
            </w:r>
          </w:p>
        </w:tc>
        <w:tc>
          <w:tcPr>
            <w:tcW w:w="3116" w:type="dxa"/>
            <w:noWrap w:val="0"/>
            <w:vAlign w:val="top"/>
          </w:tcPr>
          <w:p>
            <w:pPr>
              <w:pStyle w:val="11"/>
              <w:spacing w:before="70" w:line="218" w:lineRule="auto"/>
              <w:ind w:left="1324"/>
              <w:rPr>
                <w:color w:val="auto"/>
                <w:highlight w:val="none"/>
              </w:rPr>
            </w:pPr>
            <w:r>
              <w:rPr>
                <w:color w:val="auto"/>
                <w:spacing w:val="-5"/>
                <w:highlight w:val="none"/>
              </w:rPr>
              <w:t>抹布</w:t>
            </w:r>
          </w:p>
        </w:tc>
        <w:tc>
          <w:tcPr>
            <w:tcW w:w="849" w:type="dxa"/>
            <w:noWrap w:val="0"/>
            <w:vAlign w:val="top"/>
          </w:tcPr>
          <w:p>
            <w:pPr>
              <w:pStyle w:val="11"/>
              <w:spacing w:before="108" w:line="183" w:lineRule="auto"/>
              <w:ind w:left="312"/>
              <w:rPr>
                <w:color w:val="auto"/>
                <w:highlight w:val="none"/>
              </w:rPr>
            </w:pPr>
            <w:r>
              <w:rPr>
                <w:color w:val="auto"/>
                <w:spacing w:val="-5"/>
                <w:highlight w:val="none"/>
              </w:rPr>
              <w:t>44</w:t>
            </w:r>
          </w:p>
        </w:tc>
        <w:tc>
          <w:tcPr>
            <w:tcW w:w="3121" w:type="dxa"/>
            <w:noWrap w:val="0"/>
            <w:vAlign w:val="top"/>
          </w:tcPr>
          <w:p>
            <w:pPr>
              <w:pStyle w:val="11"/>
              <w:spacing w:before="70" w:line="218" w:lineRule="auto"/>
              <w:ind w:left="1206"/>
              <w:rPr>
                <w:color w:val="auto"/>
                <w:highlight w:val="none"/>
              </w:rPr>
            </w:pPr>
            <w:r>
              <w:rPr>
                <w:color w:val="auto"/>
                <w:spacing w:val="-4"/>
                <w:highlight w:val="none"/>
              </w:rPr>
              <w:t>漂白水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4" w:lineRule="auto"/>
              <w:ind w:left="331"/>
              <w:rPr>
                <w:color w:val="auto"/>
                <w:highlight w:val="none"/>
              </w:rPr>
            </w:pPr>
            <w:r>
              <w:rPr>
                <w:color w:val="auto"/>
                <w:spacing w:val="-14"/>
                <w:highlight w:val="none"/>
              </w:rPr>
              <w:t>14</w:t>
            </w:r>
          </w:p>
        </w:tc>
        <w:tc>
          <w:tcPr>
            <w:tcW w:w="3116" w:type="dxa"/>
            <w:noWrap w:val="0"/>
            <w:vAlign w:val="top"/>
          </w:tcPr>
          <w:p>
            <w:pPr>
              <w:pStyle w:val="11"/>
              <w:spacing w:before="71" w:line="217" w:lineRule="auto"/>
              <w:ind w:left="1212"/>
              <w:rPr>
                <w:color w:val="auto"/>
                <w:highlight w:val="none"/>
              </w:rPr>
            </w:pPr>
            <w:r>
              <w:rPr>
                <w:color w:val="auto"/>
                <w:spacing w:val="-6"/>
                <w:highlight w:val="none"/>
              </w:rPr>
              <w:t>百洁布</w:t>
            </w:r>
          </w:p>
        </w:tc>
        <w:tc>
          <w:tcPr>
            <w:tcW w:w="849" w:type="dxa"/>
            <w:noWrap w:val="0"/>
            <w:vAlign w:val="top"/>
          </w:tcPr>
          <w:p>
            <w:pPr>
              <w:pStyle w:val="11"/>
              <w:spacing w:before="109" w:line="183" w:lineRule="auto"/>
              <w:ind w:left="312"/>
              <w:rPr>
                <w:color w:val="auto"/>
                <w:highlight w:val="none"/>
              </w:rPr>
            </w:pPr>
            <w:r>
              <w:rPr>
                <w:color w:val="auto"/>
                <w:spacing w:val="-5"/>
                <w:highlight w:val="none"/>
              </w:rPr>
              <w:t>45</w:t>
            </w:r>
          </w:p>
        </w:tc>
        <w:tc>
          <w:tcPr>
            <w:tcW w:w="3121" w:type="dxa"/>
            <w:noWrap w:val="0"/>
            <w:vAlign w:val="top"/>
          </w:tcPr>
          <w:p>
            <w:pPr>
              <w:pStyle w:val="11"/>
              <w:spacing w:before="71" w:line="217" w:lineRule="auto"/>
              <w:ind w:left="1326"/>
              <w:rPr>
                <w:color w:val="auto"/>
                <w:highlight w:val="none"/>
              </w:rPr>
            </w:pPr>
            <w:r>
              <w:rPr>
                <w:color w:val="auto"/>
                <w:spacing w:val="-5"/>
                <w:highlight w:val="none"/>
              </w:rPr>
              <w:t>地垫</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4" w:lineRule="auto"/>
              <w:ind w:left="331"/>
              <w:rPr>
                <w:color w:val="auto"/>
                <w:highlight w:val="none"/>
              </w:rPr>
            </w:pPr>
            <w:r>
              <w:rPr>
                <w:color w:val="auto"/>
                <w:spacing w:val="-14"/>
                <w:highlight w:val="none"/>
              </w:rPr>
              <w:t>15</w:t>
            </w:r>
          </w:p>
        </w:tc>
        <w:tc>
          <w:tcPr>
            <w:tcW w:w="3116" w:type="dxa"/>
            <w:noWrap w:val="0"/>
            <w:vAlign w:val="top"/>
          </w:tcPr>
          <w:p>
            <w:pPr>
              <w:pStyle w:val="11"/>
              <w:spacing w:before="71" w:line="217" w:lineRule="auto"/>
              <w:ind w:left="1093"/>
              <w:rPr>
                <w:color w:val="auto"/>
                <w:highlight w:val="none"/>
              </w:rPr>
            </w:pPr>
            <w:r>
              <w:rPr>
                <w:color w:val="auto"/>
                <w:spacing w:val="-5"/>
                <w:highlight w:val="none"/>
              </w:rPr>
              <w:t>吸水拖把</w:t>
            </w:r>
          </w:p>
        </w:tc>
        <w:tc>
          <w:tcPr>
            <w:tcW w:w="849" w:type="dxa"/>
            <w:noWrap w:val="0"/>
            <w:vAlign w:val="top"/>
          </w:tcPr>
          <w:p>
            <w:pPr>
              <w:pStyle w:val="11"/>
              <w:spacing w:before="110" w:line="183" w:lineRule="auto"/>
              <w:ind w:left="312"/>
              <w:rPr>
                <w:color w:val="auto"/>
                <w:highlight w:val="none"/>
              </w:rPr>
            </w:pPr>
            <w:r>
              <w:rPr>
                <w:color w:val="auto"/>
                <w:spacing w:val="-5"/>
                <w:highlight w:val="none"/>
              </w:rPr>
              <w:t>46</w:t>
            </w:r>
          </w:p>
        </w:tc>
        <w:tc>
          <w:tcPr>
            <w:tcW w:w="3121" w:type="dxa"/>
            <w:noWrap w:val="0"/>
            <w:vAlign w:val="top"/>
          </w:tcPr>
          <w:p>
            <w:pPr>
              <w:pStyle w:val="11"/>
              <w:spacing w:before="71" w:line="217" w:lineRule="auto"/>
              <w:ind w:left="981"/>
              <w:rPr>
                <w:color w:val="auto"/>
                <w:highlight w:val="none"/>
              </w:rPr>
            </w:pPr>
            <w:r>
              <w:rPr>
                <w:color w:val="auto"/>
                <w:spacing w:val="-5"/>
                <w:highlight w:val="none"/>
              </w:rPr>
              <w:t>防台风沙袋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9" w:line="184" w:lineRule="auto"/>
              <w:ind w:left="331"/>
              <w:rPr>
                <w:color w:val="auto"/>
                <w:highlight w:val="none"/>
              </w:rPr>
            </w:pPr>
            <w:r>
              <w:rPr>
                <w:color w:val="auto"/>
                <w:spacing w:val="-14"/>
                <w:highlight w:val="none"/>
              </w:rPr>
              <w:t>16</w:t>
            </w:r>
          </w:p>
        </w:tc>
        <w:tc>
          <w:tcPr>
            <w:tcW w:w="3116" w:type="dxa"/>
            <w:noWrap w:val="0"/>
            <w:vAlign w:val="top"/>
          </w:tcPr>
          <w:p>
            <w:pPr>
              <w:pStyle w:val="11"/>
              <w:spacing w:before="73" w:line="216" w:lineRule="auto"/>
              <w:ind w:left="1083"/>
              <w:rPr>
                <w:color w:val="auto"/>
                <w:highlight w:val="none"/>
              </w:rPr>
            </w:pPr>
            <w:r>
              <w:rPr>
                <w:color w:val="auto"/>
                <w:spacing w:val="-3"/>
                <w:highlight w:val="none"/>
              </w:rPr>
              <w:t>橡胶手套</w:t>
            </w:r>
          </w:p>
        </w:tc>
        <w:tc>
          <w:tcPr>
            <w:tcW w:w="849" w:type="dxa"/>
            <w:noWrap w:val="0"/>
            <w:vAlign w:val="top"/>
          </w:tcPr>
          <w:p>
            <w:pPr>
              <w:pStyle w:val="11"/>
              <w:spacing w:before="110" w:line="183" w:lineRule="auto"/>
              <w:ind w:left="312"/>
              <w:rPr>
                <w:color w:val="auto"/>
                <w:highlight w:val="none"/>
              </w:rPr>
            </w:pPr>
            <w:r>
              <w:rPr>
                <w:color w:val="auto"/>
                <w:spacing w:val="-5"/>
                <w:highlight w:val="none"/>
              </w:rPr>
              <w:t>47</w:t>
            </w:r>
          </w:p>
        </w:tc>
        <w:tc>
          <w:tcPr>
            <w:tcW w:w="3121" w:type="dxa"/>
            <w:noWrap w:val="0"/>
            <w:vAlign w:val="top"/>
          </w:tcPr>
          <w:p>
            <w:pPr>
              <w:pStyle w:val="11"/>
              <w:spacing w:before="73" w:line="216" w:lineRule="auto"/>
              <w:ind w:left="1205"/>
              <w:rPr>
                <w:color w:val="auto"/>
                <w:highlight w:val="none"/>
              </w:rPr>
            </w:pPr>
            <w:r>
              <w:rPr>
                <w:color w:val="auto"/>
                <w:spacing w:val="-3"/>
                <w:highlight w:val="none"/>
              </w:rPr>
              <w:t>洗洁精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7" w:line="184" w:lineRule="auto"/>
              <w:ind w:left="331"/>
              <w:rPr>
                <w:color w:val="auto"/>
                <w:highlight w:val="none"/>
              </w:rPr>
            </w:pPr>
            <w:r>
              <w:rPr>
                <w:color w:val="auto"/>
                <w:spacing w:val="-14"/>
                <w:highlight w:val="none"/>
              </w:rPr>
              <w:t>17</w:t>
            </w:r>
          </w:p>
        </w:tc>
        <w:tc>
          <w:tcPr>
            <w:tcW w:w="3116" w:type="dxa"/>
            <w:noWrap w:val="0"/>
            <w:vAlign w:val="top"/>
          </w:tcPr>
          <w:p>
            <w:pPr>
              <w:pStyle w:val="11"/>
              <w:spacing w:before="70" w:line="218" w:lineRule="auto"/>
              <w:ind w:left="1202"/>
              <w:rPr>
                <w:color w:val="auto"/>
                <w:highlight w:val="none"/>
              </w:rPr>
            </w:pPr>
            <w:r>
              <w:rPr>
                <w:color w:val="auto"/>
                <w:spacing w:val="-3"/>
                <w:highlight w:val="none"/>
              </w:rPr>
              <w:t>钢丝球</w:t>
            </w:r>
          </w:p>
        </w:tc>
        <w:tc>
          <w:tcPr>
            <w:tcW w:w="849" w:type="dxa"/>
            <w:noWrap w:val="0"/>
            <w:vAlign w:val="top"/>
          </w:tcPr>
          <w:p>
            <w:pPr>
              <w:pStyle w:val="11"/>
              <w:spacing w:before="108" w:line="183" w:lineRule="auto"/>
              <w:ind w:left="312"/>
              <w:rPr>
                <w:color w:val="auto"/>
                <w:highlight w:val="none"/>
              </w:rPr>
            </w:pPr>
            <w:r>
              <w:rPr>
                <w:color w:val="auto"/>
                <w:spacing w:val="-5"/>
                <w:highlight w:val="none"/>
              </w:rPr>
              <w:t>48</w:t>
            </w:r>
          </w:p>
        </w:tc>
        <w:tc>
          <w:tcPr>
            <w:tcW w:w="3121" w:type="dxa"/>
            <w:noWrap w:val="0"/>
            <w:vAlign w:val="top"/>
          </w:tcPr>
          <w:p>
            <w:pPr>
              <w:pStyle w:val="11"/>
              <w:spacing w:before="70" w:line="218" w:lineRule="auto"/>
              <w:ind w:left="1328"/>
              <w:rPr>
                <w:color w:val="auto"/>
                <w:highlight w:val="none"/>
              </w:rPr>
            </w:pPr>
            <w:r>
              <w:rPr>
                <w:color w:val="auto"/>
                <w:spacing w:val="-6"/>
                <w:highlight w:val="none"/>
              </w:rPr>
              <w:t>草耙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4" w:lineRule="auto"/>
              <w:ind w:left="331"/>
              <w:rPr>
                <w:color w:val="auto"/>
                <w:highlight w:val="none"/>
              </w:rPr>
            </w:pPr>
            <w:r>
              <w:rPr>
                <w:color w:val="auto"/>
                <w:spacing w:val="-14"/>
                <w:highlight w:val="none"/>
              </w:rPr>
              <w:t>18</w:t>
            </w:r>
          </w:p>
        </w:tc>
        <w:tc>
          <w:tcPr>
            <w:tcW w:w="3116" w:type="dxa"/>
            <w:noWrap w:val="0"/>
            <w:vAlign w:val="top"/>
          </w:tcPr>
          <w:p>
            <w:pPr>
              <w:pStyle w:val="11"/>
              <w:spacing w:before="71" w:line="217" w:lineRule="auto"/>
              <w:ind w:left="1323"/>
              <w:rPr>
                <w:color w:val="auto"/>
                <w:highlight w:val="none"/>
              </w:rPr>
            </w:pPr>
            <w:r>
              <w:rPr>
                <w:color w:val="auto"/>
                <w:spacing w:val="-5"/>
                <w:highlight w:val="none"/>
              </w:rPr>
              <w:t>檀香</w:t>
            </w:r>
          </w:p>
        </w:tc>
        <w:tc>
          <w:tcPr>
            <w:tcW w:w="849" w:type="dxa"/>
            <w:noWrap w:val="0"/>
            <w:vAlign w:val="top"/>
          </w:tcPr>
          <w:p>
            <w:pPr>
              <w:pStyle w:val="11"/>
              <w:spacing w:before="109" w:line="183" w:lineRule="auto"/>
              <w:ind w:left="312"/>
              <w:rPr>
                <w:color w:val="auto"/>
                <w:highlight w:val="none"/>
              </w:rPr>
            </w:pPr>
            <w:r>
              <w:rPr>
                <w:color w:val="auto"/>
                <w:spacing w:val="-5"/>
                <w:highlight w:val="none"/>
              </w:rPr>
              <w:t>49</w:t>
            </w:r>
          </w:p>
        </w:tc>
        <w:tc>
          <w:tcPr>
            <w:tcW w:w="3121" w:type="dxa"/>
            <w:noWrap w:val="0"/>
            <w:vAlign w:val="top"/>
          </w:tcPr>
          <w:p>
            <w:pPr>
              <w:pStyle w:val="11"/>
              <w:spacing w:before="71" w:line="217" w:lineRule="auto"/>
              <w:ind w:left="1205"/>
              <w:rPr>
                <w:color w:val="auto"/>
                <w:highlight w:val="none"/>
              </w:rPr>
            </w:pPr>
            <w:r>
              <w:rPr>
                <w:color w:val="auto"/>
                <w:spacing w:val="-3"/>
                <w:highlight w:val="none"/>
              </w:rPr>
              <w:t>胶水管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4" w:lineRule="auto"/>
              <w:ind w:left="331"/>
              <w:rPr>
                <w:color w:val="auto"/>
                <w:highlight w:val="none"/>
              </w:rPr>
            </w:pPr>
            <w:r>
              <w:rPr>
                <w:color w:val="auto"/>
                <w:spacing w:val="-14"/>
                <w:highlight w:val="none"/>
              </w:rPr>
              <w:t>19</w:t>
            </w:r>
          </w:p>
        </w:tc>
        <w:tc>
          <w:tcPr>
            <w:tcW w:w="3116" w:type="dxa"/>
            <w:noWrap w:val="0"/>
            <w:vAlign w:val="top"/>
          </w:tcPr>
          <w:p>
            <w:pPr>
              <w:pStyle w:val="11"/>
              <w:spacing w:before="71" w:line="217" w:lineRule="auto"/>
              <w:ind w:left="1204"/>
              <w:rPr>
                <w:color w:val="auto"/>
                <w:highlight w:val="none"/>
              </w:rPr>
            </w:pPr>
            <w:r>
              <w:rPr>
                <w:color w:val="auto"/>
                <w:spacing w:val="-4"/>
                <w:highlight w:val="none"/>
              </w:rPr>
              <w:t>樟脑丸</w:t>
            </w:r>
          </w:p>
        </w:tc>
        <w:tc>
          <w:tcPr>
            <w:tcW w:w="849" w:type="dxa"/>
            <w:noWrap w:val="0"/>
            <w:vAlign w:val="top"/>
          </w:tcPr>
          <w:p>
            <w:pPr>
              <w:pStyle w:val="11"/>
              <w:spacing w:before="110" w:line="183" w:lineRule="auto"/>
              <w:ind w:left="317"/>
              <w:rPr>
                <w:color w:val="auto"/>
                <w:highlight w:val="none"/>
              </w:rPr>
            </w:pPr>
            <w:r>
              <w:rPr>
                <w:color w:val="auto"/>
                <w:spacing w:val="-8"/>
                <w:highlight w:val="none"/>
              </w:rPr>
              <w:t>50</w:t>
            </w:r>
          </w:p>
        </w:tc>
        <w:tc>
          <w:tcPr>
            <w:tcW w:w="3121" w:type="dxa"/>
            <w:noWrap w:val="0"/>
            <w:vAlign w:val="top"/>
          </w:tcPr>
          <w:p>
            <w:pPr>
              <w:pStyle w:val="11"/>
              <w:spacing w:before="71" w:line="217" w:lineRule="auto"/>
              <w:ind w:left="1206"/>
              <w:rPr>
                <w:color w:val="auto"/>
                <w:highlight w:val="none"/>
              </w:rPr>
            </w:pPr>
            <w:r>
              <w:rPr>
                <w:color w:val="auto"/>
                <w:spacing w:val="-4"/>
                <w:highlight w:val="none"/>
              </w:rPr>
              <w:t>竹箩筐</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10" w:line="183" w:lineRule="auto"/>
              <w:ind w:left="316"/>
              <w:rPr>
                <w:color w:val="auto"/>
                <w:highlight w:val="none"/>
              </w:rPr>
            </w:pPr>
            <w:r>
              <w:rPr>
                <w:color w:val="auto"/>
                <w:spacing w:val="-7"/>
                <w:highlight w:val="none"/>
              </w:rPr>
              <w:t>20</w:t>
            </w:r>
          </w:p>
        </w:tc>
        <w:tc>
          <w:tcPr>
            <w:tcW w:w="3116" w:type="dxa"/>
            <w:noWrap w:val="0"/>
            <w:vAlign w:val="top"/>
          </w:tcPr>
          <w:p>
            <w:pPr>
              <w:pStyle w:val="11"/>
              <w:spacing w:before="73" w:line="216" w:lineRule="auto"/>
              <w:ind w:left="967"/>
              <w:rPr>
                <w:color w:val="auto"/>
                <w:highlight w:val="none"/>
              </w:rPr>
            </w:pPr>
            <w:r>
              <w:rPr>
                <w:color w:val="auto"/>
                <w:spacing w:val="-3"/>
                <w:highlight w:val="none"/>
              </w:rPr>
              <w:t>玻璃清洗剂</w:t>
            </w:r>
          </w:p>
        </w:tc>
        <w:tc>
          <w:tcPr>
            <w:tcW w:w="849" w:type="dxa"/>
            <w:noWrap w:val="0"/>
            <w:vAlign w:val="top"/>
          </w:tcPr>
          <w:p>
            <w:pPr>
              <w:pStyle w:val="11"/>
              <w:spacing w:before="109" w:line="184" w:lineRule="auto"/>
              <w:ind w:left="317"/>
              <w:rPr>
                <w:color w:val="auto"/>
                <w:highlight w:val="none"/>
              </w:rPr>
            </w:pPr>
            <w:r>
              <w:rPr>
                <w:color w:val="auto"/>
                <w:spacing w:val="-8"/>
                <w:highlight w:val="none"/>
              </w:rPr>
              <w:t>51</w:t>
            </w:r>
          </w:p>
        </w:tc>
        <w:tc>
          <w:tcPr>
            <w:tcW w:w="3121" w:type="dxa"/>
            <w:noWrap w:val="0"/>
            <w:vAlign w:val="top"/>
          </w:tcPr>
          <w:p>
            <w:pPr>
              <w:pStyle w:val="11"/>
              <w:spacing w:before="73" w:line="216" w:lineRule="auto"/>
              <w:ind w:left="610"/>
              <w:rPr>
                <w:color w:val="auto"/>
                <w:highlight w:val="none"/>
              </w:rPr>
            </w:pPr>
            <w:r>
              <w:rPr>
                <w:color w:val="auto"/>
                <w:spacing w:val="-2"/>
                <w:highlight w:val="none"/>
              </w:rPr>
              <w:t>打草用机油、汽油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7" w:line="184" w:lineRule="auto"/>
              <w:ind w:left="316"/>
              <w:rPr>
                <w:color w:val="auto"/>
                <w:highlight w:val="none"/>
              </w:rPr>
            </w:pPr>
            <w:r>
              <w:rPr>
                <w:color w:val="auto"/>
                <w:spacing w:val="-7"/>
                <w:highlight w:val="none"/>
              </w:rPr>
              <w:t>21</w:t>
            </w:r>
          </w:p>
        </w:tc>
        <w:tc>
          <w:tcPr>
            <w:tcW w:w="3116" w:type="dxa"/>
            <w:noWrap w:val="0"/>
            <w:vAlign w:val="top"/>
          </w:tcPr>
          <w:p>
            <w:pPr>
              <w:pStyle w:val="11"/>
              <w:spacing w:before="70" w:line="218" w:lineRule="auto"/>
              <w:ind w:left="965"/>
              <w:rPr>
                <w:color w:val="auto"/>
                <w:highlight w:val="none"/>
              </w:rPr>
            </w:pPr>
            <w:r>
              <w:rPr>
                <w:color w:val="auto"/>
                <w:spacing w:val="-3"/>
                <w:highlight w:val="none"/>
              </w:rPr>
              <w:t>酸性清洁剂</w:t>
            </w:r>
          </w:p>
        </w:tc>
        <w:tc>
          <w:tcPr>
            <w:tcW w:w="849" w:type="dxa"/>
            <w:noWrap w:val="0"/>
            <w:vAlign w:val="top"/>
          </w:tcPr>
          <w:p>
            <w:pPr>
              <w:pStyle w:val="11"/>
              <w:spacing w:before="108" w:line="183" w:lineRule="auto"/>
              <w:ind w:left="317"/>
              <w:rPr>
                <w:color w:val="auto"/>
                <w:highlight w:val="none"/>
              </w:rPr>
            </w:pPr>
            <w:r>
              <w:rPr>
                <w:color w:val="auto"/>
                <w:spacing w:val="-8"/>
                <w:highlight w:val="none"/>
              </w:rPr>
              <w:t>52</w:t>
            </w:r>
          </w:p>
        </w:tc>
        <w:tc>
          <w:tcPr>
            <w:tcW w:w="3121" w:type="dxa"/>
            <w:noWrap w:val="0"/>
            <w:vAlign w:val="top"/>
          </w:tcPr>
          <w:p>
            <w:pPr>
              <w:pStyle w:val="11"/>
              <w:spacing w:before="70" w:line="218" w:lineRule="auto"/>
              <w:ind w:left="1326"/>
              <w:rPr>
                <w:color w:val="auto"/>
                <w:highlight w:val="none"/>
              </w:rPr>
            </w:pPr>
            <w:r>
              <w:rPr>
                <w:color w:val="auto"/>
                <w:spacing w:val="-5"/>
                <w:highlight w:val="none"/>
              </w:rPr>
              <w:t>砍刀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9" w:line="183" w:lineRule="auto"/>
              <w:ind w:left="316"/>
              <w:rPr>
                <w:color w:val="auto"/>
                <w:highlight w:val="none"/>
              </w:rPr>
            </w:pPr>
            <w:r>
              <w:rPr>
                <w:color w:val="auto"/>
                <w:spacing w:val="-7"/>
                <w:highlight w:val="none"/>
              </w:rPr>
              <w:t>22</w:t>
            </w:r>
          </w:p>
        </w:tc>
        <w:tc>
          <w:tcPr>
            <w:tcW w:w="3116" w:type="dxa"/>
            <w:noWrap w:val="0"/>
            <w:vAlign w:val="top"/>
          </w:tcPr>
          <w:p>
            <w:pPr>
              <w:pStyle w:val="11"/>
              <w:spacing w:before="71" w:line="217" w:lineRule="auto"/>
              <w:ind w:left="727"/>
              <w:rPr>
                <w:color w:val="auto"/>
                <w:highlight w:val="none"/>
              </w:rPr>
            </w:pPr>
            <w:r>
              <w:rPr>
                <w:color w:val="auto"/>
                <w:spacing w:val="-2"/>
                <w:highlight w:val="none"/>
              </w:rPr>
              <w:t>洁厕灵（3.8L）</w:t>
            </w:r>
          </w:p>
        </w:tc>
        <w:tc>
          <w:tcPr>
            <w:tcW w:w="849" w:type="dxa"/>
            <w:noWrap w:val="0"/>
            <w:vAlign w:val="top"/>
          </w:tcPr>
          <w:p>
            <w:pPr>
              <w:pStyle w:val="11"/>
              <w:spacing w:before="109" w:line="183" w:lineRule="auto"/>
              <w:ind w:left="317"/>
              <w:rPr>
                <w:color w:val="auto"/>
                <w:highlight w:val="none"/>
              </w:rPr>
            </w:pPr>
            <w:r>
              <w:rPr>
                <w:color w:val="auto"/>
                <w:spacing w:val="-8"/>
                <w:highlight w:val="none"/>
              </w:rPr>
              <w:t>53</w:t>
            </w:r>
          </w:p>
        </w:tc>
        <w:tc>
          <w:tcPr>
            <w:tcW w:w="3121" w:type="dxa"/>
            <w:noWrap w:val="0"/>
            <w:vAlign w:val="top"/>
          </w:tcPr>
          <w:p>
            <w:pPr>
              <w:pStyle w:val="11"/>
              <w:spacing w:before="71" w:line="217" w:lineRule="auto"/>
              <w:ind w:left="1326"/>
              <w:rPr>
                <w:color w:val="auto"/>
                <w:highlight w:val="none"/>
              </w:rPr>
            </w:pPr>
            <w:r>
              <w:rPr>
                <w:color w:val="auto"/>
                <w:spacing w:val="-5"/>
                <w:highlight w:val="none"/>
              </w:rPr>
              <w:t>锄头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10" w:line="183" w:lineRule="auto"/>
              <w:ind w:left="316"/>
              <w:rPr>
                <w:color w:val="auto"/>
                <w:highlight w:val="none"/>
              </w:rPr>
            </w:pPr>
            <w:r>
              <w:rPr>
                <w:color w:val="auto"/>
                <w:spacing w:val="-7"/>
                <w:highlight w:val="none"/>
              </w:rPr>
              <w:t>23</w:t>
            </w:r>
          </w:p>
        </w:tc>
        <w:tc>
          <w:tcPr>
            <w:tcW w:w="3116" w:type="dxa"/>
            <w:noWrap w:val="0"/>
            <w:vAlign w:val="top"/>
          </w:tcPr>
          <w:p>
            <w:pPr>
              <w:pStyle w:val="11"/>
              <w:spacing w:before="71" w:line="217" w:lineRule="auto"/>
              <w:ind w:left="367"/>
              <w:rPr>
                <w:color w:val="auto"/>
                <w:highlight w:val="none"/>
              </w:rPr>
            </w:pPr>
            <w:r>
              <w:rPr>
                <w:color w:val="auto"/>
                <w:spacing w:val="-2"/>
                <w:highlight w:val="none"/>
              </w:rPr>
              <w:t>不锈钢光亮剂（3.8L）</w:t>
            </w:r>
          </w:p>
        </w:tc>
        <w:tc>
          <w:tcPr>
            <w:tcW w:w="849" w:type="dxa"/>
            <w:noWrap w:val="0"/>
            <w:vAlign w:val="top"/>
          </w:tcPr>
          <w:p>
            <w:pPr>
              <w:pStyle w:val="11"/>
              <w:spacing w:before="110" w:line="183" w:lineRule="auto"/>
              <w:ind w:left="317"/>
              <w:rPr>
                <w:color w:val="auto"/>
                <w:highlight w:val="none"/>
              </w:rPr>
            </w:pPr>
            <w:r>
              <w:rPr>
                <w:color w:val="auto"/>
                <w:spacing w:val="-8"/>
                <w:highlight w:val="none"/>
              </w:rPr>
              <w:t>54</w:t>
            </w:r>
          </w:p>
        </w:tc>
        <w:tc>
          <w:tcPr>
            <w:tcW w:w="3121" w:type="dxa"/>
            <w:noWrap w:val="0"/>
            <w:vAlign w:val="top"/>
          </w:tcPr>
          <w:p>
            <w:pPr>
              <w:pStyle w:val="11"/>
              <w:spacing w:before="71" w:line="217" w:lineRule="auto"/>
              <w:ind w:left="1325"/>
              <w:rPr>
                <w:color w:val="auto"/>
                <w:highlight w:val="none"/>
              </w:rPr>
            </w:pPr>
            <w:r>
              <w:rPr>
                <w:color w:val="auto"/>
                <w:spacing w:val="-5"/>
                <w:highlight w:val="none"/>
              </w:rPr>
              <w:t>铁铲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10" w:line="183" w:lineRule="auto"/>
              <w:ind w:left="316"/>
              <w:rPr>
                <w:color w:val="auto"/>
                <w:highlight w:val="none"/>
              </w:rPr>
            </w:pPr>
            <w:r>
              <w:rPr>
                <w:color w:val="auto"/>
                <w:spacing w:val="-7"/>
                <w:highlight w:val="none"/>
              </w:rPr>
              <w:t>24</w:t>
            </w:r>
          </w:p>
        </w:tc>
        <w:tc>
          <w:tcPr>
            <w:tcW w:w="3116" w:type="dxa"/>
            <w:noWrap w:val="0"/>
            <w:vAlign w:val="top"/>
          </w:tcPr>
          <w:p>
            <w:pPr>
              <w:pStyle w:val="11"/>
              <w:spacing w:before="73" w:line="216" w:lineRule="auto"/>
              <w:ind w:left="1053"/>
              <w:rPr>
                <w:color w:val="auto"/>
                <w:highlight w:val="none"/>
              </w:rPr>
            </w:pPr>
            <w:r>
              <w:rPr>
                <w:color w:val="auto"/>
                <w:spacing w:val="-5"/>
                <w:highlight w:val="none"/>
              </w:rPr>
              <w:t>84消毒液</w:t>
            </w:r>
          </w:p>
        </w:tc>
        <w:tc>
          <w:tcPr>
            <w:tcW w:w="849" w:type="dxa"/>
            <w:noWrap w:val="0"/>
            <w:vAlign w:val="top"/>
          </w:tcPr>
          <w:p>
            <w:pPr>
              <w:pStyle w:val="11"/>
              <w:spacing w:before="112" w:line="182" w:lineRule="auto"/>
              <w:ind w:left="317"/>
              <w:rPr>
                <w:color w:val="auto"/>
                <w:highlight w:val="none"/>
              </w:rPr>
            </w:pPr>
            <w:r>
              <w:rPr>
                <w:color w:val="auto"/>
                <w:spacing w:val="-8"/>
                <w:highlight w:val="none"/>
              </w:rPr>
              <w:t>55</w:t>
            </w:r>
          </w:p>
        </w:tc>
        <w:tc>
          <w:tcPr>
            <w:tcW w:w="3121" w:type="dxa"/>
            <w:noWrap w:val="0"/>
            <w:vAlign w:val="top"/>
          </w:tcPr>
          <w:p>
            <w:pPr>
              <w:pStyle w:val="11"/>
              <w:spacing w:before="73" w:line="216" w:lineRule="auto"/>
              <w:ind w:left="1092"/>
              <w:rPr>
                <w:color w:val="auto"/>
                <w:highlight w:val="none"/>
              </w:rPr>
            </w:pPr>
            <w:r>
              <w:rPr>
                <w:color w:val="auto"/>
                <w:spacing w:val="-4"/>
                <w:highlight w:val="none"/>
              </w:rPr>
              <w:t>高枝剪刀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3" w:lineRule="auto"/>
              <w:ind w:left="316"/>
              <w:rPr>
                <w:color w:val="auto"/>
                <w:highlight w:val="none"/>
              </w:rPr>
            </w:pPr>
            <w:r>
              <w:rPr>
                <w:color w:val="auto"/>
                <w:spacing w:val="-7"/>
                <w:highlight w:val="none"/>
              </w:rPr>
              <w:t>25</w:t>
            </w:r>
          </w:p>
        </w:tc>
        <w:tc>
          <w:tcPr>
            <w:tcW w:w="3116" w:type="dxa"/>
            <w:noWrap w:val="0"/>
            <w:vAlign w:val="top"/>
          </w:tcPr>
          <w:p>
            <w:pPr>
              <w:pStyle w:val="11"/>
              <w:spacing w:before="70" w:line="218" w:lineRule="auto"/>
              <w:ind w:left="367"/>
              <w:rPr>
                <w:color w:val="auto"/>
                <w:highlight w:val="none"/>
                <w:lang w:eastAsia="zh-CN"/>
              </w:rPr>
            </w:pPr>
            <w:r>
              <w:rPr>
                <w:color w:val="auto"/>
                <w:spacing w:val="-2"/>
                <w:highlight w:val="none"/>
                <w:lang w:eastAsia="zh-CN"/>
              </w:rPr>
              <w:t>大竹扫（外围保洁用）</w:t>
            </w:r>
          </w:p>
        </w:tc>
        <w:tc>
          <w:tcPr>
            <w:tcW w:w="849" w:type="dxa"/>
            <w:noWrap w:val="0"/>
            <w:vAlign w:val="top"/>
          </w:tcPr>
          <w:p>
            <w:pPr>
              <w:pStyle w:val="11"/>
              <w:spacing w:before="108" w:line="183" w:lineRule="auto"/>
              <w:ind w:left="317"/>
              <w:rPr>
                <w:color w:val="auto"/>
                <w:highlight w:val="none"/>
              </w:rPr>
            </w:pPr>
            <w:r>
              <w:rPr>
                <w:color w:val="auto"/>
                <w:spacing w:val="-8"/>
                <w:highlight w:val="none"/>
              </w:rPr>
              <w:t>56</w:t>
            </w:r>
          </w:p>
        </w:tc>
        <w:tc>
          <w:tcPr>
            <w:tcW w:w="3121" w:type="dxa"/>
            <w:noWrap w:val="0"/>
            <w:vAlign w:val="top"/>
          </w:tcPr>
          <w:p>
            <w:pPr>
              <w:pStyle w:val="11"/>
              <w:spacing w:before="70" w:line="218" w:lineRule="auto"/>
              <w:ind w:left="1207"/>
              <w:rPr>
                <w:color w:val="auto"/>
                <w:highlight w:val="none"/>
              </w:rPr>
            </w:pPr>
            <w:r>
              <w:rPr>
                <w:color w:val="auto"/>
                <w:spacing w:val="-4"/>
                <w:highlight w:val="none"/>
              </w:rPr>
              <w:t>剪花刀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9" w:line="183" w:lineRule="auto"/>
              <w:ind w:left="316"/>
              <w:rPr>
                <w:color w:val="auto"/>
                <w:highlight w:val="none"/>
              </w:rPr>
            </w:pPr>
            <w:r>
              <w:rPr>
                <w:color w:val="auto"/>
                <w:spacing w:val="-7"/>
                <w:highlight w:val="none"/>
              </w:rPr>
              <w:t>26</w:t>
            </w:r>
          </w:p>
        </w:tc>
        <w:tc>
          <w:tcPr>
            <w:tcW w:w="3116" w:type="dxa"/>
            <w:noWrap w:val="0"/>
            <w:vAlign w:val="top"/>
          </w:tcPr>
          <w:p>
            <w:pPr>
              <w:pStyle w:val="11"/>
              <w:spacing w:before="71" w:line="217" w:lineRule="auto"/>
              <w:ind w:left="484"/>
              <w:rPr>
                <w:color w:val="auto"/>
                <w:highlight w:val="none"/>
              </w:rPr>
            </w:pPr>
            <w:r>
              <w:rPr>
                <w:color w:val="auto"/>
                <w:spacing w:val="-1"/>
                <w:highlight w:val="none"/>
              </w:rPr>
              <w:t>地面除尘液（3.8L）</w:t>
            </w:r>
          </w:p>
        </w:tc>
        <w:tc>
          <w:tcPr>
            <w:tcW w:w="849" w:type="dxa"/>
            <w:noWrap w:val="0"/>
            <w:vAlign w:val="top"/>
          </w:tcPr>
          <w:p>
            <w:pPr>
              <w:pStyle w:val="11"/>
              <w:spacing w:before="110" w:line="182" w:lineRule="auto"/>
              <w:ind w:left="317"/>
              <w:rPr>
                <w:color w:val="auto"/>
                <w:highlight w:val="none"/>
              </w:rPr>
            </w:pPr>
            <w:r>
              <w:rPr>
                <w:color w:val="auto"/>
                <w:spacing w:val="-8"/>
                <w:highlight w:val="none"/>
              </w:rPr>
              <w:t>57</w:t>
            </w:r>
          </w:p>
        </w:tc>
        <w:tc>
          <w:tcPr>
            <w:tcW w:w="3121" w:type="dxa"/>
            <w:noWrap w:val="0"/>
            <w:vAlign w:val="top"/>
          </w:tcPr>
          <w:p>
            <w:pPr>
              <w:pStyle w:val="11"/>
              <w:spacing w:before="71" w:line="217" w:lineRule="auto"/>
              <w:ind w:left="1213"/>
              <w:rPr>
                <w:color w:val="auto"/>
                <w:highlight w:val="none"/>
              </w:rPr>
            </w:pPr>
            <w:r>
              <w:rPr>
                <w:color w:val="auto"/>
                <w:spacing w:val="-6"/>
                <w:highlight w:val="none"/>
              </w:rPr>
              <w:t>马桶刷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10" w:line="183" w:lineRule="auto"/>
              <w:ind w:left="316"/>
              <w:rPr>
                <w:color w:val="auto"/>
                <w:highlight w:val="none"/>
              </w:rPr>
            </w:pPr>
            <w:r>
              <w:rPr>
                <w:color w:val="auto"/>
                <w:spacing w:val="-7"/>
                <w:highlight w:val="none"/>
              </w:rPr>
              <w:t>27</w:t>
            </w:r>
          </w:p>
        </w:tc>
        <w:tc>
          <w:tcPr>
            <w:tcW w:w="3116" w:type="dxa"/>
            <w:noWrap w:val="0"/>
            <w:vAlign w:val="top"/>
          </w:tcPr>
          <w:p>
            <w:pPr>
              <w:pStyle w:val="11"/>
              <w:spacing w:before="71" w:line="217" w:lineRule="auto"/>
              <w:ind w:left="485"/>
              <w:rPr>
                <w:color w:val="auto"/>
                <w:highlight w:val="none"/>
              </w:rPr>
            </w:pPr>
            <w:r>
              <w:rPr>
                <w:color w:val="auto"/>
                <w:spacing w:val="-1"/>
                <w:highlight w:val="none"/>
              </w:rPr>
              <w:t>静电吸尘剂（3.8L）</w:t>
            </w:r>
          </w:p>
        </w:tc>
        <w:tc>
          <w:tcPr>
            <w:tcW w:w="849" w:type="dxa"/>
            <w:noWrap w:val="0"/>
            <w:vAlign w:val="top"/>
          </w:tcPr>
          <w:p>
            <w:pPr>
              <w:pStyle w:val="11"/>
              <w:spacing w:before="110" w:line="183" w:lineRule="auto"/>
              <w:ind w:left="317"/>
              <w:rPr>
                <w:color w:val="auto"/>
                <w:highlight w:val="none"/>
              </w:rPr>
            </w:pPr>
            <w:r>
              <w:rPr>
                <w:color w:val="auto"/>
                <w:spacing w:val="-8"/>
                <w:highlight w:val="none"/>
              </w:rPr>
              <w:t>58</w:t>
            </w:r>
          </w:p>
        </w:tc>
        <w:tc>
          <w:tcPr>
            <w:tcW w:w="3121" w:type="dxa"/>
            <w:noWrap w:val="0"/>
            <w:vAlign w:val="top"/>
          </w:tcPr>
          <w:p>
            <w:pPr>
              <w:pStyle w:val="11"/>
              <w:spacing w:before="71" w:line="217" w:lineRule="auto"/>
              <w:ind w:left="1328"/>
              <w:rPr>
                <w:color w:val="auto"/>
                <w:highlight w:val="none"/>
              </w:rPr>
            </w:pPr>
            <w:r>
              <w:rPr>
                <w:color w:val="auto"/>
                <w:spacing w:val="-6"/>
                <w:highlight w:val="none"/>
              </w:rPr>
              <w:t>火碱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10" w:line="183" w:lineRule="auto"/>
              <w:ind w:left="316"/>
              <w:rPr>
                <w:color w:val="auto"/>
                <w:highlight w:val="none"/>
              </w:rPr>
            </w:pPr>
            <w:r>
              <w:rPr>
                <w:color w:val="auto"/>
                <w:spacing w:val="-7"/>
                <w:highlight w:val="none"/>
              </w:rPr>
              <w:t>28</w:t>
            </w:r>
          </w:p>
        </w:tc>
        <w:tc>
          <w:tcPr>
            <w:tcW w:w="3116" w:type="dxa"/>
            <w:noWrap w:val="0"/>
            <w:vAlign w:val="top"/>
          </w:tcPr>
          <w:p>
            <w:pPr>
              <w:pStyle w:val="11"/>
              <w:spacing w:before="73" w:line="216" w:lineRule="auto"/>
              <w:ind w:left="1087"/>
              <w:rPr>
                <w:color w:val="auto"/>
                <w:highlight w:val="none"/>
              </w:rPr>
            </w:pPr>
            <w:r>
              <w:rPr>
                <w:rFonts w:hint="eastAsia"/>
                <w:color w:val="auto"/>
                <w:spacing w:val="-4"/>
                <w:highlight w:val="none"/>
                <w:lang w:eastAsia="zh-CN"/>
              </w:rPr>
              <w:t>棉</w:t>
            </w:r>
            <w:r>
              <w:rPr>
                <w:color w:val="auto"/>
                <w:spacing w:val="-4"/>
                <w:highlight w:val="none"/>
              </w:rPr>
              <w:t>线手套</w:t>
            </w:r>
          </w:p>
        </w:tc>
        <w:tc>
          <w:tcPr>
            <w:tcW w:w="849" w:type="dxa"/>
            <w:noWrap w:val="0"/>
            <w:vAlign w:val="top"/>
          </w:tcPr>
          <w:p>
            <w:pPr>
              <w:pStyle w:val="11"/>
              <w:spacing w:before="110" w:line="183" w:lineRule="auto"/>
              <w:ind w:left="317"/>
              <w:rPr>
                <w:color w:val="auto"/>
                <w:highlight w:val="none"/>
              </w:rPr>
            </w:pPr>
            <w:r>
              <w:rPr>
                <w:color w:val="auto"/>
                <w:spacing w:val="-8"/>
                <w:highlight w:val="none"/>
              </w:rPr>
              <w:t>59</w:t>
            </w:r>
          </w:p>
        </w:tc>
        <w:tc>
          <w:tcPr>
            <w:tcW w:w="3121" w:type="dxa"/>
            <w:noWrap w:val="0"/>
            <w:vAlign w:val="top"/>
          </w:tcPr>
          <w:p>
            <w:pPr>
              <w:pStyle w:val="11"/>
              <w:spacing w:before="73" w:line="216" w:lineRule="auto"/>
              <w:ind w:left="1327"/>
              <w:rPr>
                <w:color w:val="auto"/>
                <w:highlight w:val="none"/>
              </w:rPr>
            </w:pPr>
            <w:r>
              <w:rPr>
                <w:color w:val="auto"/>
                <w:spacing w:val="-6"/>
                <w:highlight w:val="none"/>
              </w:rPr>
              <w:t>牙签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8" w:line="183" w:lineRule="auto"/>
              <w:ind w:left="316"/>
              <w:rPr>
                <w:color w:val="auto"/>
                <w:highlight w:val="none"/>
              </w:rPr>
            </w:pPr>
            <w:r>
              <w:rPr>
                <w:color w:val="auto"/>
                <w:spacing w:val="-7"/>
                <w:highlight w:val="none"/>
              </w:rPr>
              <w:t>29</w:t>
            </w:r>
          </w:p>
        </w:tc>
        <w:tc>
          <w:tcPr>
            <w:tcW w:w="3116" w:type="dxa"/>
            <w:noWrap w:val="0"/>
            <w:vAlign w:val="top"/>
          </w:tcPr>
          <w:p>
            <w:pPr>
              <w:pStyle w:val="11"/>
              <w:spacing w:before="70" w:line="218" w:lineRule="auto"/>
              <w:ind w:left="1323"/>
              <w:rPr>
                <w:color w:val="auto"/>
                <w:highlight w:val="none"/>
              </w:rPr>
            </w:pPr>
            <w:r>
              <w:rPr>
                <w:color w:val="auto"/>
                <w:spacing w:val="-5"/>
                <w:highlight w:val="none"/>
              </w:rPr>
              <w:t>抽纸</w:t>
            </w:r>
          </w:p>
        </w:tc>
        <w:tc>
          <w:tcPr>
            <w:tcW w:w="849" w:type="dxa"/>
            <w:noWrap w:val="0"/>
            <w:vAlign w:val="top"/>
          </w:tcPr>
          <w:p>
            <w:pPr>
              <w:pStyle w:val="11"/>
              <w:spacing w:before="108" w:line="183" w:lineRule="auto"/>
              <w:ind w:left="314"/>
              <w:rPr>
                <w:color w:val="auto"/>
                <w:highlight w:val="none"/>
              </w:rPr>
            </w:pPr>
            <w:r>
              <w:rPr>
                <w:color w:val="auto"/>
                <w:spacing w:val="-6"/>
                <w:highlight w:val="none"/>
              </w:rPr>
              <w:t>60</w:t>
            </w:r>
          </w:p>
        </w:tc>
        <w:tc>
          <w:tcPr>
            <w:tcW w:w="3121" w:type="dxa"/>
            <w:noWrap w:val="0"/>
            <w:vAlign w:val="top"/>
          </w:tcPr>
          <w:p>
            <w:pPr>
              <w:pStyle w:val="11"/>
              <w:spacing w:before="70" w:line="218" w:lineRule="auto"/>
              <w:ind w:left="741"/>
              <w:rPr>
                <w:color w:val="auto"/>
                <w:highlight w:val="none"/>
              </w:rPr>
            </w:pPr>
            <w:r>
              <w:rPr>
                <w:color w:val="auto"/>
                <w:spacing w:val="-4"/>
                <w:highlight w:val="none"/>
              </w:rPr>
              <w:t>防爆器材八件套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854" w:type="dxa"/>
            <w:noWrap w:val="0"/>
            <w:vAlign w:val="top"/>
          </w:tcPr>
          <w:p>
            <w:pPr>
              <w:pStyle w:val="11"/>
              <w:spacing w:before="109" w:line="183" w:lineRule="auto"/>
              <w:ind w:left="318"/>
              <w:rPr>
                <w:color w:val="auto"/>
                <w:highlight w:val="none"/>
              </w:rPr>
            </w:pPr>
            <w:r>
              <w:rPr>
                <w:color w:val="auto"/>
                <w:spacing w:val="-8"/>
                <w:highlight w:val="none"/>
              </w:rPr>
              <w:t>30</w:t>
            </w:r>
          </w:p>
        </w:tc>
        <w:tc>
          <w:tcPr>
            <w:tcW w:w="3116" w:type="dxa"/>
            <w:noWrap w:val="0"/>
            <w:vAlign w:val="top"/>
          </w:tcPr>
          <w:p>
            <w:pPr>
              <w:pStyle w:val="11"/>
              <w:spacing w:before="71" w:line="217" w:lineRule="auto"/>
              <w:ind w:left="1326"/>
              <w:rPr>
                <w:color w:val="auto"/>
                <w:highlight w:val="none"/>
              </w:rPr>
            </w:pPr>
            <w:r>
              <w:rPr>
                <w:color w:val="auto"/>
                <w:spacing w:val="-6"/>
                <w:highlight w:val="none"/>
              </w:rPr>
              <w:t>卷纸</w:t>
            </w:r>
          </w:p>
        </w:tc>
        <w:tc>
          <w:tcPr>
            <w:tcW w:w="849" w:type="dxa"/>
            <w:noWrap w:val="0"/>
            <w:vAlign w:val="top"/>
          </w:tcPr>
          <w:p>
            <w:pPr>
              <w:pStyle w:val="11"/>
              <w:spacing w:before="108" w:line="184" w:lineRule="auto"/>
              <w:ind w:left="314"/>
              <w:rPr>
                <w:color w:val="auto"/>
                <w:highlight w:val="none"/>
              </w:rPr>
            </w:pPr>
            <w:r>
              <w:rPr>
                <w:color w:val="auto"/>
                <w:spacing w:val="-6"/>
                <w:highlight w:val="none"/>
              </w:rPr>
              <w:t>61</w:t>
            </w:r>
          </w:p>
        </w:tc>
        <w:tc>
          <w:tcPr>
            <w:tcW w:w="3121" w:type="dxa"/>
            <w:noWrap w:val="0"/>
            <w:vAlign w:val="top"/>
          </w:tcPr>
          <w:p>
            <w:pPr>
              <w:pStyle w:val="11"/>
              <w:spacing w:before="71" w:line="217" w:lineRule="auto"/>
              <w:ind w:left="847"/>
              <w:rPr>
                <w:color w:val="auto"/>
                <w:highlight w:val="none"/>
              </w:rPr>
            </w:pPr>
            <w:r>
              <w:rPr>
                <w:rFonts w:hint="eastAsia"/>
                <w:color w:val="auto"/>
                <w:spacing w:val="-2"/>
                <w:highlight w:val="none"/>
                <w:lang w:eastAsia="zh-CN"/>
              </w:rPr>
              <w:t>其他</w:t>
            </w:r>
            <w:r>
              <w:rPr>
                <w:color w:val="auto"/>
                <w:spacing w:val="-2"/>
                <w:highlight w:val="none"/>
              </w:rPr>
              <w:t>消耗品等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8" w:hRule="atLeast"/>
        </w:trPr>
        <w:tc>
          <w:tcPr>
            <w:tcW w:w="854" w:type="dxa"/>
            <w:noWrap w:val="0"/>
            <w:vAlign w:val="top"/>
          </w:tcPr>
          <w:p>
            <w:pPr>
              <w:pStyle w:val="11"/>
              <w:spacing w:before="108" w:line="184" w:lineRule="auto"/>
              <w:ind w:left="318"/>
              <w:rPr>
                <w:color w:val="auto"/>
                <w:highlight w:val="none"/>
              </w:rPr>
            </w:pPr>
            <w:r>
              <w:rPr>
                <w:color w:val="auto"/>
                <w:spacing w:val="-8"/>
                <w:highlight w:val="none"/>
              </w:rPr>
              <w:t>31</w:t>
            </w:r>
          </w:p>
        </w:tc>
        <w:tc>
          <w:tcPr>
            <w:tcW w:w="3116" w:type="dxa"/>
            <w:noWrap w:val="0"/>
            <w:vAlign w:val="top"/>
          </w:tcPr>
          <w:p>
            <w:pPr>
              <w:pStyle w:val="11"/>
              <w:spacing w:before="72" w:line="220" w:lineRule="auto"/>
              <w:ind w:left="1203"/>
              <w:rPr>
                <w:color w:val="auto"/>
                <w:highlight w:val="none"/>
              </w:rPr>
            </w:pPr>
            <w:r>
              <w:rPr>
                <w:color w:val="auto"/>
                <w:spacing w:val="-3"/>
                <w:highlight w:val="none"/>
              </w:rPr>
              <w:t>洗手液</w:t>
            </w:r>
          </w:p>
        </w:tc>
        <w:tc>
          <w:tcPr>
            <w:tcW w:w="849" w:type="dxa"/>
            <w:noWrap w:val="0"/>
            <w:vAlign w:val="top"/>
          </w:tcPr>
          <w:p>
            <w:pPr>
              <w:pStyle w:val="11"/>
              <w:spacing w:before="110" w:line="183" w:lineRule="auto"/>
              <w:ind w:left="314"/>
              <w:rPr>
                <w:color w:val="auto"/>
                <w:highlight w:val="none"/>
              </w:rPr>
            </w:pPr>
            <w:r>
              <w:rPr>
                <w:color w:val="auto"/>
                <w:spacing w:val="-6"/>
                <w:highlight w:val="none"/>
              </w:rPr>
              <w:t>62</w:t>
            </w:r>
          </w:p>
        </w:tc>
        <w:tc>
          <w:tcPr>
            <w:tcW w:w="3121" w:type="dxa"/>
            <w:noWrap w:val="0"/>
            <w:vAlign w:val="top"/>
          </w:tcPr>
          <w:p>
            <w:pPr>
              <w:rPr>
                <w:color w:val="auto"/>
                <w:highlight w:val="none"/>
              </w:rPr>
            </w:pPr>
          </w:p>
        </w:tc>
      </w:tr>
    </w:tbl>
    <w:p>
      <w:pPr>
        <w:widowControl w:val="0"/>
        <w:kinsoku/>
        <w:spacing w:line="540" w:lineRule="exact"/>
        <w:jc w:val="both"/>
        <w:textAlignment w:val="auto"/>
        <w:rPr>
          <w:rFonts w:ascii="仿宋" w:hAnsi="仿宋" w:eastAsia="仿宋" w:cs="仿宋"/>
          <w:snapToGrid/>
          <w:color w:val="auto"/>
          <w:kern w:val="2"/>
          <w:sz w:val="30"/>
          <w:szCs w:val="30"/>
          <w:highlight w:val="none"/>
          <w:lang w:eastAsia="zh-CN"/>
        </w:rPr>
      </w:pPr>
    </w:p>
    <w:p>
      <w:pPr>
        <w:pStyle w:val="12"/>
        <w:shd w:val="clear" w:color="auto" w:fill="auto"/>
        <w:spacing w:before="0" w:line="240" w:lineRule="auto"/>
        <w:ind w:right="700"/>
        <w:jc w:val="both"/>
        <w:rPr>
          <w:rFonts w:hint="eastAsia" w:eastAsia="宋体"/>
          <w:color w:val="auto"/>
          <w:highlight w:val="none"/>
          <w:lang w:eastAsia="zh-CN"/>
        </w:rPr>
      </w:pPr>
    </w:p>
    <w:p/>
    <w:sectPr>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Times New Roman" w:hAnsi="Times New Roman" w:cs="Times New Roman"/>
        <w:sz w:val="32"/>
        <w:szCs w:val="32"/>
      </w:rPr>
    </w:pPr>
    <w:r>
      <w:rPr>
        <w:sz w:val="3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Zaoo7bIB&#10;AABZAwAADgAAAAAAAAABACAAAAAeAQAAZHJzL2Uyb0RvYy54bWxQSwUGAAAAAAYABgBZAQAAQgUA&#10;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p>
    <w:pPr>
      <w:spacing w:line="180" w:lineRule="auto"/>
      <w:ind w:left="4336"/>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fldChar w:fldCharType="begin"/>
                          </w:r>
                          <w:r>
                            <w:instrText xml:space="preserve"> PAGE  \* MERGEFORMAT </w:instrText>
                          </w:r>
                          <w:r>
                            <w:fldChar w:fldCharType="separate"/>
                          </w:r>
                          <w:r>
                            <w:t>16</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lqd70rIB&#10;AABZAwAADgAAAAAAAAABACAAAAAeAQAAZHJzL2Uyb0RvYy54bWxQSwUGAAAAAAYABgBZAQAAQgUA&#10;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fldChar w:fldCharType="begin"/>
                          </w:r>
                          <w:r>
                            <w:instrText xml:space="preserve"> PAGE  \* MERGEFORMAT </w:instrText>
                          </w:r>
                          <w:r>
                            <w:fldChar w:fldCharType="separate"/>
                          </w:r>
                          <w:r>
                            <w:t>44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EYQVhSwAQAA&#10;WQMAAA4AAAAAAAAAAQAgAAAAHgEAAGRycy9lMm9Eb2MueG1sUEsFBgAAAAAGAAYAWQEAAEAFAAAA&#10;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44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72C4F"/>
    <w:rsid w:val="3A4276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Style w:val="8"/>
      <w:tblLayout w:type="fixed"/>
      <w:tblCellMar>
        <w:top w:w="0" w:type="dxa"/>
        <w:left w:w="108" w:type="dxa"/>
        <w:bottom w:w="0" w:type="dxa"/>
        <w:right w:w="108" w:type="dxa"/>
      </w:tblCellMar>
    </w:tblPr>
  </w:style>
  <w:style w:type="paragraph" w:styleId="2">
    <w:name w:val="Plain Text"/>
    <w:basedOn w:val="1"/>
    <w:next w:val="3"/>
    <w:qFormat/>
    <w:uiPriority w:val="0"/>
    <w:rPr>
      <w:rFonts w:ascii="宋体" w:hAnsi="Courier New" w:eastAsia="宋体" w:cs="Times New Roman"/>
      <w:szCs w:val="20"/>
    </w:rPr>
  </w:style>
  <w:style w:type="paragraph" w:customStyle="1" w:styleId="3">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4">
    <w:name w:val="Normal Indent"/>
    <w:basedOn w:val="1"/>
    <w:next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5">
    <w:name w:val="Body Text"/>
    <w:basedOn w:val="1"/>
    <w:semiHidden/>
    <w:qFormat/>
    <w:uiPriority w:val="0"/>
    <w:rPr>
      <w:rFonts w:ascii="宋体" w:hAnsi="宋体" w:eastAsia="宋体" w:cs="宋体"/>
      <w:sz w:val="28"/>
      <w:szCs w:val="28"/>
      <w:lang w:val="en-US" w:eastAsia="en-US" w:bidi="ar-SA"/>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Autospacing="1" w:afterAutospacing="1"/>
      <w:jc w:val="left"/>
    </w:pPr>
    <w:rPr>
      <w:rFonts w:hint="eastAsia" w:ascii="宋体" w:hAnsi="宋体" w:eastAsia="宋体" w:cs="Times New Roman"/>
      <w:kern w:val="0"/>
      <w:sz w:val="24"/>
    </w:rPr>
  </w:style>
  <w:style w:type="table" w:styleId="9">
    <w:name w:val="Table Grid"/>
    <w:basedOn w:val="8"/>
    <w:unhideWhenUsed/>
    <w:qFormat/>
    <w:uiPriority w:val="99"/>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Table Text"/>
    <w:basedOn w:val="1"/>
    <w:semiHidden/>
    <w:qFormat/>
    <w:uiPriority w:val="0"/>
    <w:rPr>
      <w:rFonts w:ascii="仿宋" w:hAnsi="仿宋" w:eastAsia="仿宋" w:cs="仿宋"/>
      <w:sz w:val="28"/>
      <w:szCs w:val="28"/>
      <w:lang w:val="en-US" w:eastAsia="en-US" w:bidi="ar-SA"/>
    </w:rPr>
  </w:style>
  <w:style w:type="paragraph" w:customStyle="1" w:styleId="12">
    <w:name w:val="MSG_EN_FONT_STYLE_NAME_TEMPLATE_ROLE MSG_EN_FONT_STYLE_NAME_BY_ROLE_TEXT"/>
    <w:basedOn w:val="1"/>
    <w:qFormat/>
    <w:uiPriority w:val="0"/>
    <w:pPr>
      <w:shd w:val="clear" w:color="auto" w:fill="FFFFFF"/>
      <w:spacing w:before="480" w:line="278" w:lineRule="exact"/>
      <w:jc w:val="left"/>
    </w:pPr>
    <w:rPr>
      <w:rFonts w:ascii="宋体" w:hAnsi="Times New Roman" w:eastAsia="宋体" w:cs="宋体"/>
      <w:kern w:val="0"/>
      <w:sz w:val="19"/>
      <w:szCs w:val="19"/>
    </w:rPr>
  </w:style>
  <w:style w:type="table" w:customStyle="1" w:styleId="13">
    <w:name w:val="Table Normal"/>
    <w:unhideWhenUsed/>
    <w:qFormat/>
    <w:uiPriority w:val="0"/>
    <w:tblPr>
      <w:tblStyle w:val="8"/>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2025-06-03T04:46:14Z</dcterms:created>
  <dc:creator>lenovo</dc:creator>
  <cp:lastModifiedBy>lenovo</cp:lastModifiedBy>
  <dcterms:modified xsi:type="dcterms:W3CDTF">2025-06-03T04:47:53Z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