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中央民族大学附属中学三亚学校校舍维修改造项目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[HNZX]20250600005[CS]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海南政欣工程管理服务有限公司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的委托， </w:t>
      </w:r>
      <w:r>
        <w:rPr>
          <w:rFonts w:ascii="仿宋_GB2312" w:hAnsi="仿宋_GB2312" w:cs="仿宋_GB2312" w:eastAsia="仿宋_GB2312"/>
        </w:rPr>
        <w:t>海南政欣工程管理服务有限公司</w:t>
      </w:r>
      <w:r>
        <w:rPr>
          <w:rFonts w:ascii="仿宋_GB2312" w:hAnsi="仿宋_GB2312" w:cs="仿宋_GB2312" w:eastAsia="仿宋_GB2312"/>
        </w:rPr>
        <w:t xml:space="preserve"> 对 </w:t>
      </w:r>
      <w:r>
        <w:rPr>
          <w:rFonts w:ascii="仿宋_GB2312" w:hAnsi="仿宋_GB2312" w:cs="仿宋_GB2312" w:eastAsia="仿宋_GB2312"/>
        </w:rPr>
        <w:t>中央民族大学附属中学三亚学校校舍维修改造项目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[HNZX]20250600005[CS]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中央民族大学附属中学三亚学校校舍维修改造项目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3,260,410.84元</w:t>
      </w:r>
      <w:r>
        <w:rPr>
          <w:rFonts w:ascii="仿宋_GB2312" w:hAnsi="仿宋_GB2312" w:cs="仿宋_GB2312" w:eastAsia="仿宋_GB2312"/>
        </w:rPr>
        <w:t>叁佰贰拾陆万零肆佰壹拾元零捌角肆分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1、供应商资质要求：供应商具备有效的安全生产许可证，具备建筑工程施工总承包叁级（含）或以上级资质或根据《住房和城乡建设部关于印发建设工程企业资质管理制度改革方案的通知（建市〔2020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无在建承诺函，格式自拟和2025年任意一个月社保凭证复印件加盖公章）</w:t>
      </w:r>
    </w:p>
    <w:p>
      <w:pPr>
        <w:pStyle w:val="null3"/>
        <w:jc w:val="left"/>
      </w:pPr>
      <w:r>
        <w:rPr>
          <w:rFonts w:ascii="仿宋_GB2312" w:hAnsi="仿宋_GB2312" w:cs="仿宋_GB2312" w:eastAsia="仿宋_GB2312"/>
        </w:rPr>
        <w:t>2、参加政府采购活动前三年内，在经营活动中没有环保类行政处罚记录：提供参加政府采购活动前三年内，在经营活动中没有环保类行政处罚记录的承诺函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单位负责人为同一人或者存在直接控股、管理关系的不同供应商，不得参加同一合同项下的政府采购活动的承诺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行留存，涉及“加盖公章”的内容应使用单位电子公章完成。开启时，供应商应当使用数字证书在解密时限内完成全部已响应采购包的响应文件在线解密，若出现系统异常情况，工作人员可适当延长解密时长。不接受备用标书导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海南政欣工程管理服务有限公司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吉阳区汇丰国际11栋503室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林南英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15692502456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采购包1：3,260,410.84元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计取，金税金额共计人民币(大写)壹万玖仟捌佰元整(¥19800.00)。该费用包含招标过程中产生的全部费用。当发生流标或废标时，由乙方自行承担招标过程中的所有损失，甲方无须向其支付任何费用。甲方应在乙方完成招标任务，且收到乙方开具的发票后按照财政审批流程向乙方支付代理服务费的80%，即人民币壹万伍仟捌佰肆拾元整(¥15840.00)。剩余20%的款项待“中央民族大学附属中学三亚学校校舍维修改造项目"结算审核后，甲方收到乙方发票后，按照财政审批流程付款。</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 发挥政府采购的政策功能，促进中小企业健康发展。本项目为专门面向中小企业采 购 的采购项目，供应商应为中小微企业、监狱企业、残疾人福利性单位。不再执行价 格 评审优惠的扶持政策。 2、根据国家统计局关于印发《统计上大中小微型企业划分 办法（2017）》 的通知，本项目所属行业： 建筑业。 3、各投标供应商的相关证 明材 料必须在响应文件内提供加盖公章扫描件； 4、响应文件中所附的有关证明、证 书、 证件等材料均为真实有效的，采购人在开标结束后有权对投标提交的证明、证书 、证 件等原件材料进行核实。经核实若虚假材料的，若为成交供应商的还将取消其成 交资格，若已签订合同则取消合同并同时上报主管部门进行处罚。 5、本项目采用远 程不见面方式（供应商无需到现场）。 供应商使用“投标客户端”编制、签章、生成 加密响 应文件，同时生成（同一版的备用响应文件），供应商自行留存，涉及“加盖 公章”的内容应使用单位电子公章完成。 开启时，供应商应当使用数字证书在解密时 限内完成全部已响应采购包的响应文件在线解密，若出现系统异常情况，工作人员可 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联系人：林南英</w:t>
      </w:r>
    </w:p>
    <w:p>
      <w:pPr>
        <w:pStyle w:val="null3"/>
        <w:jc w:val="left"/>
      </w:pPr>
      <w:r>
        <w:rPr>
          <w:rFonts w:ascii="仿宋_GB2312" w:hAnsi="仿宋_GB2312" w:cs="仿宋_GB2312" w:eastAsia="仿宋_GB2312"/>
        </w:rPr>
        <w:t>联系电话：15692502456</w:t>
      </w:r>
    </w:p>
    <w:p>
      <w:pPr>
        <w:pStyle w:val="null3"/>
        <w:jc w:val="left"/>
      </w:pPr>
      <w:r>
        <w:rPr>
          <w:rFonts w:ascii="仿宋_GB2312" w:hAnsi="仿宋_GB2312" w:cs="仿宋_GB2312" w:eastAsia="仿宋_GB2312"/>
        </w:rPr>
        <w:t>地址：海南省三亚市吉阳区汇丰国际11栋503室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建设内容</w:t>
      </w:r>
      <w:r>
        <w:rPr>
          <w:rFonts w:ascii="仿宋_GB2312" w:hAnsi="仿宋_GB2312" w:cs="仿宋_GB2312" w:eastAsia="仿宋_GB2312"/>
          <w:sz w:val="32"/>
          <w:u w:val="single"/>
        </w:rPr>
        <w:t>为走廊栏杆改造，卫生间改造，食堂周边污水管、综合楼混凝土散水、食堂盲道及台阶、</w:t>
      </w:r>
      <w:r>
        <w:rPr>
          <w:rFonts w:ascii="仿宋_GB2312" w:hAnsi="仿宋_GB2312" w:cs="仿宋_GB2312" w:eastAsia="仿宋_GB2312"/>
          <w:sz w:val="32"/>
          <w:u w:val="single"/>
        </w:rPr>
        <w:t>A/B栋教师宿舍楼空调机位改造。</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3,260,410.84</w:t>
      </w:r>
    </w:p>
    <w:p>
      <w:pPr>
        <w:pStyle w:val="null3"/>
        <w:jc w:val="left"/>
      </w:pPr>
      <w:r>
        <w:rPr>
          <w:rFonts w:ascii="仿宋_GB2312" w:hAnsi="仿宋_GB2312" w:cs="仿宋_GB2312" w:eastAsia="仿宋_GB2312"/>
        </w:rPr>
        <w:t>采购包最高限价（元）: 3,260,410.84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中央民族大学附属中学三亚学校校舍维修改造项目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3,260,410.84</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3,260,410.84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标的名称：中央民族大学附属中学三亚学校校舍维修改造项目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详见中央民族大学附属中学三亚学校校舍维修改造项目施工图纸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工期：9</w:t>
            </w:r>
            <w:r>
              <w:rPr>
                <w:rFonts w:ascii="仿宋_GB2312" w:hAnsi="仿宋_GB2312" w:cs="仿宋_GB2312" w:eastAsia="仿宋_GB2312"/>
                <w:sz w:val="19"/>
                <w:color w:val="000000"/>
              </w:rPr>
              <w:t>0</w:t>
            </w:r>
            <w:r>
              <w:rPr>
                <w:rFonts w:ascii="仿宋_GB2312" w:hAnsi="仿宋_GB2312" w:cs="仿宋_GB2312" w:eastAsia="仿宋_GB2312"/>
                <w:sz w:val="19"/>
                <w:color w:val="000000"/>
              </w:rPr>
              <w:t>日历天；质量要求：合格；工程验收：中标供应商与采购人应严格按照《海南省政府采购履约验</w:t>
            </w:r>
            <w:r>
              <w:rPr>
                <w:rFonts w:ascii="仿宋_GB2312" w:hAnsi="仿宋_GB2312" w:cs="仿宋_GB2312" w:eastAsia="仿宋_GB2312"/>
                <w:sz w:val="19"/>
                <w:color w:val="000000"/>
              </w:rPr>
              <w:t>收管理暂行办法》的通知（琼财采规〔</w:t>
            </w:r>
            <w:r>
              <w:rPr>
                <w:rFonts w:ascii="仿宋_GB2312" w:hAnsi="仿宋_GB2312" w:cs="仿宋_GB2312" w:eastAsia="仿宋_GB2312"/>
                <w:sz w:val="19"/>
                <w:color w:val="000000"/>
              </w:rPr>
              <w:t>2023</w:t>
            </w:r>
            <w:r>
              <w:rPr>
                <w:rFonts w:ascii="仿宋_GB2312" w:hAnsi="仿宋_GB2312" w:cs="仿宋_GB2312" w:eastAsia="仿宋_GB2312"/>
                <w:sz w:val="19"/>
                <w:color w:val="000000"/>
              </w:rPr>
              <w:t>〕</w:t>
            </w:r>
            <w:r>
              <w:rPr>
                <w:rFonts w:ascii="仿宋_GB2312" w:hAnsi="仿宋_GB2312" w:cs="仿宋_GB2312" w:eastAsia="仿宋_GB2312"/>
                <w:sz w:val="19"/>
                <w:color w:val="000000"/>
              </w:rPr>
              <w:t>16</w:t>
            </w:r>
            <w:r>
              <w:rPr>
                <w:rFonts w:ascii="仿宋_GB2312" w:hAnsi="仿宋_GB2312" w:cs="仿宋_GB2312" w:eastAsia="仿宋_GB2312"/>
                <w:sz w:val="19"/>
                <w:color w:val="000000"/>
              </w:rPr>
              <w:t>号）文件及相关法律法规规定、磋商文件的技术服务要</w:t>
            </w:r>
            <w:r>
              <w:rPr>
                <w:rFonts w:ascii="仿宋_GB2312" w:hAnsi="仿宋_GB2312" w:cs="仿宋_GB2312" w:eastAsia="仿宋_GB2312"/>
                <w:sz w:val="19"/>
                <w:color w:val="000000"/>
              </w:rPr>
              <w:t>求、成交供应商的响应文件以及合同约定标准进行验收；项目地点：采购人指定地点；付款方式：根据双</w:t>
            </w:r>
            <w:r>
              <w:rPr>
                <w:rFonts w:ascii="仿宋_GB2312" w:hAnsi="仿宋_GB2312" w:cs="仿宋_GB2312" w:eastAsia="仿宋_GB2312"/>
                <w:sz w:val="19"/>
                <w:color w:val="000000"/>
              </w:rPr>
              <w:t>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供应商具备有效的安全生产许可证，具备建筑工程施工总承包叁级（含）或以上级资质或根据《住房和城乡建设部关于印发建设工程企业资质管理制度改革方案的通知（建市〔2020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无在建承诺函，格式自拟和2025年任意一个月社保凭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提供参加政府采购活动前三年内，在经营活动中没有环保类行政处罚记录的承诺函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提供单位负责人为同一人或者存在直接控股、管理关系的不同供应商，不得参加同一合同项下的政府采购活动的承诺函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政府采购供应商信用承诺书 自觉抵制政府采购领域商业贿赂行为承诺书 封面 商业信誉、财务会计制度、缴纳税收和社保的承诺函 信用承诺书 具有独立承担民事责任的能力证明文件 供应商承诺函 投标（响应）报价明细表 其他材料 残疾人福利性单位声明函 供应商应提交的相关证明材料 无重大违法记录声明函 施工组织设计方案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供应商须提供包括但不限于以下方案：拆除文案；建筑垃圾清运；栏杆改造施工技术措施；空调机位改造施工技术措施；提供上述内容的，每项得1分，每缺少一项扣1分，扣完为止，本项满分4分； 根据供应商提供的施工方案与技术措施进行比较赋分： A.施工方案与技术措施科学合理，适用性强，思路清晰，内容全面，能够根据实际情况制订，满足采购人的需要，考虑问题周全，实施过程务实，各项指标均能完成；4.1-6分 B.施工方案与技术措施基本能够满足采购需要，操作性不强；2.1-4分 C.施工方案与技术措施不合理；0.1-2分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供应商须提供包括但不限于以下内容：提供质量承诺函并加盖公章；质量保证措施；质量控制制度；提供上述内容的，每项得1分，每缺少一项扣1分，扣完为止，本项满分3分； 根据供应商提供的质量管理体系与措施进行比较赋分: A.质量管理体系与措施科学合理，适用性强，思路清晰，内容全面，能够根据实际情况制订，满足采购人的需要，考虑问题周全，实施过程务实，各项指标均能完成；5.1-7分 B.质量管理体系与措施基本能够满足采购需要，操作性不强；3.1-5分 C.质量管理体系与措施不合理；0.1-3分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供应商须提供包括但不限于以下内容：提供安全生产管理制度；安全检查制度；安全教育制度；安全技术交底制度；提供上述内容的，每项得1分，每缺少一项扣1分，扣完为止，本项满分4分； 根据供应商提供的安全管理体系与措施进行比较赋分： A.安全管理体系与措施科学合理，适用性强，思路清晰，内容全面，能够根据实际情况制订，满足采购人的需要，考虑问题周全，实施过程务实，各项指标均能完成；4.1-6分 B.安全管理体系与措施基本能够满足采购需要，操作性不强；2.1-4分 C.安全管理体系与措施不合理；0.1-2分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供应商须提供包括但不限于以下内容：提供绿色施工方案；降噪防尘措施；环保技术交底制度；提供上述内容的，每项得1分，每缺少一项扣1分，扣完为止，本项满分3分； 根据供应商提供的环保管理体系与措施进行比较赋分： A.环保管理体系与措施科学合理，适用性强，思路清晰，内容全面，能够根据实际情况制订，满足采购人的需要，考虑问题周全，实施过程务实，各项指标均能完成；5.1-7分 B.环保管理体系与措施基本能够满足采购需要，操作性不强；3.1-5分 C.环保管理体系与措施不合理；0.1-3分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供应商须提供包括但不限于以下内容：工程进度保证措施；资源优化措施；人员保证措施；提供上述内容的，每项得1分，每缺少一项扣1分，扣完为止，本项满分3分； 根据供应商提供的工程进度计划与措施进行比较赋分： A.工程进度计划与措施科学合理，适用性强，思路清晰，内容全面，能够根据实际情况制订，满足采购人的需要，考虑问题周全，实施过程务实，各项指标均能完成；5.1-7分 B.工程进度计划与措施基本能够满足采购需要，操作性不强；3.1-5分 C.工程进度计划与措施不合理；0.1-3分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要求：技术负责人1名（具备建筑工程类相关专业中级或以上职称得2分）满分2分。（提供职称证和本单位社保缴纳凭证（2025年任意一个月）复印件加盖公章，否则不得分）；（2）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提供任命书及身份证复印件，已开展劳资专管员岗位证书的身份，以颁发的证书为准），配备齐全得10分，缺少一名扣2分。（满分10分）（提供岗位证书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2022年至今供应商承担的类似项目业绩，每提供一项得4分，满分8分。（以提供合同复印件加盖公章作为得分依据，以合同签订时间为准）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详见附件：中央民族大学附属中学三亚学校校舍维修改造项目-施工合同.docx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[HNZX]20250600005[CS]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中央民族大学附属中学三亚学校校舍维修改造项目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中央民族大学附属中学三亚学校校舍维修改造项目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B08010000-房屋修缮</w:t>
            </w:r>
          </w:p>
        </w:tc>
        <w:tc>
          <w:tcPr>
            <w:tcW w:type="dxa" w:w="1038"/>
          </w:tcPr>
          <w:p>
            <w:pPr>
              <w:pStyle w:val="null3"/>
              <w:jc w:val="left"/>
            </w:pPr>
            <w:r>
              <w:rPr>
                <w:rFonts w:ascii="仿宋_GB2312" w:hAnsi="仿宋_GB2312" w:cs="仿宋_GB2312" w:eastAsia="仿宋_GB2312"/>
              </w:rPr>
              <w:t xml:space="preserve"> 1.00元/平方米</w:t>
            </w:r>
          </w:p>
        </w:tc>
        <w:tc>
          <w:tcPr>
            <w:tcW w:type="dxa" w:w="1038"/>
          </w:tcPr>
          <w:p>
            <w:pPr>
              <w:pStyle w:val="null3"/>
              <w:jc w:val="left"/>
            </w:pPr>
            <w:r>
              <w:rPr>
                <w:rFonts w:ascii="仿宋_GB2312" w:hAnsi="仿宋_GB2312" w:cs="仿宋_GB2312" w:eastAsia="仿宋_GB2312"/>
              </w:rPr>
              <w:t xml:space="preserve"> 3260410.84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详见附件：施工组织设计方案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