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C79867">
      <w:pPr>
        <w:pageBreakBefore w:val="0"/>
        <w:kinsoku/>
        <w:wordWrap/>
        <w:overflowPunct/>
        <w:topLinePunct w:val="0"/>
        <w:bidi w:val="0"/>
        <w:spacing w:after="0" w:afterLines="0" w:line="360" w:lineRule="auto"/>
        <w:ind w:firstLine="0" w:firstLineChars="0"/>
        <w:textAlignment w:val="auto"/>
        <w:rPr>
          <w:color w:val="auto"/>
        </w:rPr>
      </w:pPr>
    </w:p>
    <w:p w14:paraId="2FEE5052">
      <w:pPr>
        <w:pageBreakBefore w:val="0"/>
        <w:kinsoku/>
        <w:wordWrap/>
        <w:overflowPunct/>
        <w:topLinePunct w:val="0"/>
        <w:bidi w:val="0"/>
        <w:spacing w:after="0" w:afterLines="0" w:line="360" w:lineRule="auto"/>
        <w:ind w:left="0" w:leftChars="0" w:firstLine="0" w:firstLineChars="0"/>
        <w:textAlignment w:val="auto"/>
        <w:rPr>
          <w:color w:val="auto"/>
        </w:rPr>
      </w:pPr>
    </w:p>
    <w:p w14:paraId="167A8C3C">
      <w:pPr>
        <w:pStyle w:val="86"/>
        <w:pageBreakBefore w:val="0"/>
        <w:kinsoku/>
        <w:overflowPunct/>
        <w:bidi w:val="0"/>
        <w:spacing w:after="0" w:afterLines="0" w:line="360" w:lineRule="auto"/>
        <w:textAlignment w:val="auto"/>
        <w:outlineLvl w:val="0"/>
        <w:rPr>
          <w:rFonts w:hint="eastAsia" w:ascii="宋体" w:hAnsi="宋体" w:eastAsia="宋体" w:cs="宋体"/>
          <w:color w:val="auto"/>
          <w:sz w:val="52"/>
          <w:szCs w:val="52"/>
        </w:rPr>
      </w:pPr>
      <w:bookmarkStart w:id="0" w:name="_Toc29857"/>
      <w:bookmarkStart w:id="1" w:name="_Toc18405"/>
      <w:bookmarkStart w:id="2" w:name="_Toc1438"/>
      <w:r>
        <w:rPr>
          <w:rFonts w:hint="eastAsia"/>
          <w:b/>
          <w:color w:val="auto"/>
          <w:spacing w:val="0"/>
          <w:w w:val="100"/>
          <w:sz w:val="52"/>
          <w:szCs w:val="52"/>
          <w:highlight w:val="none"/>
          <w:lang w:eastAsia="zh-CN"/>
        </w:rPr>
        <w:t>中央民族大学附属中学三亚学校校舍维修改造项目</w:t>
      </w:r>
      <w:r>
        <w:rPr>
          <w:rFonts w:hint="eastAsia" w:ascii="黑体" w:eastAsia="黑体"/>
          <w:b/>
          <w:color w:val="auto"/>
          <w:spacing w:val="0"/>
          <w:w w:val="100"/>
          <w:sz w:val="52"/>
          <w:szCs w:val="52"/>
          <w:highlight w:val="none"/>
          <w:lang w:eastAsia="zh-CN"/>
        </w:rPr>
        <w:t>施工</w:t>
      </w:r>
      <w:r>
        <w:rPr>
          <w:rFonts w:hint="eastAsia" w:ascii="黑体" w:eastAsia="黑体"/>
          <w:b/>
          <w:color w:val="auto"/>
          <w:spacing w:val="0"/>
          <w:w w:val="100"/>
          <w:sz w:val="52"/>
          <w:szCs w:val="52"/>
          <w:highlight w:val="none"/>
        </w:rPr>
        <w:t>合同</w:t>
      </w:r>
      <w:bookmarkEnd w:id="0"/>
      <w:bookmarkEnd w:id="1"/>
      <w:bookmarkEnd w:id="2"/>
    </w:p>
    <w:p w14:paraId="7CA64A35">
      <w:pPr>
        <w:pStyle w:val="86"/>
        <w:pageBreakBefore w:val="0"/>
        <w:kinsoku/>
        <w:overflowPunct/>
        <w:bidi w:val="0"/>
        <w:spacing w:after="0" w:afterLines="0" w:line="360" w:lineRule="auto"/>
        <w:textAlignment w:val="auto"/>
        <w:rPr>
          <w:rFonts w:ascii="华文中宋" w:hAnsi="华文中宋" w:eastAsia="华文中宋"/>
          <w:color w:val="auto"/>
          <w:sz w:val="40"/>
          <w:szCs w:val="40"/>
        </w:rPr>
      </w:pPr>
    </w:p>
    <w:p w14:paraId="5678240A">
      <w:pPr>
        <w:pStyle w:val="86"/>
        <w:pageBreakBefore w:val="0"/>
        <w:kinsoku/>
        <w:overflowPunct/>
        <w:bidi w:val="0"/>
        <w:spacing w:after="0" w:afterLines="0" w:line="360" w:lineRule="auto"/>
        <w:textAlignment w:val="auto"/>
        <w:rPr>
          <w:rFonts w:ascii="华文中宋" w:hAnsi="华文中宋" w:eastAsia="华文中宋"/>
          <w:color w:val="auto"/>
          <w:sz w:val="40"/>
          <w:szCs w:val="40"/>
        </w:rPr>
      </w:pPr>
    </w:p>
    <w:p w14:paraId="2C90C994">
      <w:pPr>
        <w:pageBreakBefore w:val="0"/>
        <w:kinsoku/>
        <w:overflowPunct/>
        <w:bidi w:val="0"/>
        <w:spacing w:after="0" w:afterLines="0" w:line="360" w:lineRule="auto"/>
        <w:ind w:left="0" w:leftChars="0" w:firstLine="0" w:firstLineChars="0"/>
        <w:textAlignment w:val="auto"/>
        <w:rPr>
          <w:rFonts w:ascii="华文中宋" w:hAnsi="华文中宋" w:eastAsia="华文中宋"/>
          <w:color w:val="auto"/>
          <w:sz w:val="40"/>
          <w:szCs w:val="40"/>
        </w:rPr>
      </w:pPr>
    </w:p>
    <w:p w14:paraId="41FF8659">
      <w:pPr>
        <w:pageBreakBefore w:val="0"/>
        <w:kinsoku/>
        <w:overflowPunct/>
        <w:bidi w:val="0"/>
        <w:spacing w:after="0" w:afterLines="0" w:line="360" w:lineRule="auto"/>
        <w:ind w:left="1400" w:leftChars="0" w:hanging="1400" w:hangingChars="500"/>
        <w:textAlignment w:val="auto"/>
        <w:rPr>
          <w:rFonts w:hint="eastAsia" w:ascii="黑体" w:eastAsia="黑体"/>
          <w:color w:val="auto"/>
          <w:spacing w:val="0"/>
          <w:w w:val="100"/>
          <w:sz w:val="28"/>
          <w:szCs w:val="28"/>
          <w:highlight w:val="none"/>
        </w:rPr>
      </w:pPr>
    </w:p>
    <w:p w14:paraId="4934DD80">
      <w:pPr>
        <w:pageBreakBefore w:val="0"/>
        <w:kinsoku/>
        <w:overflowPunct/>
        <w:bidi w:val="0"/>
        <w:spacing w:after="0" w:afterLines="0" w:line="360" w:lineRule="auto"/>
        <w:ind w:left="1400" w:leftChars="0" w:hanging="1400" w:hangingChars="500"/>
        <w:textAlignment w:val="auto"/>
        <w:rPr>
          <w:rFonts w:hint="eastAsia" w:ascii="黑体" w:eastAsia="黑体"/>
          <w:color w:val="auto"/>
          <w:spacing w:val="0"/>
          <w:w w:val="100"/>
          <w:sz w:val="28"/>
          <w:szCs w:val="28"/>
          <w:highlight w:val="none"/>
          <w:u w:val="single"/>
          <w:lang w:eastAsia="zh-CN"/>
        </w:rPr>
      </w:pPr>
      <w:r>
        <w:rPr>
          <w:rFonts w:hint="eastAsia" w:ascii="黑体" w:eastAsia="黑体"/>
          <w:color w:val="auto"/>
          <w:spacing w:val="0"/>
          <w:w w:val="100"/>
          <w:sz w:val="28"/>
          <w:szCs w:val="28"/>
          <w:highlight w:val="none"/>
        </w:rPr>
        <w:t>项目名称：</w:t>
      </w:r>
      <w:r>
        <w:rPr>
          <w:rFonts w:hint="eastAsia" w:ascii="黑体" w:eastAsia="黑体"/>
          <w:color w:val="auto"/>
          <w:spacing w:val="0"/>
          <w:w w:val="100"/>
          <w:sz w:val="28"/>
          <w:szCs w:val="28"/>
          <w:highlight w:val="none"/>
          <w:u w:val="single"/>
          <w:lang w:eastAsia="zh-CN"/>
        </w:rPr>
        <w:t>中央民族大学附属中学三亚学校校舍维修改造项目</w:t>
      </w:r>
    </w:p>
    <w:p w14:paraId="0F6C5AE9">
      <w:pPr>
        <w:pageBreakBefore w:val="0"/>
        <w:kinsoku/>
        <w:overflowPunct/>
        <w:bidi w:val="0"/>
        <w:spacing w:after="0" w:afterLines="0" w:line="360" w:lineRule="auto"/>
        <w:ind w:left="0" w:leftChars="0" w:firstLine="0" w:firstLineChars="0"/>
        <w:textAlignment w:val="auto"/>
        <w:rPr>
          <w:rFonts w:hint="default" w:ascii="黑体" w:eastAsia="黑体"/>
          <w:color w:val="auto"/>
          <w:spacing w:val="0"/>
          <w:w w:val="100"/>
          <w:sz w:val="28"/>
          <w:szCs w:val="28"/>
          <w:highlight w:val="none"/>
          <w:lang w:val="en-US" w:eastAsia="zh-CN"/>
        </w:rPr>
      </w:pPr>
      <w:r>
        <w:rPr>
          <w:rFonts w:hint="eastAsia" w:ascii="黑体" w:eastAsia="黑体"/>
          <w:color w:val="auto"/>
          <w:spacing w:val="0"/>
          <w:w w:val="100"/>
          <w:sz w:val="28"/>
          <w:szCs w:val="28"/>
          <w:highlight w:val="none"/>
        </w:rPr>
        <w:t>项目地点：</w:t>
      </w:r>
      <w:r>
        <w:rPr>
          <w:rFonts w:hint="eastAsia" w:ascii="黑体" w:eastAsia="黑体"/>
          <w:color w:val="auto"/>
          <w:spacing w:val="0"/>
          <w:w w:val="100"/>
          <w:sz w:val="28"/>
          <w:szCs w:val="28"/>
          <w:highlight w:val="none"/>
          <w:u w:val="single"/>
          <w:lang w:val="en-US" w:eastAsia="zh-CN"/>
        </w:rPr>
        <w:t>三亚市</w:t>
      </w:r>
      <w:r>
        <w:rPr>
          <w:rFonts w:hint="eastAsia" w:ascii="黑体" w:eastAsia="黑体"/>
          <w:color w:val="auto"/>
          <w:spacing w:val="0"/>
          <w:w w:val="100"/>
          <w:sz w:val="28"/>
          <w:szCs w:val="28"/>
          <w:highlight w:val="none"/>
        </w:rPr>
        <w:t xml:space="preserve">            </w:t>
      </w:r>
    </w:p>
    <w:p w14:paraId="2356A21C">
      <w:pPr>
        <w:pageBreakBefore w:val="0"/>
        <w:kinsoku/>
        <w:overflowPunct/>
        <w:bidi w:val="0"/>
        <w:spacing w:after="0" w:afterLines="0" w:line="360" w:lineRule="auto"/>
        <w:ind w:left="0" w:leftChars="0" w:firstLine="0" w:firstLineChars="0"/>
        <w:textAlignment w:val="auto"/>
        <w:rPr>
          <w:rFonts w:hint="default" w:ascii="黑体" w:eastAsia="黑体"/>
          <w:color w:val="auto"/>
          <w:spacing w:val="0"/>
          <w:w w:val="100"/>
          <w:sz w:val="28"/>
          <w:szCs w:val="28"/>
          <w:highlight w:val="none"/>
          <w:u w:val="single"/>
          <w:lang w:val="en-US" w:eastAsia="zh-CN"/>
        </w:rPr>
      </w:pPr>
      <w:r>
        <w:rPr>
          <w:rFonts w:hint="eastAsia" w:ascii="黑体" w:eastAsia="黑体"/>
          <w:color w:val="auto"/>
          <w:spacing w:val="0"/>
          <w:w w:val="100"/>
          <w:sz w:val="28"/>
          <w:szCs w:val="28"/>
          <w:highlight w:val="none"/>
        </w:rPr>
        <w:t>发 包 人：</w:t>
      </w:r>
      <w:r>
        <w:rPr>
          <w:rFonts w:hint="eastAsia" w:ascii="黑体" w:eastAsia="黑体"/>
          <w:color w:val="auto"/>
          <w:spacing w:val="0"/>
          <w:w w:val="100"/>
          <w:sz w:val="28"/>
          <w:szCs w:val="28"/>
          <w:highlight w:val="none"/>
          <w:u w:val="single"/>
          <w:lang w:eastAsia="zh-CN"/>
        </w:rPr>
        <w:t>三亚市教育局</w:t>
      </w:r>
      <w:r>
        <w:rPr>
          <w:rFonts w:hint="eastAsia" w:ascii="黑体" w:eastAsia="黑体"/>
          <w:color w:val="auto"/>
          <w:spacing w:val="0"/>
          <w:w w:val="100"/>
          <w:sz w:val="28"/>
          <w:szCs w:val="28"/>
          <w:highlight w:val="none"/>
          <w:u w:val="single"/>
          <w:lang w:val="en-US" w:eastAsia="zh-CN"/>
        </w:rPr>
        <w:t xml:space="preserve">  </w:t>
      </w:r>
    </w:p>
    <w:p w14:paraId="0FB25CF9">
      <w:pPr>
        <w:pageBreakBefore w:val="0"/>
        <w:kinsoku/>
        <w:overflowPunct/>
        <w:bidi w:val="0"/>
        <w:spacing w:after="0" w:afterLines="0" w:line="360" w:lineRule="auto"/>
        <w:ind w:left="0" w:leftChars="0" w:firstLine="0" w:firstLineChars="0"/>
        <w:textAlignment w:val="auto"/>
        <w:rPr>
          <w:rFonts w:hint="default" w:ascii="黑体" w:eastAsia="黑体"/>
          <w:color w:val="auto"/>
          <w:spacing w:val="0"/>
          <w:w w:val="100"/>
          <w:sz w:val="28"/>
          <w:szCs w:val="28"/>
          <w:highlight w:val="none"/>
          <w:u w:val="single"/>
          <w:lang w:val="en-US" w:eastAsia="zh-CN"/>
        </w:rPr>
      </w:pPr>
      <w:r>
        <w:rPr>
          <w:rFonts w:hint="eastAsia" w:ascii="黑体" w:eastAsia="黑体"/>
          <w:color w:val="auto"/>
          <w:spacing w:val="0"/>
          <w:w w:val="100"/>
          <w:sz w:val="28"/>
          <w:szCs w:val="28"/>
          <w:highlight w:val="none"/>
        </w:rPr>
        <w:t>承 包 人：</w:t>
      </w:r>
      <w:r>
        <w:rPr>
          <w:rFonts w:hint="eastAsia" w:ascii="黑体" w:eastAsia="黑体"/>
          <w:color w:val="auto"/>
          <w:spacing w:val="0"/>
          <w:w w:val="100"/>
          <w:sz w:val="28"/>
          <w:szCs w:val="28"/>
          <w:highlight w:val="none"/>
          <w:u w:val="single"/>
          <w:lang w:val="en-US" w:eastAsia="zh-CN"/>
        </w:rPr>
        <w:t xml:space="preserve">                                   </w:t>
      </w:r>
    </w:p>
    <w:p w14:paraId="22F3F9CF">
      <w:pPr>
        <w:pageBreakBefore w:val="0"/>
        <w:kinsoku/>
        <w:overflowPunct/>
        <w:bidi w:val="0"/>
        <w:spacing w:after="0" w:afterLines="0" w:line="360" w:lineRule="auto"/>
        <w:ind w:left="0" w:leftChars="0" w:firstLine="0" w:firstLineChars="0"/>
        <w:textAlignment w:val="auto"/>
        <w:rPr>
          <w:rFonts w:hint="eastAsia" w:ascii="黑体" w:eastAsia="黑体"/>
          <w:color w:val="auto"/>
          <w:spacing w:val="0"/>
          <w:w w:val="100"/>
          <w:sz w:val="28"/>
          <w:szCs w:val="28"/>
          <w:highlight w:val="none"/>
        </w:rPr>
      </w:pPr>
      <w:r>
        <w:rPr>
          <w:rFonts w:hint="eastAsia" w:ascii="黑体" w:eastAsia="黑体"/>
          <w:color w:val="auto"/>
          <w:spacing w:val="0"/>
          <w:w w:val="100"/>
          <w:sz w:val="28"/>
          <w:szCs w:val="28"/>
          <w:highlight w:val="none"/>
        </w:rPr>
        <w:t xml:space="preserve">签订日期： </w:t>
      </w:r>
      <w:bookmarkStart w:id="3" w:name="_Toc521267369"/>
      <w:r>
        <w:rPr>
          <w:rFonts w:hint="eastAsia" w:ascii="黑体" w:eastAsia="黑体"/>
          <w:color w:val="auto"/>
          <w:spacing w:val="0"/>
          <w:w w:val="100"/>
          <w:sz w:val="28"/>
          <w:szCs w:val="28"/>
          <w:highlight w:val="none"/>
          <w:u w:val="single"/>
          <w:lang w:val="en-US" w:eastAsia="zh-CN"/>
        </w:rPr>
        <w:t>2025年 月 日</w:t>
      </w:r>
    </w:p>
    <w:p w14:paraId="7D3A9223">
      <w:pPr>
        <w:pStyle w:val="2"/>
        <w:pageBreakBefore w:val="0"/>
        <w:kinsoku/>
        <w:overflowPunct/>
        <w:bidi w:val="0"/>
        <w:spacing w:after="0" w:afterLines="0" w:line="360" w:lineRule="auto"/>
        <w:textAlignment w:val="auto"/>
        <w:rPr>
          <w:rFonts w:hint="eastAsia" w:ascii="黑体" w:eastAsia="黑体"/>
          <w:color w:val="auto"/>
          <w:spacing w:val="0"/>
          <w:w w:val="100"/>
          <w:sz w:val="28"/>
          <w:szCs w:val="28"/>
          <w:highlight w:val="none"/>
        </w:rPr>
      </w:pPr>
    </w:p>
    <w:p w14:paraId="043BB17D">
      <w:pPr>
        <w:pageBreakBefore w:val="0"/>
        <w:kinsoku/>
        <w:overflowPunct/>
        <w:bidi w:val="0"/>
        <w:spacing w:after="0" w:afterLines="0" w:line="360" w:lineRule="auto"/>
        <w:textAlignment w:val="auto"/>
        <w:rPr>
          <w:color w:val="auto"/>
        </w:rPr>
      </w:pPr>
    </w:p>
    <w:p w14:paraId="7E9045C8">
      <w:pPr>
        <w:pStyle w:val="2"/>
        <w:pageBreakBefore w:val="0"/>
        <w:kinsoku/>
        <w:overflowPunct/>
        <w:bidi w:val="0"/>
        <w:spacing w:after="0" w:afterLines="0" w:line="360" w:lineRule="auto"/>
        <w:textAlignment w:val="auto"/>
        <w:rPr>
          <w:color w:val="auto"/>
        </w:rPr>
      </w:pPr>
    </w:p>
    <w:p w14:paraId="28D06E8F">
      <w:pPr>
        <w:pageBreakBefore w:val="0"/>
        <w:kinsoku/>
        <w:overflowPunct/>
        <w:bidi w:val="0"/>
        <w:spacing w:after="0" w:afterLines="0" w:line="360" w:lineRule="auto"/>
        <w:textAlignment w:val="auto"/>
        <w:rPr>
          <w:color w:val="auto"/>
        </w:rPr>
      </w:pPr>
    </w:p>
    <w:p w14:paraId="5DD94232">
      <w:pPr>
        <w:pStyle w:val="2"/>
        <w:pageBreakBefore w:val="0"/>
        <w:kinsoku/>
        <w:overflowPunct/>
        <w:bidi w:val="0"/>
        <w:spacing w:after="0" w:afterLines="0" w:line="360" w:lineRule="auto"/>
        <w:textAlignment w:val="auto"/>
      </w:pPr>
    </w:p>
    <w:p w14:paraId="679C7F41">
      <w:pPr>
        <w:pageBreakBefore w:val="0"/>
        <w:kinsoku/>
        <w:overflowPunct/>
        <w:bidi w:val="0"/>
        <w:spacing w:after="0" w:afterLines="0" w:line="360" w:lineRule="auto"/>
        <w:ind w:left="0" w:leftChars="0" w:right="0" w:rightChars="0" w:firstLine="0" w:firstLineChars="0"/>
        <w:jc w:val="both"/>
        <w:textAlignment w:val="auto"/>
        <w:rPr>
          <w:rFonts w:ascii="宋体" w:hAnsi="宋体" w:eastAsia="宋体"/>
          <w:color w:val="auto"/>
          <w:sz w:val="21"/>
        </w:rPr>
      </w:pPr>
    </w:p>
    <w:p w14:paraId="23C999F2">
      <w:pPr>
        <w:pStyle w:val="2"/>
        <w:pageBreakBefore w:val="0"/>
        <w:kinsoku/>
        <w:overflowPunct/>
        <w:bidi w:val="0"/>
        <w:spacing w:after="0" w:afterLines="0" w:line="360" w:lineRule="auto"/>
        <w:textAlignment w:val="auto"/>
        <w:rPr>
          <w:color w:val="auto"/>
        </w:rPr>
      </w:pPr>
    </w:p>
    <w:p w14:paraId="723F99A3">
      <w:pPr>
        <w:pageBreakBefore w:val="0"/>
        <w:kinsoku/>
        <w:overflowPunct/>
        <w:bidi w:val="0"/>
        <w:spacing w:after="0" w:afterLines="0" w:line="360" w:lineRule="auto"/>
        <w:ind w:left="0" w:leftChars="0" w:right="0" w:rightChars="0" w:firstLine="0" w:firstLineChars="0"/>
        <w:jc w:val="center"/>
        <w:textAlignment w:val="auto"/>
        <w:rPr>
          <w:rFonts w:ascii="宋体" w:hAnsi="宋体" w:eastAsia="宋体"/>
          <w:color w:val="auto"/>
          <w:sz w:val="21"/>
          <w:szCs w:val="21"/>
        </w:rPr>
        <w:sectPr>
          <w:type w:val="continuous"/>
          <w:pgSz w:w="11906" w:h="16838"/>
          <w:pgMar w:top="1440" w:right="1800" w:bottom="1440" w:left="1800" w:header="720" w:footer="998" w:gutter="0"/>
          <w:pgNumType w:start="1"/>
          <w:cols w:space="720" w:num="1"/>
          <w:titlePg/>
          <w:docGrid w:linePitch="326" w:charSpace="0"/>
        </w:sectPr>
      </w:pPr>
    </w:p>
    <w:bookmarkEnd w:id="3"/>
    <w:p w14:paraId="03E0B1CB">
      <w:pPr>
        <w:pStyle w:val="6"/>
        <w:pageBreakBefore w:val="0"/>
        <w:kinsoku/>
        <w:overflowPunct/>
        <w:bidi w:val="0"/>
        <w:spacing w:after="0" w:afterLines="0" w:line="360" w:lineRule="auto"/>
        <w:jc w:val="center"/>
        <w:textAlignment w:val="auto"/>
        <w:rPr>
          <w:color w:val="auto"/>
          <w:highlight w:val="none"/>
        </w:rPr>
      </w:pPr>
      <w:bookmarkStart w:id="4" w:name="_Toc4872"/>
      <w:bookmarkStart w:id="5" w:name="_Toc9425"/>
      <w:r>
        <w:rPr>
          <w:color w:val="auto"/>
          <w:highlight w:val="none"/>
        </w:rPr>
        <w:t>第一部分 合同协议书</w:t>
      </w:r>
      <w:bookmarkEnd w:id="4"/>
      <w:bookmarkEnd w:id="5"/>
    </w:p>
    <w:p w14:paraId="4BD2F5EF">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p>
    <w:p w14:paraId="30803C83">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发包人（全称）：</w:t>
      </w:r>
      <w:r>
        <w:rPr>
          <w:rFonts w:hint="eastAsia" w:ascii="宋体" w:hAnsi="宋体" w:eastAsia="宋体" w:cs="宋体"/>
          <w:color w:val="auto"/>
          <w:sz w:val="21"/>
          <w:szCs w:val="21"/>
          <w:u w:val="single"/>
          <w:lang w:eastAsia="zh-CN"/>
        </w:rPr>
        <w:t>三亚市教育局</w:t>
      </w:r>
    </w:p>
    <w:p w14:paraId="749178D6">
      <w:pPr>
        <w:pageBreakBefore w:val="0"/>
        <w:kinsoku/>
        <w:wordWrap/>
        <w:overflowPunct/>
        <w:topLinePunct w:val="0"/>
        <w:bidi w:val="0"/>
        <w:spacing w:after="0" w:afterLines="0" w:line="360" w:lineRule="auto"/>
        <w:ind w:firstLine="600"/>
        <w:textAlignment w:val="auto"/>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rPr>
        <w:t>承包人（全称）：</w:t>
      </w:r>
      <w:r>
        <w:rPr>
          <w:rFonts w:hint="eastAsia" w:ascii="宋体" w:hAnsi="宋体" w:eastAsia="宋体" w:cs="宋体"/>
          <w:color w:val="auto"/>
          <w:sz w:val="21"/>
          <w:szCs w:val="21"/>
          <w:u w:val="single"/>
          <w:lang w:val="en-US" w:eastAsia="zh-CN"/>
        </w:rPr>
        <w:t xml:space="preserve">                                </w:t>
      </w:r>
    </w:p>
    <w:p w14:paraId="3D401FA7">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根据《中华人民共和国民法典》、《中华人民共和国建筑法》及有关法律规定，遵循平等、自愿、公平和诚实信用的原则，双方就</w:t>
      </w:r>
      <w:r>
        <w:rPr>
          <w:rFonts w:hint="eastAsia" w:eastAsia="宋体" w:cs="宋体"/>
          <w:color w:val="auto"/>
          <w:sz w:val="21"/>
          <w:szCs w:val="21"/>
          <w:u w:val="single"/>
          <w:lang w:eastAsia="zh-CN"/>
        </w:rPr>
        <w:t>中央民族大学附属中学三亚学校校舍维修改造项目</w:t>
      </w:r>
      <w:r>
        <w:rPr>
          <w:rFonts w:hint="eastAsia" w:ascii="宋体" w:hAnsi="宋体" w:eastAsia="宋体" w:cs="宋体"/>
          <w:color w:val="auto"/>
          <w:sz w:val="21"/>
          <w:szCs w:val="21"/>
        </w:rPr>
        <w:t>的工程</w:t>
      </w:r>
      <w:r>
        <w:rPr>
          <w:rFonts w:hint="eastAsia" w:ascii="宋体" w:hAnsi="宋体" w:eastAsia="宋体" w:cs="宋体"/>
          <w:color w:val="auto"/>
          <w:sz w:val="21"/>
          <w:szCs w:val="21"/>
          <w:lang w:eastAsia="zh-CN"/>
        </w:rPr>
        <w:t>施工</w:t>
      </w:r>
      <w:r>
        <w:rPr>
          <w:rFonts w:hint="eastAsia" w:ascii="宋体" w:hAnsi="宋体" w:eastAsia="宋体" w:cs="宋体"/>
          <w:color w:val="auto"/>
          <w:sz w:val="21"/>
          <w:szCs w:val="21"/>
        </w:rPr>
        <w:t>及有关事项协商一致，共同达成如下协议：</w:t>
      </w:r>
    </w:p>
    <w:p w14:paraId="6B8F81FA">
      <w:pPr>
        <w:pStyle w:val="89"/>
        <w:pageBreakBefore w:val="0"/>
        <w:numPr>
          <w:ilvl w:val="0"/>
          <w:numId w:val="0"/>
        </w:numPr>
        <w:kinsoku/>
        <w:wordWrap/>
        <w:overflowPunct/>
        <w:topLinePunct w:val="0"/>
        <w:bidi w:val="0"/>
        <w:spacing w:after="0" w:afterLines="0" w:line="360" w:lineRule="auto"/>
        <w:textAlignment w:val="auto"/>
        <w:rPr>
          <w:rFonts w:hint="eastAsia" w:ascii="宋体" w:hAnsi="宋体" w:eastAsia="宋体" w:cs="宋体"/>
          <w:b/>
          <w:bCs w:val="0"/>
          <w:color w:val="auto"/>
          <w:sz w:val="21"/>
          <w:szCs w:val="21"/>
        </w:rPr>
      </w:pPr>
      <w:bookmarkStart w:id="6" w:name="_Toc1181"/>
      <w:bookmarkStart w:id="7" w:name="_Toc54862165"/>
      <w:r>
        <w:rPr>
          <w:rFonts w:hint="eastAsia" w:ascii="宋体" w:hAnsi="宋体" w:eastAsia="宋体" w:cs="宋体"/>
          <w:b/>
          <w:bCs w:val="0"/>
          <w:color w:val="auto"/>
          <w:sz w:val="21"/>
          <w:szCs w:val="21"/>
        </w:rPr>
        <w:t>一、工程概况</w:t>
      </w:r>
      <w:bookmarkEnd w:id="6"/>
      <w:bookmarkEnd w:id="7"/>
    </w:p>
    <w:p w14:paraId="2A3592E2">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 工程名称：</w:t>
      </w:r>
      <w:r>
        <w:rPr>
          <w:rFonts w:hint="eastAsia" w:eastAsia="宋体" w:cs="宋体"/>
          <w:color w:val="auto"/>
          <w:sz w:val="21"/>
          <w:szCs w:val="21"/>
          <w:u w:val="single"/>
          <w:lang w:eastAsia="zh-CN"/>
        </w:rPr>
        <w:t>中央民族大学附属中学三亚学校校舍维修改造项目</w:t>
      </w:r>
      <w:r>
        <w:rPr>
          <w:rFonts w:hint="eastAsia" w:ascii="宋体" w:hAnsi="宋体" w:eastAsia="宋体" w:cs="宋体"/>
          <w:color w:val="auto"/>
          <w:sz w:val="21"/>
          <w:szCs w:val="21"/>
        </w:rPr>
        <w:t>。</w:t>
      </w:r>
    </w:p>
    <w:p w14:paraId="6157584C">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 工程地点：</w:t>
      </w:r>
      <w:r>
        <w:rPr>
          <w:rFonts w:hint="eastAsia" w:ascii="宋体" w:hAnsi="宋体" w:eastAsia="宋体" w:cs="宋体"/>
          <w:color w:val="auto"/>
          <w:sz w:val="21"/>
          <w:szCs w:val="21"/>
          <w:u w:val="single"/>
          <w:lang w:val="en-US" w:eastAsia="zh-CN"/>
        </w:rPr>
        <w:t>三亚市</w:t>
      </w:r>
      <w:r>
        <w:rPr>
          <w:rFonts w:hint="eastAsia" w:ascii="宋体" w:hAnsi="宋体" w:eastAsia="宋体" w:cs="宋体"/>
          <w:color w:val="auto"/>
          <w:sz w:val="21"/>
          <w:szCs w:val="21"/>
        </w:rPr>
        <w:t>。</w:t>
      </w:r>
    </w:p>
    <w:p w14:paraId="0BE96FB4">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 工程审批、核准或备案文号：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69263D89">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 资金来源：</w:t>
      </w:r>
      <w:r>
        <w:rPr>
          <w:rFonts w:hint="eastAsia" w:eastAsia="宋体" w:cs="宋体"/>
          <w:color w:val="auto"/>
          <w:sz w:val="21"/>
          <w:szCs w:val="21"/>
          <w:highlight w:val="none"/>
          <w:u w:val="single"/>
          <w:lang w:eastAsia="zh-CN"/>
        </w:rPr>
        <w:t xml:space="preserve"> </w:t>
      </w:r>
      <w:r>
        <w:rPr>
          <w:rFonts w:hint="eastAsia" w:eastAsia="宋体" w:cs="宋体"/>
          <w:color w:val="auto"/>
          <w:sz w:val="21"/>
          <w:szCs w:val="21"/>
          <w:highlight w:val="none"/>
          <w:u w:val="single"/>
          <w:lang w:val="en-US" w:eastAsia="zh-CN"/>
        </w:rPr>
        <w:t>政府投资</w:t>
      </w:r>
      <w:r>
        <w:rPr>
          <w:rFonts w:hint="eastAsia"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294F2916">
      <w:pPr>
        <w:pageBreakBefore w:val="0"/>
        <w:kinsoku/>
        <w:overflowPunct/>
        <w:bidi w:val="0"/>
        <w:spacing w:after="0" w:afterLines="0" w:line="360" w:lineRule="auto"/>
        <w:ind w:firstLine="600"/>
        <w:textAlignment w:val="auto"/>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rPr>
        <w:t>5. 工程内容及规模：</w:t>
      </w:r>
      <w:r>
        <w:rPr>
          <w:rFonts w:hint="eastAsia" w:ascii="宋体" w:hAnsi="宋体" w:eastAsia="宋体" w:cs="宋体"/>
          <w:color w:val="auto"/>
          <w:sz w:val="21"/>
          <w:szCs w:val="21"/>
          <w:u w:val="single"/>
          <w:lang w:val="en-US" w:eastAsia="zh-CN"/>
        </w:rPr>
        <w:t>建设内容为走廊栏杆改造，卫生间改造，食堂周边污水管、综合楼混凝土散水、食堂盲道及台阶、A/B栋教师宿舍楼空调机位改造。</w:t>
      </w:r>
    </w:p>
    <w:p w14:paraId="787472D0">
      <w:pPr>
        <w:pageBreakBefore w:val="0"/>
        <w:kinsoku/>
        <w:overflowPunct/>
        <w:bidi w:val="0"/>
        <w:spacing w:after="0" w:afterLines="0" w:line="360" w:lineRule="auto"/>
        <w:ind w:firstLine="411" w:firstLineChars="19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 工程承包范围：</w:t>
      </w:r>
      <w:r>
        <w:rPr>
          <w:rFonts w:hint="eastAsia" w:ascii="宋体" w:hAnsi="宋体" w:eastAsia="宋体" w:cs="宋体"/>
          <w:color w:val="auto"/>
          <w:sz w:val="21"/>
          <w:szCs w:val="21"/>
          <w:u w:val="single"/>
          <w:lang w:val="en-US" w:eastAsia="zh-CN"/>
        </w:rPr>
        <w:t>工程施工（按招标人提供的工程量清单及施工图与相关补充文件包含的所有工程）。</w:t>
      </w:r>
    </w:p>
    <w:p w14:paraId="18671C6C">
      <w:pPr>
        <w:pStyle w:val="89"/>
        <w:pageBreakBefore w:val="0"/>
        <w:numPr>
          <w:ilvl w:val="0"/>
          <w:numId w:val="0"/>
        </w:numPr>
        <w:kinsoku/>
        <w:wordWrap/>
        <w:overflowPunct/>
        <w:topLinePunct w:val="0"/>
        <w:bidi w:val="0"/>
        <w:spacing w:after="0" w:afterLines="0" w:line="360" w:lineRule="auto"/>
        <w:textAlignment w:val="auto"/>
        <w:rPr>
          <w:rFonts w:hint="eastAsia" w:ascii="宋体" w:hAnsi="宋体" w:eastAsia="宋体" w:cs="宋体"/>
          <w:b/>
          <w:bCs w:val="0"/>
          <w:color w:val="auto"/>
          <w:sz w:val="21"/>
          <w:szCs w:val="21"/>
        </w:rPr>
      </w:pPr>
      <w:bookmarkStart w:id="8" w:name="_Toc16889"/>
      <w:bookmarkStart w:id="9" w:name="_Toc54862166"/>
      <w:r>
        <w:rPr>
          <w:rFonts w:hint="eastAsia" w:ascii="宋体" w:hAnsi="宋体" w:eastAsia="宋体" w:cs="宋体"/>
          <w:b/>
          <w:bCs w:val="0"/>
          <w:color w:val="auto"/>
          <w:sz w:val="21"/>
          <w:szCs w:val="21"/>
        </w:rPr>
        <w:t>二、合同工期</w:t>
      </w:r>
      <w:bookmarkEnd w:id="8"/>
      <w:bookmarkEnd w:id="9"/>
    </w:p>
    <w:p w14:paraId="2A6FACD3">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计划开始工作日期：</w:t>
      </w:r>
      <w:r>
        <w:rPr>
          <w:rFonts w:hint="eastAsia" w:eastAsia="宋体" w:cs="宋体"/>
          <w:color w:val="auto"/>
          <w:sz w:val="21"/>
          <w:szCs w:val="21"/>
          <w:u w:val="single"/>
          <w:lang w:val="en-US" w:eastAsia="zh-CN"/>
        </w:rPr>
        <w:t>2025年 月 日</w:t>
      </w:r>
      <w:r>
        <w:rPr>
          <w:rFonts w:hint="eastAsia" w:ascii="宋体" w:hAnsi="宋体" w:eastAsia="宋体" w:cs="宋体"/>
          <w:color w:val="auto"/>
          <w:sz w:val="21"/>
          <w:szCs w:val="21"/>
        </w:rPr>
        <w:t>。</w:t>
      </w:r>
      <w:bookmarkStart w:id="768" w:name="_GoBack"/>
      <w:bookmarkEnd w:id="768"/>
    </w:p>
    <w:p w14:paraId="729F8473">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计划开始现场施工日期：</w:t>
      </w:r>
      <w:r>
        <w:rPr>
          <w:rFonts w:hint="eastAsia" w:eastAsia="宋体" w:cs="宋体"/>
          <w:color w:val="auto"/>
          <w:sz w:val="21"/>
          <w:szCs w:val="21"/>
          <w:u w:val="single"/>
          <w:lang w:val="en-US" w:eastAsia="zh-CN"/>
        </w:rPr>
        <w:t xml:space="preserve"> </w:t>
      </w:r>
      <w:r>
        <w:rPr>
          <w:rFonts w:hint="eastAsia" w:ascii="宋体" w:hAnsi="宋体" w:eastAsia="宋体" w:cs="宋体"/>
          <w:color w:val="auto"/>
          <w:sz w:val="21"/>
          <w:szCs w:val="21"/>
        </w:rPr>
        <w:t>年</w:t>
      </w:r>
      <w:r>
        <w:rPr>
          <w:rFonts w:hint="eastAsia" w:eastAsia="宋体" w:cs="宋体"/>
          <w:color w:val="auto"/>
          <w:sz w:val="21"/>
          <w:szCs w:val="21"/>
          <w:u w:val="single"/>
          <w:lang w:val="en-US" w:eastAsia="zh-CN"/>
        </w:rPr>
        <w:t xml:space="preserve"> </w:t>
      </w:r>
      <w:r>
        <w:rPr>
          <w:rFonts w:hint="eastAsia" w:ascii="宋体" w:hAnsi="宋体" w:eastAsia="宋体" w:cs="宋体"/>
          <w:color w:val="auto"/>
          <w:sz w:val="21"/>
          <w:szCs w:val="21"/>
        </w:rPr>
        <w:t>月</w:t>
      </w:r>
      <w:r>
        <w:rPr>
          <w:rFonts w:hint="eastAsia" w:eastAsia="宋体" w:cs="宋体"/>
          <w:color w:val="auto"/>
          <w:sz w:val="21"/>
          <w:szCs w:val="21"/>
          <w:u w:val="single"/>
          <w:lang w:val="en-US" w:eastAsia="zh-CN"/>
        </w:rPr>
        <w:t xml:space="preserve"> </w:t>
      </w:r>
      <w:r>
        <w:rPr>
          <w:rFonts w:hint="eastAsia" w:ascii="宋体" w:hAnsi="宋体" w:eastAsia="宋体" w:cs="宋体"/>
          <w:color w:val="auto"/>
          <w:sz w:val="21"/>
          <w:szCs w:val="21"/>
        </w:rPr>
        <w:t>日。</w:t>
      </w:r>
    </w:p>
    <w:p w14:paraId="3C29186C">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计划竣工日期：</w:t>
      </w:r>
      <w:r>
        <w:rPr>
          <w:rFonts w:hint="eastAsia" w:eastAsia="宋体" w:cs="宋体"/>
          <w:color w:val="auto"/>
          <w:sz w:val="21"/>
          <w:szCs w:val="21"/>
          <w:u w:val="single"/>
          <w:lang w:val="en-US" w:eastAsia="zh-CN"/>
        </w:rPr>
        <w:t xml:space="preserve"> </w:t>
      </w:r>
      <w:r>
        <w:rPr>
          <w:rFonts w:hint="eastAsia" w:ascii="宋体" w:hAnsi="宋体" w:eastAsia="宋体" w:cs="宋体"/>
          <w:color w:val="auto"/>
          <w:sz w:val="21"/>
          <w:szCs w:val="21"/>
        </w:rPr>
        <w:t>年</w:t>
      </w:r>
      <w:r>
        <w:rPr>
          <w:rFonts w:hint="eastAsia" w:eastAsia="宋体" w:cs="宋体"/>
          <w:color w:val="auto"/>
          <w:sz w:val="21"/>
          <w:szCs w:val="21"/>
          <w:u w:val="single"/>
          <w:lang w:val="en-US" w:eastAsia="zh-CN"/>
        </w:rPr>
        <w:t xml:space="preserve"> </w:t>
      </w:r>
      <w:r>
        <w:rPr>
          <w:rFonts w:hint="eastAsia" w:ascii="宋体" w:hAnsi="宋体" w:eastAsia="宋体" w:cs="宋体"/>
          <w:color w:val="auto"/>
          <w:sz w:val="21"/>
          <w:szCs w:val="21"/>
        </w:rPr>
        <w:t>月</w:t>
      </w:r>
      <w:r>
        <w:rPr>
          <w:rFonts w:hint="eastAsia" w:eastAsia="宋体" w:cs="宋体"/>
          <w:color w:val="auto"/>
          <w:sz w:val="21"/>
          <w:szCs w:val="21"/>
          <w:u w:val="single"/>
          <w:lang w:val="en-US" w:eastAsia="zh-CN"/>
        </w:rPr>
        <w:t xml:space="preserve"> </w:t>
      </w:r>
      <w:r>
        <w:rPr>
          <w:rFonts w:hint="eastAsia" w:ascii="宋体" w:hAnsi="宋体" w:eastAsia="宋体" w:cs="宋体"/>
          <w:color w:val="auto"/>
          <w:sz w:val="21"/>
          <w:szCs w:val="21"/>
        </w:rPr>
        <w:t>日。</w:t>
      </w:r>
    </w:p>
    <w:p w14:paraId="375EBD90">
      <w:pPr>
        <w:pageBreakBefore w:val="0"/>
        <w:kinsoku/>
        <w:overflowPunct/>
        <w:bidi w:val="0"/>
        <w:spacing w:after="0" w:afterLines="0" w:line="360" w:lineRule="auto"/>
        <w:ind w:firstLine="459"/>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工期总日历天数：</w:t>
      </w:r>
      <w:r>
        <w:rPr>
          <w:rFonts w:hint="eastAsia" w:ascii="宋体" w:hAnsi="宋体" w:eastAsia="宋体" w:cs="宋体"/>
          <w:color w:val="auto"/>
          <w:sz w:val="21"/>
          <w:szCs w:val="21"/>
          <w:u w:val="single"/>
          <w:lang w:eastAsia="zh-CN"/>
        </w:rPr>
        <w:t xml:space="preserve"> </w:t>
      </w:r>
      <w:r>
        <w:rPr>
          <w:rFonts w:hint="eastAsia" w:eastAsia="宋体" w:cs="宋体"/>
          <w:color w:val="auto"/>
          <w:sz w:val="21"/>
          <w:szCs w:val="21"/>
          <w:u w:val="single"/>
          <w:lang w:val="en-US" w:eastAsia="zh-CN"/>
        </w:rPr>
        <w:t xml:space="preserve">  </w:t>
      </w:r>
      <w:r>
        <w:rPr>
          <w:rFonts w:hint="eastAsia" w:ascii="宋体" w:hAnsi="宋体" w:eastAsia="宋体" w:cs="宋体"/>
          <w:color w:val="auto"/>
          <w:sz w:val="21"/>
          <w:szCs w:val="21"/>
          <w:lang w:eastAsia="zh-CN"/>
        </w:rPr>
        <w:t>天。</w:t>
      </w:r>
      <w:r>
        <w:rPr>
          <w:rFonts w:hint="eastAsia" w:ascii="宋体" w:hAnsi="宋体" w:eastAsia="宋体" w:cs="宋体"/>
          <w:color w:val="auto"/>
          <w:sz w:val="21"/>
          <w:szCs w:val="21"/>
        </w:rPr>
        <w:t>工期总日历天数与根据前述计划开竣工日期计算的工期天数不一致的，以工期总日历天数为准。</w:t>
      </w:r>
    </w:p>
    <w:p w14:paraId="5C4E4855">
      <w:pPr>
        <w:pStyle w:val="89"/>
        <w:pageBreakBefore w:val="0"/>
        <w:numPr>
          <w:ilvl w:val="0"/>
          <w:numId w:val="0"/>
        </w:numPr>
        <w:kinsoku/>
        <w:wordWrap/>
        <w:overflowPunct/>
        <w:topLinePunct w:val="0"/>
        <w:bidi w:val="0"/>
        <w:spacing w:after="0" w:afterLines="0" w:line="360" w:lineRule="auto"/>
        <w:textAlignment w:val="auto"/>
        <w:rPr>
          <w:rFonts w:hint="eastAsia" w:ascii="宋体" w:hAnsi="宋体" w:eastAsia="宋体" w:cs="宋体"/>
          <w:b/>
          <w:bCs w:val="0"/>
          <w:color w:val="auto"/>
          <w:sz w:val="21"/>
          <w:szCs w:val="21"/>
        </w:rPr>
      </w:pPr>
      <w:bookmarkStart w:id="10" w:name="_Toc54862167"/>
      <w:bookmarkStart w:id="11" w:name="_Toc29279"/>
      <w:r>
        <w:rPr>
          <w:rFonts w:hint="eastAsia" w:ascii="宋体" w:hAnsi="宋体" w:eastAsia="宋体" w:cs="宋体"/>
          <w:b/>
          <w:bCs w:val="0"/>
          <w:color w:val="auto"/>
          <w:sz w:val="21"/>
          <w:szCs w:val="21"/>
        </w:rPr>
        <w:t>三、质量标准</w:t>
      </w:r>
      <w:bookmarkEnd w:id="10"/>
      <w:bookmarkEnd w:id="11"/>
    </w:p>
    <w:p w14:paraId="664D8BAF">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工程质量标准：</w:t>
      </w:r>
      <w:r>
        <w:rPr>
          <w:rFonts w:hint="eastAsia" w:ascii="宋体" w:hAnsi="宋体" w:eastAsia="宋体" w:cs="宋体"/>
          <w:color w:val="auto"/>
          <w:sz w:val="21"/>
          <w:szCs w:val="21"/>
          <w:u w:val="single"/>
        </w:rPr>
        <w:t>合格。</w:t>
      </w:r>
    </w:p>
    <w:p w14:paraId="4DBB33B6">
      <w:pPr>
        <w:pStyle w:val="89"/>
        <w:pageBreakBefore w:val="0"/>
        <w:numPr>
          <w:ilvl w:val="0"/>
          <w:numId w:val="0"/>
        </w:numPr>
        <w:kinsoku/>
        <w:wordWrap/>
        <w:overflowPunct/>
        <w:topLinePunct w:val="0"/>
        <w:bidi w:val="0"/>
        <w:spacing w:after="0" w:afterLines="0" w:line="360" w:lineRule="auto"/>
        <w:textAlignment w:val="auto"/>
        <w:rPr>
          <w:rFonts w:hint="eastAsia" w:ascii="宋体" w:hAnsi="宋体" w:eastAsia="宋体" w:cs="宋体"/>
          <w:b/>
          <w:bCs w:val="0"/>
          <w:color w:val="auto"/>
          <w:sz w:val="21"/>
          <w:szCs w:val="21"/>
        </w:rPr>
      </w:pPr>
      <w:bookmarkStart w:id="12" w:name="_Toc12075"/>
      <w:bookmarkStart w:id="13" w:name="_Toc54862168"/>
      <w:r>
        <w:rPr>
          <w:rFonts w:hint="eastAsia" w:ascii="宋体" w:hAnsi="宋体" w:eastAsia="宋体" w:cs="宋体"/>
          <w:b/>
          <w:bCs w:val="0"/>
          <w:color w:val="auto"/>
          <w:sz w:val="21"/>
          <w:szCs w:val="21"/>
          <w:lang w:val="en-US" w:eastAsia="zh-CN"/>
        </w:rPr>
        <w:t>四、</w:t>
      </w:r>
      <w:r>
        <w:rPr>
          <w:rFonts w:hint="eastAsia" w:ascii="宋体" w:hAnsi="宋体" w:eastAsia="宋体" w:cs="宋体"/>
          <w:b/>
          <w:bCs w:val="0"/>
          <w:color w:val="auto"/>
          <w:sz w:val="21"/>
          <w:szCs w:val="21"/>
        </w:rPr>
        <w:t>签约合同价与合同价格形式</w:t>
      </w:r>
      <w:bookmarkEnd w:id="12"/>
      <w:bookmarkEnd w:id="13"/>
    </w:p>
    <w:p w14:paraId="5B511CBF">
      <w:pPr>
        <w:pageBreakBefore w:val="0"/>
        <w:kinsoku/>
        <w:overflowPunct/>
        <w:bidi w:val="0"/>
        <w:spacing w:after="0" w:afterLines="0" w:line="360" w:lineRule="auto"/>
        <w:ind w:firstLine="420" w:firstLineChars="200"/>
        <w:textAlignment w:val="auto"/>
        <w:rPr>
          <w:rFonts w:hint="eastAsia" w:cs="宋体"/>
          <w:color w:val="auto"/>
          <w:sz w:val="21"/>
          <w:szCs w:val="21"/>
          <w:highlight w:val="none"/>
        </w:rPr>
      </w:pPr>
      <w:r>
        <w:rPr>
          <w:rFonts w:hint="eastAsia" w:cs="宋体"/>
          <w:color w:val="auto"/>
          <w:sz w:val="21"/>
          <w:szCs w:val="21"/>
          <w:highlight w:val="none"/>
        </w:rPr>
        <w:t>1.签约合同价为中标人的中标价：</w:t>
      </w:r>
    </w:p>
    <w:p w14:paraId="7FE26F4B">
      <w:pPr>
        <w:pageBreakBefore w:val="0"/>
        <w:kinsoku/>
        <w:overflowPunct/>
        <w:bidi w:val="0"/>
        <w:spacing w:after="0" w:afterLines="0" w:line="360" w:lineRule="auto"/>
        <w:ind w:firstLine="525" w:firstLineChars="250"/>
        <w:textAlignment w:val="auto"/>
        <w:rPr>
          <w:rFonts w:hint="eastAsia" w:cs="宋体"/>
          <w:color w:val="auto"/>
          <w:sz w:val="21"/>
          <w:szCs w:val="21"/>
          <w:highlight w:val="none"/>
        </w:rPr>
      </w:pPr>
      <w:r>
        <w:rPr>
          <w:rFonts w:hint="eastAsia" w:cs="宋体"/>
          <w:color w:val="auto"/>
          <w:sz w:val="21"/>
          <w:szCs w:val="21"/>
          <w:highlight w:val="none"/>
        </w:rPr>
        <w:t>人民币（大写）</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w:t>
      </w:r>
      <w:r>
        <w:rPr>
          <w:rFonts w:hint="eastAsia"/>
          <w:color w:val="auto"/>
          <w:sz w:val="21"/>
          <w:szCs w:val="21"/>
          <w:highlight w:val="none"/>
          <w:u w:val="single"/>
        </w:rPr>
        <w:t xml:space="preserve">       </w:t>
      </w:r>
      <w:r>
        <w:rPr>
          <w:rFonts w:hint="eastAsia" w:cs="宋体"/>
          <w:color w:val="auto"/>
          <w:sz w:val="21"/>
          <w:szCs w:val="21"/>
          <w:highlight w:val="none"/>
        </w:rPr>
        <w:t>元)，其中：</w:t>
      </w:r>
    </w:p>
    <w:p w14:paraId="431734D8">
      <w:pPr>
        <w:pageBreakBefore w:val="0"/>
        <w:kinsoku/>
        <w:overflowPunct/>
        <w:bidi w:val="0"/>
        <w:spacing w:after="0" w:afterLines="0" w:line="360" w:lineRule="auto"/>
        <w:ind w:firstLine="420" w:firstLineChars="200"/>
        <w:textAlignment w:val="auto"/>
        <w:rPr>
          <w:rFonts w:hint="eastAsia" w:cs="宋体"/>
          <w:color w:val="auto"/>
          <w:sz w:val="21"/>
          <w:szCs w:val="21"/>
          <w:highlight w:val="none"/>
        </w:rPr>
      </w:pPr>
      <w:r>
        <w:rPr>
          <w:rFonts w:hint="eastAsia" w:cs="宋体"/>
          <w:color w:val="auto"/>
          <w:sz w:val="21"/>
          <w:szCs w:val="21"/>
          <w:highlight w:val="none"/>
        </w:rPr>
        <w:t>（1）安全文明施工费：</w:t>
      </w:r>
    </w:p>
    <w:p w14:paraId="7BD961C8">
      <w:pPr>
        <w:pageBreakBefore w:val="0"/>
        <w:kinsoku/>
        <w:overflowPunct/>
        <w:bidi w:val="0"/>
        <w:spacing w:after="0" w:afterLines="0" w:line="360" w:lineRule="auto"/>
        <w:ind w:firstLine="945" w:firstLineChars="450"/>
        <w:textAlignment w:val="auto"/>
        <w:rPr>
          <w:rFonts w:hint="eastAsia" w:cs="宋体"/>
          <w:color w:val="auto"/>
          <w:sz w:val="21"/>
          <w:szCs w:val="21"/>
          <w:highlight w:val="none"/>
        </w:rPr>
      </w:pPr>
      <w:r>
        <w:rPr>
          <w:rFonts w:hint="eastAsia" w:cs="宋体"/>
          <w:color w:val="auto"/>
          <w:sz w:val="21"/>
          <w:szCs w:val="21"/>
          <w:highlight w:val="none"/>
        </w:rPr>
        <w:t>人民币（大写）</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元)；</w:t>
      </w:r>
    </w:p>
    <w:p w14:paraId="446BF59E">
      <w:pPr>
        <w:pageBreakBefore w:val="0"/>
        <w:kinsoku/>
        <w:overflowPunct/>
        <w:bidi w:val="0"/>
        <w:spacing w:after="0" w:afterLines="0" w:line="360" w:lineRule="auto"/>
        <w:ind w:firstLine="420" w:firstLineChars="200"/>
        <w:textAlignment w:val="auto"/>
        <w:rPr>
          <w:rFonts w:hint="eastAsia" w:cs="宋体"/>
          <w:color w:val="auto"/>
          <w:sz w:val="21"/>
          <w:szCs w:val="21"/>
          <w:highlight w:val="none"/>
        </w:rPr>
      </w:pPr>
      <w:r>
        <w:rPr>
          <w:rFonts w:hint="eastAsia" w:cs="宋体"/>
          <w:color w:val="auto"/>
          <w:sz w:val="21"/>
          <w:szCs w:val="21"/>
          <w:highlight w:val="none"/>
        </w:rPr>
        <w:t>（2）材料和工程设备暂估价金额：</w:t>
      </w:r>
    </w:p>
    <w:p w14:paraId="76C9F7F7">
      <w:pPr>
        <w:pageBreakBefore w:val="0"/>
        <w:kinsoku/>
        <w:overflowPunct/>
        <w:bidi w:val="0"/>
        <w:spacing w:after="0" w:afterLines="0" w:line="360" w:lineRule="auto"/>
        <w:ind w:firstLine="945" w:firstLineChars="450"/>
        <w:textAlignment w:val="auto"/>
        <w:rPr>
          <w:rFonts w:hint="eastAsia" w:cs="宋体"/>
          <w:color w:val="auto"/>
          <w:sz w:val="21"/>
          <w:szCs w:val="21"/>
          <w:highlight w:val="none"/>
        </w:rPr>
      </w:pPr>
      <w:r>
        <w:rPr>
          <w:rFonts w:hint="eastAsia" w:cs="宋体"/>
          <w:color w:val="auto"/>
          <w:sz w:val="21"/>
          <w:szCs w:val="21"/>
          <w:highlight w:val="none"/>
        </w:rPr>
        <w:t>人民币（大写）</w:t>
      </w:r>
      <w:r>
        <w:rPr>
          <w:rFonts w:hint="eastAsia" w:cs="宋体"/>
          <w:color w:val="auto"/>
          <w:sz w:val="21"/>
          <w:szCs w:val="21"/>
          <w:highlight w:val="none"/>
          <w:u w:val="single"/>
        </w:rPr>
        <w:t xml:space="preserve">         </w:t>
      </w:r>
      <w:r>
        <w:rPr>
          <w:rFonts w:hint="eastAsia" w:cs="宋体"/>
          <w:color w:val="auto"/>
          <w:sz w:val="21"/>
          <w:szCs w:val="21"/>
          <w:highlight w:val="none"/>
        </w:rPr>
        <w:t>(¥</w:t>
      </w:r>
      <w:r>
        <w:rPr>
          <w:rFonts w:hint="eastAsia" w:cs="宋体"/>
          <w:color w:val="auto"/>
          <w:sz w:val="21"/>
          <w:szCs w:val="21"/>
          <w:highlight w:val="none"/>
          <w:u w:val="single"/>
        </w:rPr>
        <w:t xml:space="preserve">      </w:t>
      </w:r>
      <w:r>
        <w:rPr>
          <w:rFonts w:hint="eastAsia" w:cs="宋体"/>
          <w:color w:val="auto"/>
          <w:sz w:val="21"/>
          <w:szCs w:val="21"/>
          <w:highlight w:val="none"/>
        </w:rPr>
        <w:t>元)；</w:t>
      </w:r>
    </w:p>
    <w:p w14:paraId="4A21F89E">
      <w:pPr>
        <w:pageBreakBefore w:val="0"/>
        <w:kinsoku/>
        <w:overflowPunct/>
        <w:bidi w:val="0"/>
        <w:spacing w:after="0" w:afterLines="0" w:line="360" w:lineRule="auto"/>
        <w:ind w:firstLine="420" w:firstLineChars="200"/>
        <w:textAlignment w:val="auto"/>
        <w:rPr>
          <w:rFonts w:hint="eastAsia" w:cs="宋体"/>
          <w:color w:val="auto"/>
          <w:sz w:val="21"/>
          <w:szCs w:val="21"/>
          <w:highlight w:val="none"/>
        </w:rPr>
      </w:pPr>
      <w:r>
        <w:rPr>
          <w:rFonts w:hint="eastAsia" w:cs="宋体"/>
          <w:color w:val="auto"/>
          <w:sz w:val="21"/>
          <w:szCs w:val="21"/>
          <w:highlight w:val="none"/>
        </w:rPr>
        <w:t>（3）专业工程暂估价金额：</w:t>
      </w:r>
    </w:p>
    <w:p w14:paraId="2B093384">
      <w:pPr>
        <w:pageBreakBefore w:val="0"/>
        <w:kinsoku/>
        <w:overflowPunct/>
        <w:bidi w:val="0"/>
        <w:spacing w:after="0" w:afterLines="0" w:line="360" w:lineRule="auto"/>
        <w:ind w:firstLine="945" w:firstLineChars="450"/>
        <w:textAlignment w:val="auto"/>
        <w:rPr>
          <w:rFonts w:hint="eastAsia" w:cs="宋体"/>
          <w:color w:val="auto"/>
          <w:sz w:val="21"/>
          <w:szCs w:val="21"/>
          <w:highlight w:val="none"/>
        </w:rPr>
      </w:pPr>
      <w:r>
        <w:rPr>
          <w:rFonts w:hint="eastAsia" w:cs="宋体"/>
          <w:color w:val="auto"/>
          <w:sz w:val="21"/>
          <w:szCs w:val="21"/>
          <w:highlight w:val="none"/>
        </w:rPr>
        <w:t>人民币（大写）</w:t>
      </w:r>
      <w:r>
        <w:rPr>
          <w:rFonts w:hint="eastAsia" w:cs="宋体"/>
          <w:color w:val="auto"/>
          <w:sz w:val="21"/>
          <w:szCs w:val="21"/>
          <w:highlight w:val="none"/>
          <w:u w:val="single"/>
        </w:rPr>
        <w:t xml:space="preserve">            </w:t>
      </w:r>
      <w:r>
        <w:rPr>
          <w:rFonts w:hint="eastAsia" w:cs="宋体"/>
          <w:color w:val="auto"/>
          <w:sz w:val="21"/>
          <w:szCs w:val="21"/>
          <w:highlight w:val="none"/>
        </w:rPr>
        <w:t>(¥</w:t>
      </w:r>
      <w:r>
        <w:rPr>
          <w:rFonts w:hint="eastAsia" w:cs="宋体"/>
          <w:color w:val="auto"/>
          <w:sz w:val="21"/>
          <w:szCs w:val="21"/>
          <w:highlight w:val="none"/>
          <w:u w:val="single"/>
        </w:rPr>
        <w:t xml:space="preserve">         </w:t>
      </w:r>
      <w:r>
        <w:rPr>
          <w:rFonts w:hint="eastAsia" w:cs="宋体"/>
          <w:color w:val="auto"/>
          <w:sz w:val="21"/>
          <w:szCs w:val="21"/>
          <w:highlight w:val="none"/>
        </w:rPr>
        <w:t>元)；</w:t>
      </w:r>
    </w:p>
    <w:p w14:paraId="15734FE4">
      <w:pPr>
        <w:pageBreakBefore w:val="0"/>
        <w:kinsoku/>
        <w:overflowPunct/>
        <w:bidi w:val="0"/>
        <w:spacing w:after="0" w:afterLines="0" w:line="360" w:lineRule="auto"/>
        <w:ind w:firstLine="420" w:firstLineChars="200"/>
        <w:textAlignment w:val="auto"/>
        <w:rPr>
          <w:rFonts w:hint="eastAsia" w:cs="宋体"/>
          <w:color w:val="auto"/>
          <w:sz w:val="21"/>
          <w:szCs w:val="21"/>
          <w:highlight w:val="none"/>
        </w:rPr>
      </w:pPr>
      <w:r>
        <w:rPr>
          <w:rFonts w:hint="eastAsia" w:cs="宋体"/>
          <w:color w:val="auto"/>
          <w:sz w:val="21"/>
          <w:szCs w:val="21"/>
          <w:highlight w:val="none"/>
        </w:rPr>
        <w:t>（4）暂列金额：</w:t>
      </w:r>
    </w:p>
    <w:p w14:paraId="06FBD3BE">
      <w:pPr>
        <w:pageBreakBefore w:val="0"/>
        <w:kinsoku/>
        <w:overflowPunct/>
        <w:bidi w:val="0"/>
        <w:spacing w:after="0" w:afterLines="0" w:line="360" w:lineRule="auto"/>
        <w:ind w:firstLine="945" w:firstLineChars="450"/>
        <w:textAlignment w:val="auto"/>
        <w:rPr>
          <w:rFonts w:hint="eastAsia" w:cs="宋体"/>
          <w:color w:val="auto"/>
          <w:sz w:val="21"/>
          <w:szCs w:val="21"/>
          <w:highlight w:val="none"/>
        </w:rPr>
      </w:pPr>
      <w:r>
        <w:rPr>
          <w:rFonts w:hint="eastAsia" w:cs="宋体"/>
          <w:color w:val="auto"/>
          <w:sz w:val="21"/>
          <w:szCs w:val="21"/>
          <w:highlight w:val="none"/>
        </w:rPr>
        <w:t>人民币（大写）</w:t>
      </w:r>
      <w:r>
        <w:rPr>
          <w:rFonts w:hint="eastAsia" w:cs="宋体"/>
          <w:color w:val="auto"/>
          <w:sz w:val="21"/>
          <w:szCs w:val="21"/>
          <w:highlight w:val="none"/>
          <w:u w:val="single"/>
        </w:rPr>
        <w:t xml:space="preserve">          </w:t>
      </w:r>
      <w:r>
        <w:rPr>
          <w:rFonts w:hint="eastAsia" w:cs="宋体"/>
          <w:color w:val="auto"/>
          <w:sz w:val="21"/>
          <w:szCs w:val="21"/>
          <w:highlight w:val="none"/>
        </w:rPr>
        <w:t>(¥</w:t>
      </w:r>
      <w:r>
        <w:rPr>
          <w:rFonts w:hint="eastAsia" w:cs="宋体"/>
          <w:color w:val="auto"/>
          <w:sz w:val="21"/>
          <w:szCs w:val="21"/>
          <w:highlight w:val="none"/>
          <w:u w:val="single"/>
        </w:rPr>
        <w:t xml:space="preserve">         </w:t>
      </w:r>
      <w:r>
        <w:rPr>
          <w:rFonts w:hint="eastAsia" w:cs="宋体"/>
          <w:color w:val="auto"/>
          <w:sz w:val="21"/>
          <w:szCs w:val="21"/>
          <w:highlight w:val="none"/>
        </w:rPr>
        <w:t>元)。</w:t>
      </w:r>
    </w:p>
    <w:p w14:paraId="751998D8">
      <w:pPr>
        <w:pageBreakBefore w:val="0"/>
        <w:kinsoku/>
        <w:overflowPunct/>
        <w:bidi w:val="0"/>
        <w:spacing w:after="0" w:afterLines="0" w:line="360" w:lineRule="auto"/>
        <w:ind w:firstLine="420" w:firstLineChars="200"/>
        <w:textAlignment w:val="auto"/>
        <w:rPr>
          <w:rFonts w:hint="eastAsia" w:cs="宋体"/>
          <w:color w:val="auto"/>
          <w:sz w:val="21"/>
          <w:szCs w:val="21"/>
          <w:highlight w:val="none"/>
        </w:rPr>
      </w:pPr>
      <w:r>
        <w:rPr>
          <w:rFonts w:hint="eastAsia" w:cs="宋体"/>
          <w:color w:val="auto"/>
          <w:sz w:val="21"/>
          <w:szCs w:val="21"/>
          <w:highlight w:val="none"/>
        </w:rPr>
        <w:t>2.合同价格形式：</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（合同约定可调价格除外）</w:t>
      </w:r>
      <w:r>
        <w:rPr>
          <w:rFonts w:hint="eastAsia" w:cs="宋体"/>
          <w:color w:val="auto"/>
          <w:sz w:val="21"/>
          <w:szCs w:val="21"/>
          <w:highlight w:val="none"/>
        </w:rPr>
        <w:t>。</w:t>
      </w:r>
    </w:p>
    <w:p w14:paraId="246D8D60">
      <w:pPr>
        <w:pageBreakBefore w:val="0"/>
        <w:kinsoku/>
        <w:overflowPunct/>
        <w:bidi w:val="0"/>
        <w:spacing w:after="0" w:afterLines="0" w:line="360" w:lineRule="auto"/>
        <w:ind w:firstLine="420" w:firstLineChars="200"/>
        <w:textAlignment w:val="auto"/>
        <w:rPr>
          <w:rFonts w:hint="eastAsia"/>
        </w:rPr>
      </w:pPr>
      <w:r>
        <w:rPr>
          <w:rFonts w:hint="eastAsia" w:cs="宋体"/>
          <w:color w:val="auto"/>
          <w:sz w:val="21"/>
          <w:szCs w:val="21"/>
          <w:highlight w:val="none"/>
        </w:rPr>
        <w:t>3.合同中标下浮率：</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6D0E93B">
      <w:pPr>
        <w:pStyle w:val="89"/>
        <w:pageBreakBefore w:val="0"/>
        <w:numPr>
          <w:ilvl w:val="0"/>
          <w:numId w:val="0"/>
        </w:numPr>
        <w:kinsoku/>
        <w:wordWrap/>
        <w:overflowPunct/>
        <w:topLinePunct w:val="0"/>
        <w:bidi w:val="0"/>
        <w:spacing w:after="0" w:afterLines="0" w:line="360" w:lineRule="auto"/>
        <w:textAlignment w:val="auto"/>
        <w:rPr>
          <w:rFonts w:hint="eastAsia" w:ascii="宋体" w:hAnsi="宋体" w:eastAsia="宋体" w:cs="宋体"/>
          <w:b/>
          <w:bCs w:val="0"/>
          <w:color w:val="auto"/>
          <w:sz w:val="21"/>
          <w:szCs w:val="21"/>
        </w:rPr>
      </w:pPr>
      <w:bookmarkStart w:id="14" w:name="_Toc18587"/>
      <w:bookmarkStart w:id="15" w:name="_Toc54862169"/>
      <w:r>
        <w:rPr>
          <w:rFonts w:hint="eastAsia" w:ascii="宋体" w:hAnsi="宋体" w:eastAsia="宋体" w:cs="宋体"/>
          <w:b/>
          <w:bCs w:val="0"/>
          <w:color w:val="auto"/>
          <w:sz w:val="21"/>
          <w:szCs w:val="21"/>
        </w:rPr>
        <w:t>五、工程</w:t>
      </w:r>
      <w:r>
        <w:rPr>
          <w:rFonts w:hint="eastAsia" w:ascii="宋体" w:hAnsi="宋体" w:eastAsia="宋体" w:cs="宋体"/>
          <w:b/>
          <w:bCs w:val="0"/>
          <w:color w:val="auto"/>
          <w:sz w:val="21"/>
          <w:szCs w:val="21"/>
          <w:lang w:eastAsia="zh-CN"/>
        </w:rPr>
        <w:t>施工</w:t>
      </w:r>
      <w:r>
        <w:rPr>
          <w:rFonts w:hint="eastAsia" w:ascii="宋体" w:hAnsi="宋体" w:eastAsia="宋体" w:cs="宋体"/>
          <w:b/>
          <w:bCs w:val="0"/>
          <w:color w:val="auto"/>
          <w:sz w:val="21"/>
          <w:szCs w:val="21"/>
        </w:rPr>
        <w:t>项目经理</w:t>
      </w:r>
      <w:bookmarkEnd w:id="14"/>
      <w:bookmarkEnd w:id="15"/>
    </w:p>
    <w:p w14:paraId="708CFC15">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w:t>
      </w:r>
      <w:r>
        <w:rPr>
          <w:rFonts w:hint="eastAsia" w:ascii="宋体" w:hAnsi="宋体" w:eastAsia="宋体" w:cs="宋体"/>
          <w:color w:val="auto"/>
          <w:sz w:val="21"/>
          <w:szCs w:val="21"/>
          <w:lang w:eastAsia="zh-CN"/>
        </w:rPr>
        <w:t>施工</w:t>
      </w:r>
      <w:r>
        <w:rPr>
          <w:rFonts w:hint="eastAsia" w:ascii="宋体" w:hAnsi="宋体" w:eastAsia="宋体" w:cs="宋体"/>
          <w:color w:val="auto"/>
          <w:sz w:val="21"/>
          <w:szCs w:val="21"/>
        </w:rPr>
        <w:t>项目经理：</w:t>
      </w:r>
      <w:r>
        <w:rPr>
          <w:rFonts w:hint="eastAsia" w:ascii="宋体" w:hAnsi="宋体" w:eastAsia="宋体" w:cs="宋体"/>
          <w:color w:val="auto"/>
          <w:sz w:val="21"/>
          <w:szCs w:val="21"/>
          <w:u w:val="single"/>
        </w:rPr>
        <w:t xml:space="preserve">        </w:t>
      </w:r>
      <w:r>
        <w:rPr>
          <w:rFonts w:hint="eastAsia" w:eastAsia="宋体" w:cs="宋体"/>
          <w:color w:val="auto"/>
          <w:sz w:val="21"/>
          <w:szCs w:val="21"/>
          <w:u w:val="single"/>
          <w:lang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24F5A510">
      <w:pPr>
        <w:pStyle w:val="89"/>
        <w:pageBreakBefore w:val="0"/>
        <w:numPr>
          <w:ilvl w:val="0"/>
          <w:numId w:val="0"/>
        </w:numPr>
        <w:kinsoku/>
        <w:wordWrap/>
        <w:overflowPunct/>
        <w:topLinePunct w:val="0"/>
        <w:bidi w:val="0"/>
        <w:spacing w:after="0" w:afterLines="0" w:line="360" w:lineRule="auto"/>
        <w:textAlignment w:val="auto"/>
        <w:rPr>
          <w:rFonts w:hint="eastAsia" w:ascii="宋体" w:hAnsi="宋体" w:eastAsia="宋体" w:cs="宋体"/>
          <w:b/>
          <w:bCs w:val="0"/>
          <w:color w:val="auto"/>
          <w:sz w:val="21"/>
          <w:szCs w:val="21"/>
        </w:rPr>
      </w:pPr>
      <w:bookmarkStart w:id="16" w:name="_Toc54862170"/>
      <w:bookmarkStart w:id="17" w:name="_Toc19347"/>
      <w:r>
        <w:rPr>
          <w:rFonts w:hint="eastAsia" w:ascii="宋体" w:hAnsi="宋体" w:eastAsia="宋体" w:cs="宋体"/>
          <w:b/>
          <w:bCs w:val="0"/>
          <w:color w:val="auto"/>
          <w:sz w:val="21"/>
          <w:szCs w:val="21"/>
        </w:rPr>
        <w:t>六</w:t>
      </w:r>
      <w:r>
        <w:rPr>
          <w:rFonts w:hint="eastAsia" w:ascii="宋体" w:hAnsi="宋体" w:eastAsia="宋体" w:cs="宋体"/>
          <w:b/>
          <w:bCs w:val="0"/>
          <w:color w:val="auto"/>
          <w:sz w:val="21"/>
          <w:szCs w:val="21"/>
        </w:rPr>
        <w:t>、合同文件构成</w:t>
      </w:r>
      <w:bookmarkEnd w:id="16"/>
      <w:bookmarkEnd w:id="17"/>
    </w:p>
    <w:p w14:paraId="3E3E5809">
      <w:pPr>
        <w:pageBreakBefore w:val="0"/>
        <w:kinsoku/>
        <w:overflowPunct/>
        <w:bidi w:val="0"/>
        <w:spacing w:after="0" w:afterLines="0" w:line="360" w:lineRule="auto"/>
        <w:ind w:firstLine="420" w:firstLineChars="200"/>
        <w:textAlignment w:val="auto"/>
        <w:rPr>
          <w:rFonts w:hint="eastAsia" w:ascii="宋体" w:hAnsi="宋体" w:eastAsia="宋体" w:cs="宋体"/>
          <w:bCs/>
          <w:color w:val="auto"/>
          <w:sz w:val="21"/>
          <w:szCs w:val="21"/>
          <w:highlight w:val="none"/>
        </w:rPr>
      </w:pPr>
      <w:bookmarkStart w:id="18" w:name="_Toc54862171"/>
      <w:bookmarkStart w:id="19" w:name="_Toc12114"/>
      <w:r>
        <w:rPr>
          <w:rFonts w:hint="eastAsia" w:ascii="宋体" w:hAnsi="宋体" w:eastAsia="宋体" w:cs="宋体"/>
          <w:bCs/>
          <w:color w:val="auto"/>
          <w:sz w:val="21"/>
          <w:szCs w:val="21"/>
          <w:highlight w:val="none"/>
        </w:rPr>
        <w:t>本协议书与下列文件一起构成合同文件：</w:t>
      </w:r>
    </w:p>
    <w:p w14:paraId="38EAA619">
      <w:pPr>
        <w:pageBreakBefore w:val="0"/>
        <w:kinsoku/>
        <w:overflowPunct/>
        <w:bidi w:val="0"/>
        <w:spacing w:after="0" w:afterLines="0"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（1）合同协议书</w:t>
      </w:r>
    </w:p>
    <w:p w14:paraId="61005E0A">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（2）中标通知书（如果有）；</w:t>
      </w:r>
    </w:p>
    <w:p w14:paraId="3CB335DD">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（3）投标函及其附录（如果有）；</w:t>
      </w:r>
    </w:p>
    <w:p w14:paraId="43A2DA2C">
      <w:pPr>
        <w:pageBreakBefore w:val="0"/>
        <w:kinsoku/>
        <w:overflowPunct/>
        <w:autoSpaceDE w:val="0"/>
        <w:autoSpaceDN w:val="0"/>
        <w:bidi w:val="0"/>
        <w:adjustRightInd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（4）专用合同条款及其附件；</w:t>
      </w:r>
    </w:p>
    <w:p w14:paraId="13225DB9">
      <w:pPr>
        <w:pageBreakBefore w:val="0"/>
        <w:kinsoku/>
        <w:overflowPunct/>
        <w:autoSpaceDE w:val="0"/>
        <w:autoSpaceDN w:val="0"/>
        <w:bidi w:val="0"/>
        <w:adjustRightInd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（5）通用合同条款；</w:t>
      </w:r>
    </w:p>
    <w:p w14:paraId="10A4AC36">
      <w:pPr>
        <w:pageBreakBefore w:val="0"/>
        <w:kinsoku/>
        <w:overflowPunct/>
        <w:autoSpaceDE w:val="0"/>
        <w:autoSpaceDN w:val="0"/>
        <w:bidi w:val="0"/>
        <w:adjustRightInd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（6）技术标准和要求；</w:t>
      </w:r>
    </w:p>
    <w:p w14:paraId="4EE4455B">
      <w:pPr>
        <w:pageBreakBefore w:val="0"/>
        <w:kinsoku/>
        <w:overflowPunct/>
        <w:autoSpaceDE w:val="0"/>
        <w:autoSpaceDN w:val="0"/>
        <w:bidi w:val="0"/>
        <w:adjustRightInd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（7）图纸；</w:t>
      </w:r>
    </w:p>
    <w:p w14:paraId="58774A00">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（8）已标价工程量清单或预算书；</w:t>
      </w:r>
    </w:p>
    <w:p w14:paraId="68D720DA">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（9）其他合同文件。</w:t>
      </w:r>
    </w:p>
    <w:p w14:paraId="03BC4DCA">
      <w:pPr>
        <w:pageBreakBefore w:val="0"/>
        <w:kinsoku/>
        <w:overflowPunct/>
        <w:autoSpaceDE w:val="0"/>
        <w:autoSpaceDN w:val="0"/>
        <w:bidi w:val="0"/>
        <w:adjustRightInd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上述各项合同文件应互相解释，互为说明。除专用合同条款另有约定外，解释合同文件的优先顺序按上述排序。</w:t>
      </w:r>
    </w:p>
    <w:p w14:paraId="23BF1FC8">
      <w:pPr>
        <w:pageBreakBefore w:val="0"/>
        <w:kinsoku/>
        <w:overflowPunct/>
        <w:autoSpaceDE w:val="0"/>
        <w:autoSpaceDN w:val="0"/>
        <w:bidi w:val="0"/>
        <w:adjustRightInd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14:paraId="159DA9AC">
      <w:pPr>
        <w:pStyle w:val="89"/>
        <w:pageBreakBefore w:val="0"/>
        <w:numPr>
          <w:ilvl w:val="0"/>
          <w:numId w:val="0"/>
        </w:numPr>
        <w:kinsoku/>
        <w:wordWrap/>
        <w:overflowPunct/>
        <w:topLinePunct w:val="0"/>
        <w:bidi w:val="0"/>
        <w:spacing w:after="0" w:afterLines="0" w:line="360" w:lineRule="auto"/>
        <w:textAlignment w:val="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七、承诺</w:t>
      </w:r>
      <w:bookmarkEnd w:id="18"/>
      <w:bookmarkEnd w:id="19"/>
    </w:p>
    <w:p w14:paraId="04468C67">
      <w:pPr>
        <w:pageBreakBefore w:val="0"/>
        <w:kinsoku/>
        <w:overflowPunct/>
        <w:bidi w:val="0"/>
        <w:spacing w:after="0" w:afterLines="0" w:line="360" w:lineRule="auto"/>
        <w:ind w:firstLine="420" w:firstLineChars="200"/>
        <w:textAlignment w:val="auto"/>
        <w:rPr>
          <w:rFonts w:hint="eastAsia" w:cs="宋体"/>
          <w:bCs/>
          <w:color w:val="auto"/>
          <w:sz w:val="21"/>
          <w:szCs w:val="21"/>
          <w:highlight w:val="none"/>
        </w:rPr>
      </w:pPr>
      <w:bookmarkStart w:id="20" w:name="_Toc23435"/>
      <w:bookmarkStart w:id="21" w:name="_Toc54862172"/>
      <w:r>
        <w:rPr>
          <w:rFonts w:hint="eastAsia" w:cs="宋体"/>
          <w:bCs/>
          <w:color w:val="auto"/>
          <w:sz w:val="21"/>
          <w:szCs w:val="21"/>
          <w:highlight w:val="none"/>
        </w:rPr>
        <w:t>1.发包人承诺按照法律规定履行项目审批手续、筹集工程建设资金并按照合同约定的期限和方式支付合同价款。</w:t>
      </w:r>
    </w:p>
    <w:p w14:paraId="39E01329">
      <w:pPr>
        <w:pageBreakBefore w:val="0"/>
        <w:kinsoku/>
        <w:overflowPunct/>
        <w:bidi w:val="0"/>
        <w:spacing w:after="0" w:afterLines="0" w:line="360" w:lineRule="auto"/>
        <w:ind w:firstLine="420" w:firstLineChars="200"/>
        <w:textAlignment w:val="auto"/>
        <w:rPr>
          <w:rFonts w:hint="eastAsia" w:cs="宋体"/>
          <w:bCs/>
          <w:color w:val="auto"/>
          <w:sz w:val="21"/>
          <w:szCs w:val="21"/>
          <w:highlight w:val="none"/>
        </w:rPr>
      </w:pPr>
      <w:r>
        <w:rPr>
          <w:rFonts w:hint="eastAsia" w:cs="宋体"/>
          <w:bCs/>
          <w:color w:val="auto"/>
          <w:sz w:val="21"/>
          <w:szCs w:val="21"/>
          <w:highlight w:val="none"/>
        </w:rPr>
        <w:t>2.承包人承诺按照法律规定及合同约定组织完成工程施工，确保工程质量和安全，不进行转包及违法分包，并在缺陷责任期及保修期内承担相应的工程维修责任。</w:t>
      </w:r>
    </w:p>
    <w:p w14:paraId="2819C595">
      <w:pPr>
        <w:pageBreakBefore w:val="0"/>
        <w:kinsoku/>
        <w:overflowPunct/>
        <w:bidi w:val="0"/>
        <w:spacing w:after="0" w:afterLines="0" w:line="360" w:lineRule="auto"/>
        <w:ind w:firstLine="420" w:firstLineChars="200"/>
        <w:textAlignment w:val="auto"/>
        <w:rPr>
          <w:rFonts w:hint="eastAsia" w:cs="宋体"/>
          <w:bCs/>
          <w:color w:val="auto"/>
          <w:sz w:val="21"/>
          <w:szCs w:val="21"/>
          <w:highlight w:val="none"/>
        </w:rPr>
      </w:pPr>
      <w:r>
        <w:rPr>
          <w:rFonts w:hint="eastAsia" w:cs="宋体"/>
          <w:bCs/>
          <w:color w:val="auto"/>
          <w:sz w:val="21"/>
          <w:szCs w:val="21"/>
          <w:highlight w:val="none"/>
        </w:rPr>
        <w:t>3.发包人和承包人通过招投标形式签订合同的，双方理解并承诺不再就同一工程另行签订与合同实质性内容相背离的协议。</w:t>
      </w:r>
    </w:p>
    <w:p w14:paraId="69707196">
      <w:pPr>
        <w:pageBreakBefore w:val="0"/>
        <w:kinsoku/>
        <w:overflowPunct/>
        <w:bidi w:val="0"/>
        <w:spacing w:after="0" w:afterLines="0" w:line="360" w:lineRule="auto"/>
        <w:ind w:firstLine="420" w:firstLineChars="200"/>
        <w:textAlignment w:val="auto"/>
        <w:rPr>
          <w:rFonts w:hint="eastAsia" w:cs="宋体"/>
          <w:bCs/>
          <w:color w:val="auto"/>
          <w:sz w:val="21"/>
          <w:szCs w:val="21"/>
          <w:highlight w:val="none"/>
        </w:rPr>
      </w:pPr>
      <w:r>
        <w:rPr>
          <w:rFonts w:hint="eastAsia" w:cs="宋体"/>
          <w:bCs/>
          <w:color w:val="auto"/>
          <w:sz w:val="21"/>
          <w:szCs w:val="21"/>
          <w:highlight w:val="none"/>
          <w:lang w:val="en-US" w:eastAsia="zh-CN"/>
        </w:rPr>
        <w:t>4.以下几点如若有其中一条做不到均视为主动放弃中标资格:（1）招标人确定中标单位后，中标单位须在1至3个工作日内与招标人进行面谈；（2）中标单位在领取完中标通知书后须在3至5个工作日内与招标人签订施工合同；（3）标单位10天之内必须人材机进场施工；（4）中标单位不得转包或分包；（5）招投标文件中确定的人员须履职在位，材料以及机械清单须准备齐全</w:t>
      </w:r>
      <w:r>
        <w:rPr>
          <w:rFonts w:hint="eastAsia" w:cs="宋体"/>
          <w:bCs/>
          <w:color w:val="auto"/>
          <w:sz w:val="21"/>
          <w:szCs w:val="21"/>
          <w:highlight w:val="none"/>
        </w:rPr>
        <w:t>。</w:t>
      </w:r>
    </w:p>
    <w:p w14:paraId="5BA68D79">
      <w:pPr>
        <w:pStyle w:val="89"/>
        <w:pageBreakBefore w:val="0"/>
        <w:numPr>
          <w:ilvl w:val="0"/>
          <w:numId w:val="0"/>
        </w:numPr>
        <w:kinsoku/>
        <w:wordWrap/>
        <w:overflowPunct/>
        <w:topLinePunct w:val="0"/>
        <w:bidi w:val="0"/>
        <w:spacing w:after="0" w:afterLines="0" w:line="360" w:lineRule="auto"/>
        <w:textAlignment w:val="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八、订立时间</w:t>
      </w:r>
      <w:bookmarkEnd w:id="20"/>
      <w:bookmarkEnd w:id="21"/>
    </w:p>
    <w:p w14:paraId="18693B89">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本合同于</w:t>
      </w:r>
      <w:r>
        <w:rPr>
          <w:rFonts w:hint="eastAsia" w:eastAsia="宋体" w:cs="宋体"/>
          <w:color w:val="auto"/>
          <w:sz w:val="21"/>
          <w:szCs w:val="21"/>
          <w:u w:val="single"/>
          <w:lang w:val="en-US" w:eastAsia="zh-CN"/>
        </w:rPr>
        <w:t>2025年 月 日</w:t>
      </w:r>
      <w:r>
        <w:rPr>
          <w:rFonts w:hint="eastAsia" w:ascii="宋体" w:hAnsi="宋体" w:eastAsia="宋体" w:cs="宋体"/>
          <w:color w:val="auto"/>
          <w:sz w:val="21"/>
          <w:szCs w:val="21"/>
        </w:rPr>
        <w:t>订立。</w:t>
      </w:r>
    </w:p>
    <w:p w14:paraId="0BE5D719">
      <w:pPr>
        <w:pStyle w:val="89"/>
        <w:pageBreakBefore w:val="0"/>
        <w:numPr>
          <w:ilvl w:val="0"/>
          <w:numId w:val="0"/>
        </w:numPr>
        <w:kinsoku/>
        <w:wordWrap/>
        <w:overflowPunct/>
        <w:topLinePunct w:val="0"/>
        <w:bidi w:val="0"/>
        <w:spacing w:after="0" w:afterLines="0" w:line="360" w:lineRule="auto"/>
        <w:textAlignment w:val="auto"/>
        <w:rPr>
          <w:rFonts w:hint="eastAsia" w:ascii="宋体" w:hAnsi="宋体" w:eastAsia="宋体" w:cs="宋体"/>
          <w:b/>
          <w:bCs w:val="0"/>
          <w:color w:val="auto"/>
          <w:sz w:val="21"/>
          <w:szCs w:val="21"/>
        </w:rPr>
      </w:pPr>
      <w:bookmarkStart w:id="22" w:name="_Toc14383"/>
      <w:bookmarkStart w:id="23" w:name="_Toc54862173"/>
      <w:r>
        <w:rPr>
          <w:rFonts w:hint="eastAsia" w:ascii="宋体" w:hAnsi="宋体" w:eastAsia="宋体" w:cs="宋体"/>
          <w:b/>
          <w:bCs w:val="0"/>
          <w:color w:val="auto"/>
          <w:sz w:val="21"/>
          <w:szCs w:val="21"/>
        </w:rPr>
        <w:t>九、订立地点</w:t>
      </w:r>
      <w:bookmarkEnd w:id="22"/>
      <w:bookmarkEnd w:id="23"/>
    </w:p>
    <w:p w14:paraId="11584535">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本合同在</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eastAsia="zh-CN"/>
        </w:rPr>
        <w:t>三亚市</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订立。</w:t>
      </w:r>
    </w:p>
    <w:p w14:paraId="583BB15C">
      <w:pPr>
        <w:pStyle w:val="89"/>
        <w:pageBreakBefore w:val="0"/>
        <w:numPr>
          <w:ilvl w:val="0"/>
          <w:numId w:val="0"/>
        </w:numPr>
        <w:kinsoku/>
        <w:wordWrap/>
        <w:overflowPunct/>
        <w:topLinePunct w:val="0"/>
        <w:bidi w:val="0"/>
        <w:spacing w:after="0" w:afterLines="0" w:line="360" w:lineRule="auto"/>
        <w:textAlignment w:val="auto"/>
        <w:rPr>
          <w:rFonts w:hint="eastAsia" w:ascii="宋体" w:hAnsi="宋体" w:eastAsia="宋体" w:cs="宋体"/>
          <w:b/>
          <w:bCs w:val="0"/>
          <w:color w:val="auto"/>
          <w:sz w:val="21"/>
          <w:szCs w:val="21"/>
        </w:rPr>
      </w:pPr>
      <w:bookmarkStart w:id="24" w:name="_Toc54862174"/>
      <w:bookmarkStart w:id="25" w:name="_Toc1867"/>
      <w:r>
        <w:rPr>
          <w:rFonts w:hint="eastAsia" w:ascii="宋体" w:hAnsi="宋体" w:eastAsia="宋体" w:cs="宋体"/>
          <w:b/>
          <w:bCs w:val="0"/>
          <w:color w:val="auto"/>
          <w:sz w:val="21"/>
          <w:szCs w:val="21"/>
        </w:rPr>
        <w:t>十、合同生效</w:t>
      </w:r>
      <w:bookmarkEnd w:id="24"/>
      <w:bookmarkEnd w:id="25"/>
    </w:p>
    <w:p w14:paraId="394D3C1F">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本合同经双方签字或盖章后成立，并自</w:t>
      </w:r>
      <w:r>
        <w:rPr>
          <w:rFonts w:hint="eastAsia" w:ascii="宋体" w:hAnsi="宋体" w:eastAsia="宋体" w:cs="宋体"/>
          <w:color w:val="auto"/>
          <w:sz w:val="21"/>
          <w:szCs w:val="21"/>
          <w:u w:val="single"/>
        </w:rPr>
        <w:t>双方法定代表人或授权委托人签字并加公章之日</w:t>
      </w:r>
      <w:r>
        <w:rPr>
          <w:rFonts w:hint="eastAsia" w:ascii="宋体" w:hAnsi="宋体" w:eastAsia="宋体" w:cs="宋体"/>
          <w:color w:val="auto"/>
          <w:sz w:val="21"/>
          <w:szCs w:val="21"/>
        </w:rPr>
        <w:t>生效。</w:t>
      </w:r>
    </w:p>
    <w:p w14:paraId="2C3FD3A2">
      <w:pPr>
        <w:pStyle w:val="89"/>
        <w:pageBreakBefore w:val="0"/>
        <w:widowControl w:val="0"/>
        <w:numPr>
          <w:ilvl w:val="0"/>
          <w:numId w:val="0"/>
        </w:numPr>
        <w:kinsoku/>
        <w:wordWrap/>
        <w:overflowPunct/>
        <w:topLinePunct w:val="0"/>
        <w:bidi w:val="0"/>
        <w:spacing w:after="0" w:afterLines="0" w:line="360" w:lineRule="auto"/>
        <w:textAlignment w:val="auto"/>
        <w:rPr>
          <w:rFonts w:hint="eastAsia" w:ascii="宋体" w:hAnsi="宋体" w:eastAsia="宋体" w:cs="宋体"/>
          <w:b/>
          <w:bCs w:val="0"/>
          <w:color w:val="auto"/>
          <w:sz w:val="21"/>
          <w:szCs w:val="21"/>
        </w:rPr>
      </w:pPr>
      <w:bookmarkStart w:id="26" w:name="_Toc4111"/>
      <w:bookmarkStart w:id="27" w:name="_Toc54862175"/>
      <w:r>
        <w:rPr>
          <w:rFonts w:hint="eastAsia" w:ascii="宋体" w:hAnsi="宋体" w:eastAsia="宋体" w:cs="宋体"/>
          <w:b/>
          <w:bCs w:val="0"/>
          <w:color w:val="auto"/>
          <w:sz w:val="21"/>
          <w:szCs w:val="21"/>
        </w:rPr>
        <w:t>十一、合同份数</w:t>
      </w:r>
      <w:bookmarkEnd w:id="26"/>
      <w:bookmarkEnd w:id="27"/>
    </w:p>
    <w:p w14:paraId="4AD338D3">
      <w:pPr>
        <w:pageBreakBefore w:val="0"/>
        <w:widowControl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本合同一式</w:t>
      </w:r>
      <w:r>
        <w:rPr>
          <w:rFonts w:hint="eastAsia" w:ascii="宋体" w:hAnsi="宋体" w:eastAsia="宋体" w:cs="宋体"/>
          <w:color w:val="auto"/>
          <w:sz w:val="21"/>
          <w:szCs w:val="21"/>
          <w:lang w:val="en-US" w:eastAsia="zh-CN"/>
        </w:rPr>
        <w:t xml:space="preserve"> </w:t>
      </w:r>
      <w:r>
        <w:rPr>
          <w:rFonts w:hint="eastAsia" w:cs="宋体"/>
          <w:bCs/>
          <w:color w:val="auto"/>
          <w:sz w:val="21"/>
          <w:szCs w:val="21"/>
          <w:highlight w:val="none"/>
          <w:u w:val="single"/>
        </w:rPr>
        <w:t>壹拾肆</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份，均具有同等法律效力，发包人执</w:t>
      </w:r>
      <w:r>
        <w:rPr>
          <w:rFonts w:hint="eastAsia" w:ascii="宋体" w:hAnsi="宋体" w:eastAsia="宋体" w:cs="宋体"/>
          <w:color w:val="auto"/>
          <w:sz w:val="21"/>
          <w:szCs w:val="21"/>
          <w:u w:val="single"/>
        </w:rPr>
        <w:t xml:space="preserve"> </w:t>
      </w:r>
      <w:r>
        <w:rPr>
          <w:rFonts w:hint="eastAsia" w:ascii="宋体" w:hAnsi="宋体" w:eastAsia="宋体" w:cs="宋体"/>
          <w:bCs/>
          <w:color w:val="auto"/>
          <w:sz w:val="21"/>
          <w:szCs w:val="21"/>
          <w:highlight w:val="none"/>
          <w:u w:val="single"/>
        </w:rPr>
        <w:t>拾</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份，承包人执</w:t>
      </w:r>
      <w:r>
        <w:rPr>
          <w:rFonts w:hint="eastAsia" w:ascii="宋体" w:hAnsi="宋体" w:eastAsia="宋体" w:cs="宋体"/>
          <w:color w:val="auto"/>
          <w:sz w:val="21"/>
          <w:szCs w:val="21"/>
          <w:u w:val="single"/>
        </w:rPr>
        <w:t xml:space="preserve"> </w:t>
      </w:r>
      <w:r>
        <w:rPr>
          <w:rFonts w:hint="eastAsia" w:ascii="宋体" w:hAnsi="宋体" w:eastAsia="宋体" w:cs="宋体"/>
          <w:bCs/>
          <w:color w:val="auto"/>
          <w:sz w:val="21"/>
          <w:szCs w:val="21"/>
          <w:highlight w:val="none"/>
          <w:u w:val="single"/>
        </w:rPr>
        <w:t>肆</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份</w:t>
      </w:r>
      <w:r>
        <w:rPr>
          <w:rFonts w:hint="eastAsia" w:ascii="宋体" w:hAnsi="宋体" w:eastAsia="宋体" w:cs="宋体"/>
          <w:color w:val="auto"/>
          <w:sz w:val="21"/>
          <w:szCs w:val="21"/>
        </w:rPr>
        <w:t>。</w:t>
      </w:r>
    </w:p>
    <w:p w14:paraId="5438593D">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rPr>
      </w:pPr>
    </w:p>
    <w:p w14:paraId="3ABC16D6">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rPr>
      </w:pPr>
    </w:p>
    <w:p w14:paraId="23A30DBF">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rPr>
      </w:pPr>
    </w:p>
    <w:p w14:paraId="1CFD97E2">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rPr>
      </w:pPr>
    </w:p>
    <w:p w14:paraId="4518B1C9">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rPr>
      </w:pPr>
      <w:r>
        <w:rPr>
          <w:rFonts w:hint="eastAsia" w:cs="宋体"/>
          <w:color w:val="auto"/>
          <w:sz w:val="21"/>
          <w:szCs w:val="21"/>
          <w:highlight w:val="none"/>
        </w:rPr>
        <w:t>发包人：  (公章)                        承包人：  (公章)</w:t>
      </w:r>
    </w:p>
    <w:p w14:paraId="0E828664">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rPr>
      </w:pPr>
      <w:r>
        <w:rPr>
          <w:rFonts w:hint="eastAsia" w:cs="宋体"/>
          <w:color w:val="auto"/>
          <w:sz w:val="21"/>
          <w:szCs w:val="21"/>
          <w:highlight w:val="none"/>
        </w:rPr>
        <w:t>法定代表人或其委托代理人：              法定代表人或其委托代理人：</w:t>
      </w:r>
    </w:p>
    <w:p w14:paraId="6FD2119F">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u w:val="single"/>
        </w:rPr>
      </w:pPr>
      <w:r>
        <w:rPr>
          <w:rFonts w:hint="eastAsia" w:cs="宋体"/>
          <w:color w:val="auto"/>
          <w:sz w:val="21"/>
          <w:szCs w:val="21"/>
          <w:highlight w:val="none"/>
        </w:rPr>
        <w:t>（签字）                                （签字）</w:t>
      </w:r>
    </w:p>
    <w:p w14:paraId="1C94B376">
      <w:pPr>
        <w:pageBreakBefore w:val="0"/>
        <w:tabs>
          <w:tab w:val="left" w:pos="4410"/>
        </w:tabs>
        <w:kinsoku/>
        <w:overflowPunct/>
        <w:bidi w:val="0"/>
        <w:spacing w:after="0" w:afterLines="0" w:line="360" w:lineRule="auto"/>
        <w:ind w:left="0" w:leftChars="0" w:firstLine="0" w:firstLineChars="0"/>
        <w:textAlignment w:val="auto"/>
        <w:rPr>
          <w:rFonts w:hint="eastAsia" w:cs="宋体"/>
          <w:color w:val="auto"/>
          <w:sz w:val="21"/>
          <w:szCs w:val="21"/>
          <w:highlight w:val="none"/>
        </w:rPr>
      </w:pPr>
    </w:p>
    <w:p w14:paraId="6E752F6C">
      <w:pPr>
        <w:pageBreakBefore w:val="0"/>
        <w:tabs>
          <w:tab w:val="left" w:pos="4410"/>
        </w:tabs>
        <w:kinsoku/>
        <w:overflowPunct/>
        <w:bidi w:val="0"/>
        <w:spacing w:after="0" w:afterLines="0" w:line="360" w:lineRule="auto"/>
        <w:ind w:left="0" w:leftChars="0" w:firstLine="0" w:firstLineChars="0"/>
        <w:textAlignment w:val="auto"/>
        <w:rPr>
          <w:rFonts w:hint="eastAsia" w:cs="宋体"/>
          <w:color w:val="auto"/>
          <w:sz w:val="21"/>
          <w:szCs w:val="21"/>
          <w:highlight w:val="none"/>
        </w:rPr>
      </w:pPr>
      <w:r>
        <w:rPr>
          <w:rFonts w:hint="eastAsia" w:cs="宋体"/>
          <w:color w:val="auto"/>
          <w:sz w:val="21"/>
          <w:szCs w:val="21"/>
          <w:highlight w:val="none"/>
        </w:rPr>
        <w:t>组织机构代码：</w:t>
      </w:r>
      <w:r>
        <w:rPr>
          <w:rFonts w:hint="eastAsia" w:cs="宋体"/>
          <w:color w:val="auto"/>
          <w:sz w:val="21"/>
          <w:szCs w:val="21"/>
          <w:highlight w:val="none"/>
          <w:u w:val="single"/>
        </w:rPr>
        <w:t xml:space="preserve">       </w:t>
      </w:r>
      <w:r>
        <w:rPr>
          <w:rFonts w:hint="eastAsia" w:cs="宋体"/>
          <w:color w:val="auto"/>
          <w:sz w:val="21"/>
          <w:szCs w:val="21"/>
          <w:highlight w:val="none"/>
        </w:rPr>
        <w:t xml:space="preserve">             组织机构代码：</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p>
    <w:p w14:paraId="6CD4E130">
      <w:pPr>
        <w:pageBreakBefore w:val="0"/>
        <w:kinsoku/>
        <w:overflowPunct/>
        <w:bidi w:val="0"/>
        <w:spacing w:after="0" w:afterLines="0" w:line="360" w:lineRule="auto"/>
        <w:ind w:left="5250" w:hanging="5250" w:hangingChars="2500"/>
        <w:textAlignment w:val="auto"/>
        <w:rPr>
          <w:rFonts w:hint="eastAsia" w:cs="宋体"/>
          <w:color w:val="auto"/>
          <w:sz w:val="21"/>
          <w:szCs w:val="21"/>
          <w:highlight w:val="none"/>
        </w:rPr>
      </w:pPr>
      <w:r>
        <w:rPr>
          <w:rFonts w:hint="eastAsia" w:cs="宋体"/>
          <w:color w:val="auto"/>
          <w:sz w:val="21"/>
          <w:szCs w:val="21"/>
          <w:highlight w:val="none"/>
        </w:rPr>
        <w:t>地  址：</w:t>
      </w:r>
      <w:r>
        <w:rPr>
          <w:rFonts w:hint="eastAsia" w:cs="宋体"/>
          <w:color w:val="auto"/>
          <w:sz w:val="21"/>
          <w:szCs w:val="21"/>
          <w:highlight w:val="none"/>
          <w:u w:val="single"/>
        </w:rPr>
        <w:t xml:space="preserve">     </w:t>
      </w:r>
      <w:r>
        <w:rPr>
          <w:rFonts w:hint="eastAsia" w:cs="宋体"/>
          <w:color w:val="auto"/>
          <w:sz w:val="21"/>
          <w:szCs w:val="21"/>
          <w:highlight w:val="none"/>
        </w:rPr>
        <w:t xml:space="preserve">             </w:t>
      </w:r>
      <w:r>
        <w:rPr>
          <w:rFonts w:hint="eastAsia" w:cs="宋体"/>
          <w:color w:val="auto"/>
          <w:sz w:val="21"/>
          <w:szCs w:val="21"/>
          <w:highlight w:val="none"/>
          <w:lang w:val="en-US" w:eastAsia="zh-CN"/>
        </w:rPr>
        <w:t xml:space="preserve"> </w:t>
      </w:r>
      <w:r>
        <w:rPr>
          <w:rFonts w:hint="eastAsia" w:cs="宋体"/>
          <w:color w:val="auto"/>
          <w:sz w:val="21"/>
          <w:szCs w:val="21"/>
          <w:highlight w:val="none"/>
        </w:rPr>
        <w:t>地  址：</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p>
    <w:p w14:paraId="43694460">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rPr>
      </w:pPr>
      <w:r>
        <w:rPr>
          <w:rFonts w:hint="eastAsia" w:cs="宋体"/>
          <w:color w:val="auto"/>
          <w:sz w:val="21"/>
          <w:szCs w:val="21"/>
          <w:highlight w:val="none"/>
        </w:rPr>
        <w:t>邮政编码：</w:t>
      </w:r>
      <w:r>
        <w:rPr>
          <w:rFonts w:hint="eastAsia" w:cs="宋体"/>
          <w:color w:val="auto"/>
          <w:sz w:val="21"/>
          <w:szCs w:val="21"/>
          <w:highlight w:val="none"/>
          <w:u w:val="single"/>
        </w:rPr>
        <w:t xml:space="preserve">     </w:t>
      </w:r>
      <w:r>
        <w:rPr>
          <w:rFonts w:hint="eastAsia" w:cs="宋体"/>
          <w:color w:val="auto"/>
          <w:sz w:val="21"/>
          <w:szCs w:val="21"/>
          <w:highlight w:val="none"/>
        </w:rPr>
        <w:t xml:space="preserve">             邮政编码：</w:t>
      </w:r>
      <w:r>
        <w:rPr>
          <w:rFonts w:hint="eastAsia" w:cs="宋体"/>
          <w:color w:val="auto"/>
          <w:sz w:val="21"/>
          <w:szCs w:val="21"/>
          <w:highlight w:val="none"/>
          <w:u w:val="single"/>
        </w:rPr>
        <w:t xml:space="preserve">          </w:t>
      </w:r>
    </w:p>
    <w:p w14:paraId="2624E8A9">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rPr>
      </w:pPr>
      <w:r>
        <w:rPr>
          <w:rFonts w:hint="eastAsia" w:cs="宋体"/>
          <w:color w:val="auto"/>
          <w:sz w:val="21"/>
          <w:szCs w:val="21"/>
          <w:highlight w:val="none"/>
        </w:rPr>
        <w:t>法定代表人：</w:t>
      </w:r>
      <w:r>
        <w:rPr>
          <w:rFonts w:hint="eastAsia" w:cs="宋体"/>
          <w:color w:val="auto"/>
          <w:sz w:val="21"/>
          <w:szCs w:val="21"/>
          <w:highlight w:val="none"/>
          <w:u w:val="single"/>
        </w:rPr>
        <w:t xml:space="preserve">           </w:t>
      </w:r>
      <w:r>
        <w:rPr>
          <w:rFonts w:hint="eastAsia" w:cs="宋体"/>
          <w:color w:val="auto"/>
          <w:sz w:val="21"/>
          <w:szCs w:val="21"/>
          <w:highlight w:val="none"/>
        </w:rPr>
        <w:t xml:space="preserve">             法定代表人：</w:t>
      </w:r>
      <w:r>
        <w:rPr>
          <w:rFonts w:hint="eastAsia" w:cs="宋体"/>
          <w:color w:val="auto"/>
          <w:sz w:val="21"/>
          <w:szCs w:val="21"/>
          <w:highlight w:val="none"/>
          <w:u w:val="single"/>
        </w:rPr>
        <w:t xml:space="preserve">                </w:t>
      </w:r>
    </w:p>
    <w:p w14:paraId="7193A1F1">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rPr>
      </w:pPr>
      <w:r>
        <w:rPr>
          <w:rFonts w:hint="eastAsia" w:cs="宋体"/>
          <w:color w:val="auto"/>
          <w:sz w:val="21"/>
          <w:szCs w:val="21"/>
          <w:highlight w:val="none"/>
        </w:rPr>
        <w:t>委托代理人：</w:t>
      </w:r>
      <w:r>
        <w:rPr>
          <w:rFonts w:hint="eastAsia" w:cs="宋体"/>
          <w:color w:val="auto"/>
          <w:sz w:val="21"/>
          <w:szCs w:val="21"/>
          <w:highlight w:val="none"/>
          <w:u w:val="single"/>
        </w:rPr>
        <w:t xml:space="preserve">           </w:t>
      </w:r>
      <w:r>
        <w:rPr>
          <w:rFonts w:hint="eastAsia" w:cs="宋体"/>
          <w:color w:val="auto"/>
          <w:sz w:val="21"/>
          <w:szCs w:val="21"/>
          <w:highlight w:val="none"/>
        </w:rPr>
        <w:t xml:space="preserve">             委托代理人：</w:t>
      </w:r>
      <w:r>
        <w:rPr>
          <w:rFonts w:hint="eastAsia" w:cs="宋体"/>
          <w:color w:val="auto"/>
          <w:sz w:val="21"/>
          <w:szCs w:val="21"/>
          <w:highlight w:val="none"/>
          <w:u w:val="single"/>
        </w:rPr>
        <w:t xml:space="preserve">                </w:t>
      </w:r>
    </w:p>
    <w:p w14:paraId="486EDC0B">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rPr>
      </w:pPr>
      <w:r>
        <w:rPr>
          <w:rFonts w:hint="eastAsia" w:cs="宋体"/>
          <w:color w:val="auto"/>
          <w:sz w:val="21"/>
          <w:szCs w:val="21"/>
          <w:highlight w:val="none"/>
        </w:rPr>
        <w:t>电  话：</w:t>
      </w:r>
      <w:r>
        <w:rPr>
          <w:rFonts w:hint="eastAsia" w:cs="宋体"/>
          <w:color w:val="auto"/>
          <w:sz w:val="21"/>
          <w:szCs w:val="21"/>
          <w:highlight w:val="none"/>
          <w:u w:val="single"/>
        </w:rPr>
        <w:t xml:space="preserve">   </w:t>
      </w:r>
      <w:r>
        <w:rPr>
          <w:rFonts w:hint="eastAsia" w:cs="宋体"/>
          <w:color w:val="auto"/>
          <w:sz w:val="21"/>
          <w:szCs w:val="21"/>
          <w:highlight w:val="none"/>
        </w:rPr>
        <w:t xml:space="preserve">             电 </w:t>
      </w:r>
      <w:r>
        <w:rPr>
          <w:rFonts w:hint="eastAsia" w:cs="宋体"/>
          <w:color w:val="auto"/>
          <w:sz w:val="21"/>
          <w:szCs w:val="21"/>
          <w:highlight w:val="none"/>
          <w:u w:val="none"/>
        </w:rPr>
        <w:t xml:space="preserve"> 话：</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p>
    <w:p w14:paraId="40A28399">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rPr>
      </w:pPr>
      <w:r>
        <w:rPr>
          <w:rFonts w:hint="eastAsia" w:cs="宋体"/>
          <w:color w:val="auto"/>
          <w:sz w:val="21"/>
          <w:szCs w:val="21"/>
          <w:highlight w:val="none"/>
        </w:rPr>
        <w:t>传  真：</w:t>
      </w:r>
      <w:r>
        <w:rPr>
          <w:rFonts w:hint="eastAsia" w:cs="宋体"/>
          <w:color w:val="auto"/>
          <w:sz w:val="21"/>
          <w:szCs w:val="21"/>
          <w:highlight w:val="none"/>
          <w:u w:val="single"/>
        </w:rPr>
        <w:t xml:space="preserve">   </w:t>
      </w:r>
      <w:r>
        <w:rPr>
          <w:rFonts w:hint="eastAsia" w:cs="宋体"/>
          <w:color w:val="auto"/>
          <w:sz w:val="21"/>
          <w:szCs w:val="21"/>
          <w:highlight w:val="none"/>
        </w:rPr>
        <w:t xml:space="preserve">             传  真</w:t>
      </w:r>
      <w:r>
        <w:rPr>
          <w:rFonts w:hint="eastAsia" w:cs="宋体"/>
          <w:color w:val="auto"/>
          <w:sz w:val="21"/>
          <w:szCs w:val="21"/>
          <w:highlight w:val="none"/>
          <w:u w:val="single"/>
        </w:rPr>
        <w:t>：</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   </w:t>
      </w:r>
    </w:p>
    <w:p w14:paraId="6FC6B6A0">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rPr>
      </w:pPr>
      <w:r>
        <w:rPr>
          <w:rFonts w:hint="eastAsia" w:cs="宋体"/>
          <w:color w:val="auto"/>
          <w:sz w:val="21"/>
          <w:szCs w:val="21"/>
          <w:highlight w:val="none"/>
        </w:rPr>
        <w:t>电子信箱：</w:t>
      </w:r>
      <w:r>
        <w:rPr>
          <w:rFonts w:hint="eastAsia" w:cs="宋体"/>
          <w:color w:val="auto"/>
          <w:sz w:val="21"/>
          <w:szCs w:val="21"/>
          <w:highlight w:val="none"/>
          <w:u w:val="single"/>
        </w:rPr>
        <w:t xml:space="preserve">                 </w:t>
      </w:r>
      <w:r>
        <w:rPr>
          <w:rFonts w:hint="eastAsia" w:cs="宋体"/>
          <w:color w:val="auto"/>
          <w:sz w:val="21"/>
          <w:szCs w:val="21"/>
          <w:highlight w:val="none"/>
        </w:rPr>
        <w:t xml:space="preserve">             电子信箱：</w:t>
      </w:r>
      <w:r>
        <w:rPr>
          <w:rFonts w:hint="eastAsia" w:cs="宋体"/>
          <w:color w:val="auto"/>
          <w:sz w:val="21"/>
          <w:szCs w:val="21"/>
          <w:highlight w:val="none"/>
          <w:u w:val="single"/>
        </w:rPr>
        <w:t xml:space="preserve">            </w:t>
      </w:r>
    </w:p>
    <w:p w14:paraId="40488562">
      <w:pPr>
        <w:pageBreakBefore w:val="0"/>
        <w:kinsoku/>
        <w:overflowPunct/>
        <w:bidi w:val="0"/>
        <w:spacing w:after="0" w:afterLines="0" w:line="360" w:lineRule="auto"/>
        <w:ind w:left="5460" w:hanging="5460" w:hangingChars="2600"/>
        <w:textAlignment w:val="auto"/>
        <w:rPr>
          <w:rFonts w:hint="eastAsia" w:cs="宋体"/>
          <w:color w:val="auto"/>
          <w:sz w:val="21"/>
          <w:szCs w:val="21"/>
          <w:highlight w:val="none"/>
        </w:rPr>
      </w:pPr>
      <w:r>
        <w:rPr>
          <w:rFonts w:hint="eastAsia" w:cs="宋体"/>
          <w:color w:val="auto"/>
          <w:sz w:val="21"/>
          <w:szCs w:val="21"/>
          <w:highlight w:val="none"/>
        </w:rPr>
        <w:t>开户银行：</w:t>
      </w:r>
      <w:r>
        <w:rPr>
          <w:rFonts w:hint="eastAsia" w:cs="宋体"/>
          <w:color w:val="auto"/>
          <w:sz w:val="21"/>
          <w:szCs w:val="21"/>
          <w:highlight w:val="none"/>
          <w:u w:val="single"/>
        </w:rPr>
        <w:t xml:space="preserve">     </w:t>
      </w:r>
      <w:r>
        <w:rPr>
          <w:rFonts w:hint="eastAsia" w:cs="宋体"/>
          <w:color w:val="auto"/>
          <w:sz w:val="21"/>
          <w:szCs w:val="21"/>
          <w:highlight w:val="none"/>
        </w:rPr>
        <w:t xml:space="preserve">             开户银行：</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p>
    <w:p w14:paraId="6844383B">
      <w:pPr>
        <w:pageBreakBefore w:val="0"/>
        <w:kinsoku/>
        <w:overflowPunct/>
        <w:bidi w:val="0"/>
        <w:spacing w:after="0" w:afterLines="0" w:line="360" w:lineRule="auto"/>
        <w:ind w:left="0" w:leftChars="0" w:firstLine="0" w:firstLineChars="0"/>
        <w:textAlignment w:val="auto"/>
        <w:rPr>
          <w:rFonts w:hint="eastAsia" w:cs="宋体"/>
          <w:color w:val="auto"/>
          <w:sz w:val="21"/>
          <w:szCs w:val="21"/>
          <w:highlight w:val="none"/>
          <w:u w:val="single"/>
        </w:rPr>
      </w:pPr>
      <w:r>
        <w:rPr>
          <w:rFonts w:hint="eastAsia" w:cs="宋体"/>
          <w:color w:val="auto"/>
          <w:sz w:val="21"/>
          <w:szCs w:val="21"/>
          <w:highlight w:val="none"/>
        </w:rPr>
        <w:t>账  号：</w:t>
      </w:r>
      <w:r>
        <w:rPr>
          <w:rFonts w:hint="eastAsia" w:cs="宋体"/>
          <w:color w:val="auto"/>
          <w:sz w:val="21"/>
          <w:szCs w:val="21"/>
          <w:highlight w:val="none"/>
          <w:u w:val="single"/>
        </w:rPr>
        <w:t xml:space="preserve">        </w:t>
      </w:r>
      <w:r>
        <w:rPr>
          <w:rFonts w:hint="eastAsia" w:cs="宋体"/>
          <w:color w:val="auto"/>
          <w:sz w:val="21"/>
          <w:szCs w:val="21"/>
          <w:highlight w:val="none"/>
        </w:rPr>
        <w:t xml:space="preserve">            账  号：</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p>
    <w:p w14:paraId="30610C94">
      <w:pPr>
        <w:pStyle w:val="2"/>
        <w:pageBreakBefore w:val="0"/>
        <w:kinsoku/>
        <w:overflowPunct/>
        <w:bidi w:val="0"/>
        <w:spacing w:after="0" w:afterLines="0" w:line="360" w:lineRule="auto"/>
        <w:ind w:firstLine="0" w:firstLineChars="0"/>
        <w:textAlignment w:val="auto"/>
        <w:rPr>
          <w:rFonts w:hint="eastAsia"/>
        </w:rPr>
      </w:pPr>
      <w:r>
        <w:rPr>
          <w:rFonts w:hint="eastAsia"/>
          <w:color w:val="auto"/>
          <w:sz w:val="21"/>
          <w:szCs w:val="21"/>
          <w:highlight w:val="none"/>
        </w:rPr>
        <w:t>项目联系人：                            项目联系人：</w:t>
      </w:r>
      <w:bookmarkStart w:id="28" w:name="_Toc54862176"/>
    </w:p>
    <w:p w14:paraId="601D79F0">
      <w:pPr>
        <w:pStyle w:val="6"/>
        <w:pageBreakBefore w:val="0"/>
        <w:kinsoku/>
        <w:overflowPunct/>
        <w:bidi w:val="0"/>
        <w:spacing w:after="0" w:afterLines="0" w:line="360" w:lineRule="auto"/>
        <w:jc w:val="center"/>
        <w:textAlignment w:val="auto"/>
        <w:outlineLvl w:val="0"/>
        <w:rPr>
          <w:sz w:val="21"/>
          <w:szCs w:val="21"/>
          <w:highlight w:val="none"/>
        </w:rPr>
      </w:pPr>
      <w:bookmarkStart w:id="29" w:name="_Toc8323"/>
      <w:bookmarkStart w:id="30" w:name="_Toc13120"/>
      <w:bookmarkStart w:id="31" w:name="_Toc25576"/>
    </w:p>
    <w:p w14:paraId="56BC8F27">
      <w:pPr>
        <w:pStyle w:val="6"/>
        <w:pageBreakBefore w:val="0"/>
        <w:kinsoku/>
        <w:overflowPunct/>
        <w:bidi w:val="0"/>
        <w:spacing w:after="0" w:afterLines="0" w:line="360" w:lineRule="auto"/>
        <w:jc w:val="center"/>
        <w:textAlignment w:val="auto"/>
        <w:outlineLvl w:val="0"/>
        <w:rPr>
          <w:sz w:val="21"/>
          <w:szCs w:val="21"/>
          <w:highlight w:val="none"/>
        </w:rPr>
      </w:pPr>
    </w:p>
    <w:p w14:paraId="23D51313">
      <w:pPr>
        <w:pStyle w:val="6"/>
        <w:pageBreakBefore w:val="0"/>
        <w:kinsoku/>
        <w:overflowPunct/>
        <w:bidi w:val="0"/>
        <w:spacing w:after="0" w:afterLines="0" w:line="360" w:lineRule="auto"/>
        <w:jc w:val="center"/>
        <w:textAlignment w:val="auto"/>
        <w:outlineLvl w:val="0"/>
        <w:rPr>
          <w:sz w:val="21"/>
          <w:szCs w:val="21"/>
          <w:highlight w:val="none"/>
        </w:rPr>
      </w:pPr>
    </w:p>
    <w:p w14:paraId="392E0611">
      <w:pPr>
        <w:pStyle w:val="6"/>
        <w:pageBreakBefore w:val="0"/>
        <w:kinsoku/>
        <w:overflowPunct/>
        <w:bidi w:val="0"/>
        <w:spacing w:after="0" w:afterLines="0" w:line="360" w:lineRule="auto"/>
        <w:jc w:val="center"/>
        <w:textAlignment w:val="auto"/>
        <w:outlineLvl w:val="0"/>
        <w:rPr>
          <w:sz w:val="21"/>
          <w:szCs w:val="21"/>
          <w:highlight w:val="none"/>
        </w:rPr>
      </w:pPr>
    </w:p>
    <w:p w14:paraId="3DDC2A70">
      <w:pPr>
        <w:pStyle w:val="6"/>
        <w:pageBreakBefore w:val="0"/>
        <w:kinsoku/>
        <w:overflowPunct/>
        <w:bidi w:val="0"/>
        <w:spacing w:after="0" w:afterLines="0" w:line="360" w:lineRule="auto"/>
        <w:jc w:val="center"/>
        <w:textAlignment w:val="auto"/>
        <w:outlineLvl w:val="0"/>
        <w:rPr>
          <w:sz w:val="21"/>
          <w:szCs w:val="21"/>
          <w:highlight w:val="none"/>
        </w:rPr>
      </w:pPr>
    </w:p>
    <w:p w14:paraId="61CF5135">
      <w:pPr>
        <w:pStyle w:val="6"/>
        <w:pageBreakBefore w:val="0"/>
        <w:kinsoku/>
        <w:overflowPunct/>
        <w:bidi w:val="0"/>
        <w:spacing w:after="0" w:afterLines="0" w:line="360" w:lineRule="auto"/>
        <w:ind w:left="0" w:leftChars="0" w:firstLine="0" w:firstLineChars="0"/>
        <w:jc w:val="both"/>
        <w:textAlignment w:val="auto"/>
        <w:outlineLvl w:val="0"/>
        <w:rPr>
          <w:sz w:val="21"/>
          <w:szCs w:val="21"/>
          <w:highlight w:val="none"/>
        </w:rPr>
      </w:pPr>
    </w:p>
    <w:p w14:paraId="071D83E4">
      <w:pPr>
        <w:pageBreakBefore w:val="0"/>
        <w:kinsoku/>
        <w:overflowPunct/>
        <w:bidi w:val="0"/>
        <w:spacing w:after="0" w:afterLines="0" w:line="360" w:lineRule="auto"/>
        <w:textAlignment w:val="auto"/>
        <w:rPr>
          <w:sz w:val="21"/>
          <w:szCs w:val="21"/>
          <w:highlight w:val="none"/>
        </w:rPr>
      </w:pPr>
    </w:p>
    <w:p w14:paraId="2F0D7203">
      <w:pPr>
        <w:pStyle w:val="2"/>
        <w:pageBreakBefore w:val="0"/>
        <w:kinsoku/>
        <w:overflowPunct/>
        <w:bidi w:val="0"/>
        <w:spacing w:after="0" w:afterLines="0" w:line="360" w:lineRule="auto"/>
        <w:textAlignment w:val="auto"/>
      </w:pPr>
    </w:p>
    <w:p w14:paraId="2143D4D2">
      <w:pPr>
        <w:pStyle w:val="6"/>
        <w:pageBreakBefore w:val="0"/>
        <w:kinsoku/>
        <w:overflowPunct/>
        <w:bidi w:val="0"/>
        <w:spacing w:after="0" w:afterLines="0" w:line="360" w:lineRule="auto"/>
        <w:jc w:val="center"/>
        <w:textAlignment w:val="auto"/>
        <w:outlineLvl w:val="0"/>
        <w:rPr>
          <w:sz w:val="21"/>
          <w:szCs w:val="21"/>
          <w:highlight w:val="none"/>
        </w:rPr>
      </w:pPr>
    </w:p>
    <w:p w14:paraId="13093C51">
      <w:pPr>
        <w:pStyle w:val="6"/>
        <w:pageBreakBefore w:val="0"/>
        <w:kinsoku/>
        <w:overflowPunct/>
        <w:bidi w:val="0"/>
        <w:spacing w:after="0" w:afterLines="0" w:line="360" w:lineRule="auto"/>
        <w:jc w:val="center"/>
        <w:textAlignment w:val="auto"/>
        <w:outlineLvl w:val="0"/>
        <w:rPr>
          <w:sz w:val="21"/>
          <w:szCs w:val="21"/>
          <w:highlight w:val="none"/>
        </w:rPr>
      </w:pPr>
      <w:r>
        <w:rPr>
          <w:sz w:val="21"/>
          <w:szCs w:val="21"/>
          <w:highlight w:val="none"/>
        </w:rPr>
        <w:t>第二部分 通用合同条款</w:t>
      </w:r>
      <w:bookmarkEnd w:id="29"/>
    </w:p>
    <w:p w14:paraId="5C18F315">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32" w:name="_Toc20905_WPSOffice_Level2"/>
      <w:bookmarkStart w:id="33" w:name="_Toc22860_WPSOffice_Level2"/>
      <w:bookmarkStart w:id="34" w:name="_Toc5207"/>
      <w:bookmarkStart w:id="35" w:name="_Toc16891"/>
      <w:r>
        <w:rPr>
          <w:rFonts w:hint="eastAsia"/>
          <w:sz w:val="21"/>
          <w:szCs w:val="21"/>
          <w:highlight w:val="none"/>
        </w:rPr>
        <w:t>1. 一般约定</w:t>
      </w:r>
      <w:bookmarkEnd w:id="32"/>
      <w:bookmarkEnd w:id="33"/>
      <w:bookmarkEnd w:id="34"/>
      <w:bookmarkEnd w:id="35"/>
    </w:p>
    <w:p w14:paraId="192C5D99">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1.1词语定义与解释</w:t>
      </w:r>
    </w:p>
    <w:p w14:paraId="6E47F33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合同协议书、通用合同条款、专用合同条款中的下列词语具有本款所赋予的含义：</w:t>
      </w:r>
    </w:p>
    <w:p w14:paraId="44D523D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1.1.1 合同</w:t>
      </w:r>
    </w:p>
    <w:p w14:paraId="354D8E6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1.1.1.1 合同：是指根据法律规定和合同当事人约定具有约束力的文件，构成合同的文件包括合同协议书、中标通知书（如果有）、投标函及其附录（如果有）、专用合同条款</w:t>
      </w:r>
      <w:r>
        <w:rPr>
          <w:rFonts w:hint="eastAsia" w:cs="宋体"/>
          <w:sz w:val="21"/>
          <w:szCs w:val="21"/>
          <w:highlight w:val="none"/>
        </w:rPr>
        <w:t>及其附件</w:t>
      </w:r>
      <w:r>
        <w:rPr>
          <w:rFonts w:hint="eastAsia" w:cs="宋体"/>
          <w:kern w:val="0"/>
          <w:sz w:val="21"/>
          <w:szCs w:val="21"/>
          <w:highlight w:val="none"/>
        </w:rPr>
        <w:t>、通用合同条款、技术标准和要求、图纸、已标价工程量清单或预算书以及其他合同文件。</w:t>
      </w:r>
    </w:p>
    <w:p w14:paraId="3730DC7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1.1.1.2 合同协议书：是指构成合同的由发包人和承包人共同签署的称为“合同协议书”的书面文件。</w:t>
      </w:r>
    </w:p>
    <w:p w14:paraId="1840B48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1.1.1.3 中标通知书：是指构成合同的由发包人通知承包人中标的书面文件。</w:t>
      </w:r>
    </w:p>
    <w:p w14:paraId="4B9333D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1.1.1.4 投标函：是指构成合同的由承包人填写并签署的用于投标的称为“投标函”的文件。</w:t>
      </w:r>
    </w:p>
    <w:p w14:paraId="1A9D23B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1.1.1.5 投标函附录：是指构成合同的附在投标函后的称为“投标函附录”的文件。</w:t>
      </w:r>
    </w:p>
    <w:p w14:paraId="0F1CD27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1.1.1.6 技术标准和要求：是指构成合同的施工应当遵守的或指导施工的国家、行业或地方的技术标准和要求，以及合同约定的技术标准和要求。</w:t>
      </w:r>
    </w:p>
    <w:p w14:paraId="6BE9D73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03B3287B">
      <w:pPr>
        <w:pageBreakBefore w:val="0"/>
        <w:kinsoku/>
        <w:overflowPunct/>
        <w:autoSpaceDE w:val="0"/>
        <w:autoSpaceDN w:val="0"/>
        <w:bidi w:val="0"/>
        <w:adjustRightInd w:val="0"/>
        <w:spacing w:after="0" w:afterLines="0" w:line="360" w:lineRule="auto"/>
        <w:ind w:firstLine="409" w:firstLineChars="195"/>
        <w:textAlignment w:val="auto"/>
        <w:rPr>
          <w:rFonts w:hint="eastAsia" w:cs="宋体"/>
          <w:kern w:val="0"/>
          <w:sz w:val="21"/>
          <w:szCs w:val="21"/>
          <w:highlight w:val="none"/>
        </w:rPr>
      </w:pPr>
      <w:r>
        <w:rPr>
          <w:rFonts w:hint="eastAsia" w:cs="宋体"/>
          <w:kern w:val="0"/>
          <w:sz w:val="21"/>
          <w:szCs w:val="21"/>
          <w:highlight w:val="none"/>
        </w:rPr>
        <w:t>1.1.1.8 已标价工程量清单：是指构成合同的由承包人按照规定的格式和要求填写并标明价格的工程量清单，包括说明和表格。</w:t>
      </w:r>
    </w:p>
    <w:p w14:paraId="146EF063">
      <w:pPr>
        <w:pageBreakBefore w:val="0"/>
        <w:kinsoku/>
        <w:overflowPunct/>
        <w:autoSpaceDE w:val="0"/>
        <w:autoSpaceDN w:val="0"/>
        <w:bidi w:val="0"/>
        <w:adjustRightInd w:val="0"/>
        <w:spacing w:after="0" w:afterLines="0" w:line="360" w:lineRule="auto"/>
        <w:ind w:firstLine="409" w:firstLineChars="195"/>
        <w:textAlignment w:val="auto"/>
        <w:rPr>
          <w:rFonts w:hint="eastAsia" w:cs="宋体"/>
          <w:kern w:val="0"/>
          <w:sz w:val="21"/>
          <w:szCs w:val="21"/>
          <w:highlight w:val="none"/>
        </w:rPr>
      </w:pPr>
      <w:r>
        <w:rPr>
          <w:rFonts w:hint="eastAsia" w:cs="宋体"/>
          <w:kern w:val="0"/>
          <w:sz w:val="21"/>
          <w:szCs w:val="21"/>
          <w:highlight w:val="none"/>
        </w:rPr>
        <w:t>1.1.1.9 预算书：是指构成合同的由承包人按照发包人规定的格式和要求编制的工程预算文件。</w:t>
      </w:r>
    </w:p>
    <w:p w14:paraId="2E78C2A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1.1.1.10 其他合同文件：是指经合同当事人约定的与工程施工有关的具有合同约束力的文件或书面协议。合同当事人可以在专用合同条款中进行约定。</w:t>
      </w:r>
    </w:p>
    <w:p w14:paraId="3CF09E38">
      <w:pPr>
        <w:pageBreakBefore w:val="0"/>
        <w:kinsoku/>
        <w:overflowPunct/>
        <w:autoSpaceDE w:val="0"/>
        <w:autoSpaceDN w:val="0"/>
        <w:bidi w:val="0"/>
        <w:adjustRightInd w:val="0"/>
        <w:spacing w:after="0" w:afterLines="0" w:line="360" w:lineRule="auto"/>
        <w:ind w:left="0" w:leftChars="0" w:firstLine="0" w:firstLineChars="0"/>
        <w:textAlignment w:val="auto"/>
        <w:rPr>
          <w:rFonts w:hint="eastAsia" w:cs="宋体"/>
          <w:kern w:val="0"/>
          <w:sz w:val="21"/>
          <w:szCs w:val="21"/>
          <w:highlight w:val="none"/>
        </w:rPr>
      </w:pPr>
      <w:r>
        <w:rPr>
          <w:rFonts w:hint="eastAsia" w:cs="宋体"/>
          <w:kern w:val="0"/>
          <w:sz w:val="21"/>
          <w:szCs w:val="21"/>
          <w:highlight w:val="none"/>
        </w:rPr>
        <w:t xml:space="preserve">  1.1.2 合同当事人及其他相关方</w:t>
      </w:r>
    </w:p>
    <w:p w14:paraId="7EF4AEB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1.1.2.1 合同当事人：是指发包人和（或）承包人。</w:t>
      </w:r>
    </w:p>
    <w:p w14:paraId="774AE60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1.1.2.2 发包人：是指与承包人签订合同协议书的当事人及取得该当事人资格的合法继承人。</w:t>
      </w:r>
    </w:p>
    <w:p w14:paraId="4FB34C7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1.1.2.3 承包人：是指与发包人签订合同协议书的，具有相应工程施工承包资质的当事人及取得该当事人资格的合法继承人。</w:t>
      </w:r>
    </w:p>
    <w:p w14:paraId="1AEA471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1.1.2.4 监理人：是指在专用合同条款中指明的，受发包人委托按照法律规定进行工程监督管理的法人或其他组织。</w:t>
      </w:r>
    </w:p>
    <w:p w14:paraId="321C130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1.1.2.5 设计人：是指在专用合同条款中指明的，受发包人委托负责工程设计并具备相应工程设计资质的法人或其他组织。</w:t>
      </w:r>
    </w:p>
    <w:p w14:paraId="2AA53C4C">
      <w:pPr>
        <w:pageBreakBefore w:val="0"/>
        <w:kinsoku/>
        <w:overflowPunct/>
        <w:bidi w:val="0"/>
        <w:spacing w:after="0" w:afterLines="0" w:line="360" w:lineRule="auto"/>
        <w:ind w:firstLine="409" w:firstLineChars="195"/>
        <w:textAlignment w:val="auto"/>
        <w:rPr>
          <w:rFonts w:hint="eastAsia" w:cs="宋体"/>
          <w:kern w:val="0"/>
          <w:sz w:val="21"/>
          <w:szCs w:val="21"/>
          <w:highlight w:val="none"/>
        </w:rPr>
      </w:pPr>
      <w:r>
        <w:rPr>
          <w:rFonts w:hint="eastAsia" w:cs="宋体"/>
          <w:kern w:val="0"/>
          <w:sz w:val="21"/>
          <w:szCs w:val="21"/>
          <w:highlight w:val="none"/>
        </w:rPr>
        <w:t>1.1.2.6 分包人：是指按照法律规定和合同约定，分包部分工程或工作，并与承包人签订分包合同的具有相应资质的法人。</w:t>
      </w:r>
    </w:p>
    <w:p w14:paraId="2FEFAC9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1.1.2.7 发包人代表：是指由发包人任命并派驻施工现场在发包人授权范围内行使发包人权利的人。</w:t>
      </w:r>
    </w:p>
    <w:p w14:paraId="4F1D6A7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1.1.2.8 项目经理：是指由承包人任命并派驻施工现场，在承包人授权范围内负责合同履行，且按照法律规定具有相应资格的项目负责人。</w:t>
      </w:r>
    </w:p>
    <w:p w14:paraId="2022B26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1.1.2.9 总监理工程师：是指由监理人任命并派驻施工现场进行工程监理的总负责人。</w:t>
      </w:r>
    </w:p>
    <w:p w14:paraId="6F85F1CE">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1.1.3 工程和设备</w:t>
      </w:r>
    </w:p>
    <w:p w14:paraId="0A1A568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1.1.3.1 工程：是指与合同协议书中工程承包范围对应的永久工程和（或）临时工程。</w:t>
      </w:r>
    </w:p>
    <w:p w14:paraId="7C3AED92">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1.1.3.2 永久工程：是指按合同约定建造并移交给发包人的工程，包括工程设备。</w:t>
      </w:r>
    </w:p>
    <w:p w14:paraId="37B99F3C">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1.1.3.3 临时工程：是指为完成合同约定的永久工程所修建的各类临时性工程，不包括施工设备。</w:t>
      </w:r>
    </w:p>
    <w:p w14:paraId="76412FD2">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1.1.3.4 单位工程：是指在合同协议书中指明的，具备独立施工条件并能形成独立使用功能的永久工程。</w:t>
      </w:r>
    </w:p>
    <w:p w14:paraId="507D257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1.1.3.5 工程设备：是指构成永久工程的机电设备、金属结构设备、仪器及其他类似的设备和装置。</w:t>
      </w:r>
    </w:p>
    <w:p w14:paraId="3E2F2A9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1.1.3.6 施工设备：是指为完成合同约定的各项工作所需的设备、器具和其他物品，但不包括工程设备、临时工程和材料。</w:t>
      </w:r>
    </w:p>
    <w:p w14:paraId="051759C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1.1.3.7 施工现场：是指用于工程施工的场所，以及在专用合同条款中指明作为施工场所组成部分的其他场所，包括永久占地和临时占地。</w:t>
      </w:r>
    </w:p>
    <w:p w14:paraId="19037A03">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1.1.3.8临时设施：是指为完成合同约定的各项工作所服务的临时性生产和生活设施。</w:t>
      </w:r>
    </w:p>
    <w:p w14:paraId="0ADA9E6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1.1.3.9 永久占地：是指专用合同条款中指明为实施工程需永久占用的土地。</w:t>
      </w:r>
    </w:p>
    <w:p w14:paraId="3E6DEDD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1.1.3.10 临时占地：是指专用合同条款中指明为实施工程需要临时占用的土地。</w:t>
      </w:r>
    </w:p>
    <w:p w14:paraId="7DC57F2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1.1.4 日期和期限</w:t>
      </w:r>
    </w:p>
    <w:p w14:paraId="41BBB08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1C40384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 xml:space="preserve">1.1.4.2 竣工日期：包括计划竣工日期和实际竣工日期。计划竣工日期是指合同协议书约定的竣工日期；实际竣工日期按照第13.2.3项〔竣工日期〕的约定确定。 </w:t>
      </w:r>
    </w:p>
    <w:p w14:paraId="1DEC2593">
      <w:pPr>
        <w:pageBreakBefore w:val="0"/>
        <w:kinsoku/>
        <w:overflowPunct/>
        <w:bidi w:val="0"/>
        <w:spacing w:after="0" w:afterLines="0" w:line="360" w:lineRule="auto"/>
        <w:ind w:firstLine="426" w:firstLineChars="203"/>
        <w:textAlignment w:val="auto"/>
        <w:rPr>
          <w:rFonts w:hint="eastAsia" w:cs="宋体"/>
          <w:sz w:val="21"/>
          <w:szCs w:val="21"/>
          <w:highlight w:val="none"/>
        </w:rPr>
      </w:pPr>
      <w:r>
        <w:rPr>
          <w:rFonts w:hint="eastAsia" w:cs="宋体"/>
          <w:kern w:val="0"/>
          <w:sz w:val="21"/>
          <w:szCs w:val="21"/>
          <w:highlight w:val="none"/>
        </w:rPr>
        <w:t>1.1.4.3 工期：是指在合同协议书约定的承包人完成工程所需的期限，包括按照合同约定所作的期限变更。</w:t>
      </w:r>
    </w:p>
    <w:p w14:paraId="251F69D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1.1.4.4 缺陷责任期：是指承包人按照合同约定承担缺陷修复义务，且发包人预留质量保证金（已缴纳履约保证金的除外）的期限，自工程实际竣工日期起计算。</w:t>
      </w:r>
    </w:p>
    <w:p w14:paraId="737A818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1.1.4.5 保修期：是指承包人按照合同约定对工程承担保修责任的期限，从工程竣工验收合格之日起计算。</w:t>
      </w:r>
    </w:p>
    <w:p w14:paraId="3A6F90E6">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1.1.4.6 基准日期：招标发包的工程以投标截止日前28天的日期为基准日期，直接发包的工程以合同签订日前28天的日期为基准日期。</w:t>
      </w:r>
    </w:p>
    <w:p w14:paraId="217717F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1.1.4.7 天：除特别指明外，均指日历天。合同中按天计算时间的，开始当天不计入，从次日开始计算，期限最后一天的截止时间为当天24:00时。</w:t>
      </w:r>
    </w:p>
    <w:p w14:paraId="3174EAF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1.1.5 合同价格和费用</w:t>
      </w:r>
    </w:p>
    <w:p w14:paraId="7F828B85">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kern w:val="0"/>
          <w:sz w:val="21"/>
          <w:szCs w:val="21"/>
          <w:highlight w:val="none"/>
        </w:rPr>
        <w:t>1.1.5.1 签约合同价：是指</w:t>
      </w:r>
      <w:r>
        <w:rPr>
          <w:rFonts w:hint="eastAsia" w:cs="宋体"/>
          <w:sz w:val="21"/>
          <w:szCs w:val="21"/>
          <w:highlight w:val="none"/>
        </w:rPr>
        <w:t>发包人和承包人在合同协议书中确定的总金额，包括安全文明施工费、暂估价及暂列金额等。</w:t>
      </w:r>
    </w:p>
    <w:p w14:paraId="0917B73A">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1.1.5.2 合同价格：是指发包人用于支付承包人按照合同约定完成承包范围内全部工作的金额，包括合同履行过程中按合同约定发生的价格变化。</w:t>
      </w:r>
    </w:p>
    <w:p w14:paraId="771D19B5">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1.1.5.3 费用：是指为履行合同所发生的或将要发生的所有必需的开支，包括管理费和应分摊的其他费用，但不包括利润。</w:t>
      </w:r>
    </w:p>
    <w:p w14:paraId="1D0352DE">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1.1.5.4 暂估价：是指发包人在工程量清单或预算书中提供的用于支付必然发生但暂时不能确定价格的材料、工程设备的单价、专业工程以及服务工作的金额。</w:t>
      </w:r>
    </w:p>
    <w:p w14:paraId="1E62124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0733F4A8">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1.1.5.6 计日工：是指合同履行过程中，承包人完成发包人提出的零星工作或需要采用计日工计价的变更工作时，按合同中约定的单价计价的一种方式。</w:t>
      </w:r>
    </w:p>
    <w:p w14:paraId="2B3B2164">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kern w:val="0"/>
          <w:sz w:val="21"/>
          <w:szCs w:val="21"/>
          <w:highlight w:val="none"/>
        </w:rPr>
        <w:t>1.1.5.7 质量保证金：是指按照第15.3款〔质量保证金〕约定承包人用于保证其在缺陷责任期内履行缺陷修补义务的担保</w:t>
      </w:r>
      <w:r>
        <w:rPr>
          <w:rFonts w:hint="eastAsia" w:cs="宋体"/>
          <w:sz w:val="21"/>
          <w:szCs w:val="21"/>
          <w:highlight w:val="none"/>
        </w:rPr>
        <w:t>。</w:t>
      </w:r>
    </w:p>
    <w:p w14:paraId="6C7B85D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1.1.5.8 总价项目：是指在现行国家、行业以及地方的计量规则中无工程量计算规则，在已标价工程量清单或预算书中以总价或以费率形式计算的项目。</w:t>
      </w:r>
    </w:p>
    <w:p w14:paraId="1A82AD15">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1.1.6 其他</w:t>
      </w:r>
    </w:p>
    <w:p w14:paraId="1C121362">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1.1.6.1 书面形式：是指合同文件、信函、电报、传真等可以有形地表现所载内容的形式。</w:t>
      </w:r>
    </w:p>
    <w:p w14:paraId="6D9F6332">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1.2语言文字</w:t>
      </w:r>
    </w:p>
    <w:p w14:paraId="2218B7B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合同以中国的汉语简体文字编写、解释和说明。合同当事人在专用合同条款中约定使用两种以上语言时，汉语为优先解释和说明合同的语言。</w:t>
      </w:r>
    </w:p>
    <w:p w14:paraId="50C276CB">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1.3法律</w:t>
      </w:r>
    </w:p>
    <w:p w14:paraId="12BB57B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合同所称法律是指中华人民共和国法律、行政法规、部门规章，以及工程所在地的地方性法规、自治条例、单行条例和地方政府规章等。</w:t>
      </w:r>
    </w:p>
    <w:p w14:paraId="48C8620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合同当事人可以在专用合同条款中约定合同适用的其他规范性文件。</w:t>
      </w:r>
    </w:p>
    <w:p w14:paraId="372FEDE1">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1.4 标准和规范</w:t>
      </w:r>
    </w:p>
    <w:p w14:paraId="342A8E9F">
      <w:pPr>
        <w:pageBreakBefore w:val="0"/>
        <w:kinsoku/>
        <w:overflowPunct/>
        <w:autoSpaceDE w:val="0"/>
        <w:autoSpaceDN w:val="0"/>
        <w:bidi w:val="0"/>
        <w:adjustRightInd w:val="0"/>
        <w:spacing w:after="0" w:afterLines="0" w:line="360" w:lineRule="auto"/>
        <w:ind w:firstLine="640"/>
        <w:textAlignment w:val="auto"/>
        <w:rPr>
          <w:rFonts w:hint="eastAsia" w:cs="宋体"/>
          <w:kern w:val="0"/>
          <w:sz w:val="21"/>
          <w:szCs w:val="21"/>
          <w:highlight w:val="none"/>
        </w:rPr>
      </w:pPr>
      <w:r>
        <w:rPr>
          <w:rFonts w:hint="eastAsia" w:cs="宋体"/>
          <w:kern w:val="0"/>
          <w:sz w:val="21"/>
          <w:szCs w:val="21"/>
          <w:highlight w:val="none"/>
        </w:rPr>
        <w:t>1.4.1 适用于工程的国家标准、行业标准、工程所在地的地方性标准，以及相应的规范、规程等，合同当事人有特别要求的，应在专用合同条款中约定。</w:t>
      </w:r>
    </w:p>
    <w:p w14:paraId="5CA8DE6F">
      <w:pPr>
        <w:pageBreakBefore w:val="0"/>
        <w:kinsoku/>
        <w:overflowPunct/>
        <w:autoSpaceDE w:val="0"/>
        <w:autoSpaceDN w:val="0"/>
        <w:bidi w:val="0"/>
        <w:adjustRightInd w:val="0"/>
        <w:spacing w:after="0" w:afterLines="0" w:line="360" w:lineRule="auto"/>
        <w:ind w:firstLine="640"/>
        <w:textAlignment w:val="auto"/>
        <w:rPr>
          <w:rFonts w:hint="eastAsia" w:cs="宋体"/>
          <w:kern w:val="0"/>
          <w:sz w:val="21"/>
          <w:szCs w:val="21"/>
          <w:highlight w:val="none"/>
        </w:rPr>
      </w:pPr>
      <w:r>
        <w:rPr>
          <w:rFonts w:hint="eastAsia" w:cs="宋体"/>
          <w:kern w:val="0"/>
          <w:sz w:val="21"/>
          <w:szCs w:val="21"/>
          <w:highlight w:val="none"/>
        </w:rPr>
        <w:t>1.4.2 发包人要求使用国外标准、规范的，发包人负责提供原文版本和中文译本，并在专用合同条款中约定提供标准规范的名称、份数和时间。</w:t>
      </w:r>
    </w:p>
    <w:p w14:paraId="743296E5">
      <w:pPr>
        <w:pageBreakBefore w:val="0"/>
        <w:kinsoku/>
        <w:overflowPunct/>
        <w:autoSpaceDE w:val="0"/>
        <w:autoSpaceDN w:val="0"/>
        <w:bidi w:val="0"/>
        <w:adjustRightInd w:val="0"/>
        <w:spacing w:after="0" w:afterLines="0" w:line="360" w:lineRule="auto"/>
        <w:ind w:firstLine="640"/>
        <w:textAlignment w:val="auto"/>
        <w:rPr>
          <w:rFonts w:hint="eastAsia" w:cs="宋体"/>
          <w:kern w:val="0"/>
          <w:sz w:val="21"/>
          <w:szCs w:val="21"/>
          <w:highlight w:val="none"/>
        </w:rPr>
      </w:pPr>
      <w:r>
        <w:rPr>
          <w:rFonts w:hint="eastAsia" w:cs="宋体"/>
          <w:kern w:val="0"/>
          <w:sz w:val="21"/>
          <w:szCs w:val="21"/>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7C76A178">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1.5 合同文件的优先顺序</w:t>
      </w:r>
    </w:p>
    <w:p w14:paraId="0D833F1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组成合同的各项文件应互相解释，互为说明。除专用合同条款另有约定外，解释合同文件的优先顺序如下：</w:t>
      </w:r>
    </w:p>
    <w:p w14:paraId="7FEA6D6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（1）合同协议书；</w:t>
      </w:r>
    </w:p>
    <w:p w14:paraId="39309D6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（2）中标通知书（如果有）；</w:t>
      </w:r>
    </w:p>
    <w:p w14:paraId="507C4FC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（3）投标函及其附录（如果有）；</w:t>
      </w:r>
    </w:p>
    <w:p w14:paraId="133D624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（4）专用合同条款</w:t>
      </w:r>
      <w:r>
        <w:rPr>
          <w:rFonts w:hint="eastAsia" w:cs="宋体"/>
          <w:sz w:val="21"/>
          <w:szCs w:val="21"/>
          <w:highlight w:val="none"/>
        </w:rPr>
        <w:t>及其附件</w:t>
      </w:r>
      <w:r>
        <w:rPr>
          <w:rFonts w:hint="eastAsia" w:cs="宋体"/>
          <w:kern w:val="0"/>
          <w:sz w:val="21"/>
          <w:szCs w:val="21"/>
          <w:highlight w:val="none"/>
        </w:rPr>
        <w:t>；</w:t>
      </w:r>
    </w:p>
    <w:p w14:paraId="3D88F6B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（5）通用合同条款；</w:t>
      </w:r>
    </w:p>
    <w:p w14:paraId="3816A77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（6）技术标准和要求；</w:t>
      </w:r>
    </w:p>
    <w:p w14:paraId="4547B56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（7）图纸；</w:t>
      </w:r>
    </w:p>
    <w:p w14:paraId="2E7FB65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（8）已标价工程量清单或预算书；</w:t>
      </w:r>
    </w:p>
    <w:p w14:paraId="57700A5C">
      <w:pPr>
        <w:pageBreakBefore w:val="0"/>
        <w:kinsoku/>
        <w:overflowPunct/>
        <w:autoSpaceDE w:val="0"/>
        <w:autoSpaceDN w:val="0"/>
        <w:bidi w:val="0"/>
        <w:adjustRightInd w:val="0"/>
        <w:spacing w:after="0" w:afterLines="0" w:line="360" w:lineRule="auto"/>
        <w:ind w:firstLine="420" w:firstLineChars="200"/>
        <w:textAlignment w:val="auto"/>
        <w:rPr>
          <w:rFonts w:hint="eastAsia" w:cs="宋体"/>
          <w:sz w:val="21"/>
          <w:szCs w:val="21"/>
          <w:highlight w:val="none"/>
        </w:rPr>
      </w:pPr>
      <w:r>
        <w:rPr>
          <w:rFonts w:hint="eastAsia" w:cs="宋体"/>
          <w:kern w:val="0"/>
          <w:sz w:val="21"/>
          <w:szCs w:val="21"/>
          <w:highlight w:val="none"/>
        </w:rPr>
        <w:t>（9）其他合同文件。</w:t>
      </w:r>
    </w:p>
    <w:p w14:paraId="7016EC09">
      <w:pPr>
        <w:pageBreakBefore w:val="0"/>
        <w:kinsoku/>
        <w:overflowPunct/>
        <w:bidi w:val="0"/>
        <w:spacing w:after="0" w:afterLines="0" w:line="360" w:lineRule="auto"/>
        <w:ind w:firstLine="447" w:firstLineChars="213"/>
        <w:textAlignment w:val="auto"/>
        <w:rPr>
          <w:rFonts w:hint="eastAsia" w:cs="宋体"/>
          <w:sz w:val="21"/>
          <w:szCs w:val="21"/>
          <w:highlight w:val="none"/>
        </w:rPr>
      </w:pPr>
      <w:r>
        <w:rPr>
          <w:rFonts w:hint="eastAsia" w:cs="宋体"/>
          <w:sz w:val="21"/>
          <w:szCs w:val="21"/>
          <w:highlight w:val="none"/>
        </w:rPr>
        <w:t>上述各项合同文件包括合同当事人就该项合同文件所作出的补充和修改，属于同一类内容的文件，应以最新签署的为准。</w:t>
      </w:r>
    </w:p>
    <w:p w14:paraId="7ED2524C">
      <w:pPr>
        <w:pageBreakBefore w:val="0"/>
        <w:kinsoku/>
        <w:overflowPunct/>
        <w:bidi w:val="0"/>
        <w:spacing w:after="0" w:afterLines="0" w:line="360" w:lineRule="auto"/>
        <w:ind w:firstLine="447" w:firstLineChars="213"/>
        <w:textAlignment w:val="auto"/>
        <w:rPr>
          <w:rFonts w:hint="eastAsia" w:cs="宋体"/>
          <w:sz w:val="21"/>
          <w:szCs w:val="21"/>
          <w:highlight w:val="none"/>
        </w:rPr>
      </w:pPr>
      <w:r>
        <w:rPr>
          <w:rFonts w:hint="eastAsia" w:cs="宋体"/>
          <w:sz w:val="21"/>
          <w:szCs w:val="21"/>
          <w:highlight w:val="none"/>
        </w:rPr>
        <w:t>在合同订立及履行过程中形成的与合同有关的文件均构成合同文件组成部分，并根据其性质确定优先解释顺序。</w:t>
      </w:r>
    </w:p>
    <w:p w14:paraId="601F177E">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1.6图纸和承包人文件</w:t>
      </w:r>
    </w:p>
    <w:p w14:paraId="0CEECB58">
      <w:pPr>
        <w:pageBreakBefore w:val="0"/>
        <w:kinsoku/>
        <w:overflowPunct/>
        <w:bidi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1.6.1 图纸的提供和交底</w:t>
      </w:r>
    </w:p>
    <w:p w14:paraId="3C07619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50ADC91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因发包人未按合同约定提供图纸导致承包人费用增加和（或）工期延误的，按照第7.5.1项〔因发包人原因导致工期延误〕约定办理。</w:t>
      </w:r>
    </w:p>
    <w:p w14:paraId="071F449A">
      <w:pPr>
        <w:pageBreakBefore w:val="0"/>
        <w:kinsoku/>
        <w:overflowPunct/>
        <w:bidi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1.6.2 图纸的错误</w:t>
      </w:r>
    </w:p>
    <w:p w14:paraId="5AB82A7E">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5D3A4FAA">
      <w:pPr>
        <w:pageBreakBefore w:val="0"/>
        <w:kinsoku/>
        <w:overflowPunct/>
        <w:bidi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1.6.3 图纸的修改和补充</w:t>
      </w:r>
    </w:p>
    <w:p w14:paraId="4E6E3AC3">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7587E3CE">
      <w:pPr>
        <w:pageBreakBefore w:val="0"/>
        <w:kinsoku/>
        <w:overflowPunct/>
        <w:bidi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1.6.4 承包人文件</w:t>
      </w:r>
    </w:p>
    <w:p w14:paraId="15C8A30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承包人应按照专用合同条款的约定提供应当由其编制的与工程施工有关的文件，并按照专用合同条款约定的期限、数量和形式提交监理人，并由监理人报送发包人。</w:t>
      </w:r>
    </w:p>
    <w:p w14:paraId="1519A5A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55367B3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1.6.5 图纸和承包人文件的保管</w:t>
      </w:r>
    </w:p>
    <w:p w14:paraId="3CBC31AE">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除专用合同条款另有约定外，承包人应在施工现场另外保存一套完整的图纸和承包人文件，供发包人、监理人及有关人员进行工程检查时使用。</w:t>
      </w:r>
    </w:p>
    <w:p w14:paraId="1B8341ED">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1.7联络</w:t>
      </w:r>
    </w:p>
    <w:p w14:paraId="5AFCCE0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1.7.1 与合同有关的通知、批准、证明、证书、指示、指令、要求、请求、同意、意见、确定和决定等，均应采用书面形式，并应在合同约定的期限内送达接收人和送达地点。</w:t>
      </w:r>
    </w:p>
    <w:p w14:paraId="1939F55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1.7.2 发包人和承包人应在专用合同条款中约定各自的送达接收人和送达地点。任何一方合同当事人指定的接收人或送达地点发生变动的，应提前3天以书面形式通知对方。</w:t>
      </w:r>
    </w:p>
    <w:p w14:paraId="5807A4B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1.7.3 发包人和承包人应当及时签收另一方送达至送达地点和指定接收人的来往信函。拒不签收的，由此增加的费用和（或）延误的工期由拒绝接收一方承担。</w:t>
      </w:r>
    </w:p>
    <w:p w14:paraId="28EB6E94">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1.8严禁贿赂</w:t>
      </w:r>
    </w:p>
    <w:p w14:paraId="032180C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合同当事人不得以贿赂或变相贿赂的方式，谋取非法利益或损害对方权益。因一方合同当事人的贿赂造成对方损失的，应赔偿损失，并承担相应的法律责任。</w:t>
      </w:r>
    </w:p>
    <w:p w14:paraId="3FD39C1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5AAED2FD">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1.9化石、文物</w:t>
      </w:r>
    </w:p>
    <w:p w14:paraId="5BEA913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13B60A2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发包人、监理人和承包人应按有关政府行政管理部门要求采取妥善的保护措施，由此增加的费用和（或）延误的工期由发包人承担。</w:t>
      </w:r>
    </w:p>
    <w:p w14:paraId="3B8976A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承包人发现文物后不及时报告或隐瞒不报，致使文物丢失或损坏的，应赔偿损失，并承担相应的法律责任。</w:t>
      </w:r>
    </w:p>
    <w:p w14:paraId="7C833AF8">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1.10交通运输</w:t>
      </w:r>
    </w:p>
    <w:p w14:paraId="7F2F9DA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1.10.1 出入现场的权利</w:t>
      </w:r>
    </w:p>
    <w:p w14:paraId="0EF28F4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516250C3">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5C0DA4E2">
      <w:pPr>
        <w:pageBreakBefore w:val="0"/>
        <w:kinsoku/>
        <w:overflowPunct/>
        <w:bidi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1.10.2 场外交通</w:t>
      </w:r>
    </w:p>
    <w:p w14:paraId="69249E8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627ECF8B">
      <w:pPr>
        <w:pageBreakBefore w:val="0"/>
        <w:kinsoku/>
        <w:overflowPunct/>
        <w:bidi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1.10.3场内交通</w:t>
      </w:r>
    </w:p>
    <w:p w14:paraId="141FBD5E">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2BFF81E8">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4B085F34">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场外交通和场内交通的边界由合同当事人在专用合同条款中约定。</w:t>
      </w:r>
    </w:p>
    <w:p w14:paraId="0327381D">
      <w:pPr>
        <w:pageBreakBefore w:val="0"/>
        <w:kinsoku/>
        <w:overflowPunct/>
        <w:bidi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1.10.4 超大件和超重件的运输</w:t>
      </w:r>
    </w:p>
    <w:p w14:paraId="125C3F2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4C3A42DD">
      <w:pPr>
        <w:pageBreakBefore w:val="0"/>
        <w:kinsoku/>
        <w:overflowPunct/>
        <w:bidi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1.10.5 道路和桥梁的损坏责任</w:t>
      </w:r>
    </w:p>
    <w:p w14:paraId="0409EC0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因承包人运输造成施工场地内外公共道路和桥梁损坏的，由承包人承担修复损坏的全部费用和可能引起的赔偿。</w:t>
      </w:r>
    </w:p>
    <w:p w14:paraId="44C14C9C">
      <w:pPr>
        <w:pageBreakBefore w:val="0"/>
        <w:kinsoku/>
        <w:overflowPunct/>
        <w:bidi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1.10.6 水路和航空运输</w:t>
      </w:r>
    </w:p>
    <w:p w14:paraId="593CCE43">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本款前述各项的内容适用于水路运输和航空运输，其中“道路”一词的涵义包括河道、航线、船闸、机场、码头、堤防以及水路或航空运输中其他相似结构物；“车辆”一词的涵义包括船舶和飞机等。</w:t>
      </w:r>
    </w:p>
    <w:p w14:paraId="737EE726">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 xml:space="preserve">1.11知识产权 </w:t>
      </w:r>
    </w:p>
    <w:p w14:paraId="08599F5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7A8B814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6460D73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2C844F98">
      <w:pPr>
        <w:pageBreakBefore w:val="0"/>
        <w:kinsoku/>
        <w:overflowPunct/>
        <w:bidi w:val="0"/>
        <w:spacing w:after="0" w:afterLines="0" w:line="360" w:lineRule="auto"/>
        <w:textAlignment w:val="auto"/>
        <w:rPr>
          <w:rFonts w:hint="eastAsia" w:cs="宋体"/>
          <w:sz w:val="21"/>
          <w:szCs w:val="21"/>
          <w:highlight w:val="none"/>
        </w:rPr>
      </w:pPr>
      <w:r>
        <w:rPr>
          <w:rFonts w:hint="eastAsia" w:cs="宋体"/>
          <w:kern w:val="0"/>
          <w:sz w:val="21"/>
          <w:szCs w:val="21"/>
          <w:highlight w:val="none"/>
        </w:rPr>
        <w:t xml:space="preserve">    </w:t>
      </w:r>
      <w:r>
        <w:rPr>
          <w:rFonts w:hint="eastAsia" w:cs="宋体"/>
          <w:sz w:val="21"/>
          <w:szCs w:val="21"/>
          <w:highlight w:val="none"/>
        </w:rPr>
        <w:t>1.11.4 除专用合同条款另有约定外，承包人在合同签订前和签订时已确定采用的专利、专有技术、技术秘密的使用费已包含在签约合同价中。</w:t>
      </w:r>
    </w:p>
    <w:p w14:paraId="017C0F4B">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1.12保密</w:t>
      </w:r>
    </w:p>
    <w:p w14:paraId="656189A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除法律规定或合同另有约定外，未经发包人同意，承包人不得将发包人提供的图纸、文件以及声明需要保密的资料信息等商业秘密泄露给第三方。</w:t>
      </w:r>
    </w:p>
    <w:p w14:paraId="698A339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除法律规定或合同另有约定外，未经承包人同意，发包人不得将承包人提供的技术秘密及声明需要保密的资料信息等商业秘密泄露给第三方。</w:t>
      </w:r>
    </w:p>
    <w:p w14:paraId="2CFC9561">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1.13工程量清单错误的修正</w:t>
      </w:r>
    </w:p>
    <w:p w14:paraId="6196214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除专用合同条款另有约定外，发包人提供的工程量清单，应被认为是准确的和完整的。出现下列情形之一时，发包人应予以修正，并相应调整合同价格：</w:t>
      </w:r>
    </w:p>
    <w:p w14:paraId="5EE5FE4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（1）工程量清单存在缺项、漏项的；</w:t>
      </w:r>
    </w:p>
    <w:p w14:paraId="5D78BCD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（2）工程量清单偏差超出专用合同条款约定的工程量偏差范围的；</w:t>
      </w:r>
    </w:p>
    <w:p w14:paraId="3EDEC6E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（3）未按照国家现行计量规范强制性规定计量的。</w:t>
      </w:r>
    </w:p>
    <w:p w14:paraId="211CD477">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36" w:name="_Toc18712_WPSOffice_Level2"/>
      <w:bookmarkStart w:id="37" w:name="_Toc17565"/>
      <w:bookmarkStart w:id="38" w:name="_Toc10150"/>
      <w:bookmarkStart w:id="39" w:name="_Toc11491_WPSOffice_Level2"/>
      <w:r>
        <w:rPr>
          <w:rFonts w:hint="eastAsia"/>
          <w:sz w:val="21"/>
          <w:szCs w:val="21"/>
          <w:highlight w:val="none"/>
        </w:rPr>
        <w:t>2. 发包人</w:t>
      </w:r>
      <w:bookmarkEnd w:id="36"/>
      <w:bookmarkEnd w:id="37"/>
      <w:bookmarkEnd w:id="38"/>
      <w:bookmarkEnd w:id="39"/>
    </w:p>
    <w:p w14:paraId="3E200DDB">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2.1 许可或批准</w:t>
      </w:r>
    </w:p>
    <w:p w14:paraId="1459D60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2C7F582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因发包人原因未能及时办理完毕前述许可、批准或备案，由发包人承担由此增加的费用和（或）延误的工期，并支付承包人合理的利润。</w:t>
      </w:r>
    </w:p>
    <w:p w14:paraId="22B97CDE">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2.2 发包人代表</w:t>
      </w:r>
    </w:p>
    <w:p w14:paraId="4EA7AF0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4CC1219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发包人代表不能按照合同约定履行其职责及义务，并导致合同无法继续正常履行的，承包人可以要求发包人撤换发包人代表。</w:t>
      </w:r>
    </w:p>
    <w:p w14:paraId="35E865C3">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kern w:val="0"/>
          <w:sz w:val="21"/>
          <w:szCs w:val="21"/>
          <w:highlight w:val="none"/>
        </w:rPr>
        <w:t>不属于法定必须监理的工程，监理人的职权可以由发包人代表或发包人指定的其他人员行使。</w:t>
      </w:r>
    </w:p>
    <w:p w14:paraId="0B78BFB2">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2.3 发包人人员</w:t>
      </w:r>
    </w:p>
    <w:p w14:paraId="5249799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发包人应要求在施工现场的发包人人员遵守法律及有关安全、质量、环境保护、文明施工等规定，并保障承包人免于承受因发包人人员未遵守上述要求给承包人造成的损失和责任。</w:t>
      </w:r>
    </w:p>
    <w:p w14:paraId="775418CB">
      <w:pPr>
        <w:pageBreakBefore w:val="0"/>
        <w:kinsoku/>
        <w:overflowPunct/>
        <w:bidi w:val="0"/>
        <w:spacing w:after="0" w:afterLines="0" w:line="360" w:lineRule="auto"/>
        <w:ind w:firstLine="640"/>
        <w:textAlignment w:val="auto"/>
        <w:rPr>
          <w:rFonts w:hint="eastAsia" w:cs="宋体"/>
          <w:kern w:val="0"/>
          <w:sz w:val="21"/>
          <w:szCs w:val="21"/>
          <w:highlight w:val="none"/>
        </w:rPr>
      </w:pPr>
      <w:r>
        <w:rPr>
          <w:rFonts w:hint="eastAsia" w:cs="宋体"/>
          <w:kern w:val="0"/>
          <w:sz w:val="21"/>
          <w:szCs w:val="21"/>
          <w:highlight w:val="none"/>
        </w:rPr>
        <w:t>发包人人员包括发包人代表及其他由发包人派驻施工现场的人员。</w:t>
      </w:r>
    </w:p>
    <w:p w14:paraId="2AC0C6C7">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 xml:space="preserve">2.4 施工现场、施工条件和基础资料的提供  </w:t>
      </w:r>
    </w:p>
    <w:p w14:paraId="67BAC813">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2.4.1 提供施工现场</w:t>
      </w:r>
    </w:p>
    <w:p w14:paraId="60B4ABC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除专用合同条款另有约定外，发包人应最迟于开工日期7天前向承包人移交施工现场。</w:t>
      </w:r>
    </w:p>
    <w:p w14:paraId="5628F820">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2.4.2 提供施工条件</w:t>
      </w:r>
    </w:p>
    <w:p w14:paraId="677665E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除专用合同条款另有约定外，发包人应负责提供施工所需要的条件，包括：</w:t>
      </w:r>
    </w:p>
    <w:p w14:paraId="6C8E355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（1）将施工用水、电力、通讯线路等施工所必需的条件接至施工现场内；</w:t>
      </w:r>
    </w:p>
    <w:p w14:paraId="3C03505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（2）保证向承包人提供正常施工所需要的进入施工现场的交通条件；</w:t>
      </w:r>
    </w:p>
    <w:p w14:paraId="3042388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（3）协调处理施工现场周围地下管线和邻近建筑物、构筑物、古树名木的保护工作，并承担相关费用；</w:t>
      </w:r>
    </w:p>
    <w:p w14:paraId="0E3A419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（4）按照专用合同条款约定应提供的其他设施和条件。</w:t>
      </w:r>
    </w:p>
    <w:p w14:paraId="274F2DE7">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sz w:val="21"/>
          <w:szCs w:val="21"/>
          <w:highlight w:val="none"/>
        </w:rPr>
      </w:pPr>
      <w:r>
        <w:rPr>
          <w:rFonts w:hint="eastAsia" w:cs="宋体"/>
          <w:kern w:val="0"/>
          <w:sz w:val="21"/>
          <w:szCs w:val="21"/>
          <w:highlight w:val="none"/>
        </w:rPr>
        <w:t>2.4.3 提供基础资料</w:t>
      </w:r>
    </w:p>
    <w:p w14:paraId="16B9CFC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55D4C4A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按照法律规定确需在开工后方能提供的基础资料，发包人应尽其努力及时地在相应工程施工前的合理期限内提供，合理期限应以不影响承包人的正常施工为限。</w:t>
      </w:r>
    </w:p>
    <w:p w14:paraId="3D99DB7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2.4.4 逾期提供的责任</w:t>
      </w:r>
    </w:p>
    <w:p w14:paraId="3FC07495">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因发包人原因未能按合同约定及时向承包人提供施工现场、施工条件、基础资料的，由发包人承担由此增加的费用和（或）延误的工期。</w:t>
      </w:r>
    </w:p>
    <w:p w14:paraId="689F182D">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2.5 资金来源证明及支付担保</w:t>
      </w:r>
    </w:p>
    <w:p w14:paraId="23F42EB4">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除专用合同条款另有约定外，发包人应在收到承包人要求提供资金来源证明的书面通知后28天内，向承包人提供能够按照合同约定支付合同价款的相应资金来源证明。</w:t>
      </w:r>
    </w:p>
    <w:p w14:paraId="229EBD66">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2152E949">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2.6 支付合同价款</w:t>
      </w:r>
    </w:p>
    <w:p w14:paraId="5F9E10A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发包人应按合同约定向承包人及时支付合同价款。</w:t>
      </w:r>
    </w:p>
    <w:p w14:paraId="2C22C68C">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2.7 组织竣工验收</w:t>
      </w:r>
    </w:p>
    <w:p w14:paraId="12A5583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发包人应按合同约定及时组织竣工验收。</w:t>
      </w:r>
    </w:p>
    <w:p w14:paraId="5B29D14D">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2.8 现场统一管理协议</w:t>
      </w:r>
    </w:p>
    <w:p w14:paraId="5598797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发包人应与承包人、由发包人直接发包的专业工程的承包人签订施工现场统一管理协议，明确各方的权利义务。施工现场统一管理协议作为专用合同条款的附件。</w:t>
      </w:r>
    </w:p>
    <w:p w14:paraId="33D88FDF">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40" w:name="_Toc30878_WPSOffice_Level2"/>
      <w:bookmarkStart w:id="41" w:name="_Toc22915"/>
      <w:bookmarkStart w:id="42" w:name="_Toc11444_WPSOffice_Level2"/>
      <w:bookmarkStart w:id="43" w:name="_Toc11990"/>
      <w:r>
        <w:rPr>
          <w:rFonts w:hint="eastAsia"/>
          <w:sz w:val="21"/>
          <w:szCs w:val="21"/>
          <w:highlight w:val="none"/>
        </w:rPr>
        <w:t>3. 承包人</w:t>
      </w:r>
      <w:bookmarkEnd w:id="40"/>
      <w:bookmarkEnd w:id="41"/>
      <w:bookmarkEnd w:id="42"/>
      <w:bookmarkEnd w:id="43"/>
    </w:p>
    <w:p w14:paraId="79ABDDAB">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3.1 承包人的一般义务</w:t>
      </w:r>
    </w:p>
    <w:p w14:paraId="41FAC74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承包人在履行合同过程中应遵守法律和工程建设标准规范，并履行以下义务：</w:t>
      </w:r>
    </w:p>
    <w:p w14:paraId="23B5EBB7">
      <w:pPr>
        <w:pageBreakBefore w:val="0"/>
        <w:numPr>
          <w:ilvl w:val="0"/>
          <w:numId w:val="13"/>
        </w:numPr>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办理法律规定应由承包人办理的许可和批准，并将办理结果书面报送发包人留存；</w:t>
      </w:r>
    </w:p>
    <w:p w14:paraId="61FFB80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（2）按法律规定和合同约定完成工程，并在保修期内承担保修义务；</w:t>
      </w:r>
    </w:p>
    <w:p w14:paraId="5A86D44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（3）按法律规定和合同约定采取施工安全和环境保护措施，办理工伤保险，确保工程及人员、材料、设备和设施的安全；</w:t>
      </w:r>
    </w:p>
    <w:p w14:paraId="1813722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（4）按合同约定的工作内容和施工进度要求，编制施工组织设计和施工措施计划，并对所有施工作业和施工方法的完备性和安全可靠性负责；</w:t>
      </w:r>
    </w:p>
    <w:p w14:paraId="7CB3D6E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078652D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（6）按照第6.3款〔环境保护〕约定负责施工场地及其周边环境与生态的保护工作；</w:t>
      </w:r>
    </w:p>
    <w:p w14:paraId="7E504F8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（7）按第6.1款〔安全文明施工〕约定采取施工安全措施，确保工程及其人员、材料、设备和设施的安全，防止因工程施工造成的人身伤害和财产损失；</w:t>
      </w:r>
    </w:p>
    <w:p w14:paraId="1DD982D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（8）将发包人按合同约定支付的各项价款专用于合同工程，且应及时支付其雇用人员工资，并及时向分包人支付合同价款；</w:t>
      </w:r>
    </w:p>
    <w:p w14:paraId="5AE13E2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（9）按照法律规定和合同约定编制竣工资料，完成竣工资料立卷及归档，并按专用合同条款约定的竣工资料的套数、内容、时间等要求移交发包人；</w:t>
      </w:r>
    </w:p>
    <w:p w14:paraId="0E9CA26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（10）应履行的其他义务。</w:t>
      </w:r>
    </w:p>
    <w:p w14:paraId="27B51234">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3.2 项目经理</w:t>
      </w:r>
    </w:p>
    <w:p w14:paraId="3A25E0A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2F2D73E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1C8FFC5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承包人违反上述约定的，应按照专用合同条款的约定，承担违约责任。</w:t>
      </w:r>
    </w:p>
    <w:p w14:paraId="025F6AD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0DA066F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11A41CB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02F183F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454EF750">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3.3 承包人人员</w:t>
      </w:r>
    </w:p>
    <w:p w14:paraId="3DE838B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632E0CA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704EB05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特殊工种作业人员均应持有相应的资格证明，监理人可以随时检查。</w:t>
      </w:r>
    </w:p>
    <w:p w14:paraId="18AD0F5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45466FF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2A8B0AC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3.3.5 承包人擅自更换主要施工管理人员，或前述人员未经监理人或发包人同意擅自离开施工现场的，应按照专用合同条款约定承担违约责任。</w:t>
      </w:r>
    </w:p>
    <w:p w14:paraId="38B70911">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3.4 承包人现场查勘</w:t>
      </w:r>
    </w:p>
    <w:p w14:paraId="7332C97B">
      <w:pPr>
        <w:pageBreakBefore w:val="0"/>
        <w:kinsoku/>
        <w:overflowPunct/>
        <w:autoSpaceDE w:val="0"/>
        <w:autoSpaceDN w:val="0"/>
        <w:bidi w:val="0"/>
        <w:adjustRightInd w:val="0"/>
        <w:spacing w:after="0" w:afterLines="0" w:line="360" w:lineRule="auto"/>
        <w:ind w:firstLine="420" w:firstLineChars="200"/>
        <w:textAlignment w:val="auto"/>
        <w:rPr>
          <w:rFonts w:hint="eastAsia" w:cs="宋体"/>
          <w:sz w:val="21"/>
          <w:szCs w:val="21"/>
          <w:highlight w:val="none"/>
        </w:rPr>
      </w:pPr>
      <w:r>
        <w:rPr>
          <w:rFonts w:hint="eastAsia" w:cs="宋体"/>
          <w:kern w:val="0"/>
          <w:sz w:val="21"/>
          <w:szCs w:val="21"/>
          <w:highlight w:val="none"/>
        </w:rPr>
        <w:t>承包人应对基于发包人按照第2.4.3项〔提供基础资料〕提交的基础资料所做出的解释和推断负责，但因基础资料存在错误、遗漏导致承包人解释或推断失实的，由发包人承担责任。</w:t>
      </w:r>
    </w:p>
    <w:p w14:paraId="5940CB9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39DB3E47">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3.5 分包</w:t>
      </w:r>
    </w:p>
    <w:p w14:paraId="565338BC">
      <w:pPr>
        <w:pageBreakBefore w:val="0"/>
        <w:kinsoku/>
        <w:overflowPunct/>
        <w:bidi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3.5.1 分包的一般约定</w:t>
      </w:r>
    </w:p>
    <w:p w14:paraId="6B869C31">
      <w:pPr>
        <w:pageBreakBefore w:val="0"/>
        <w:kinsoku/>
        <w:overflowPunct/>
        <w:bidi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00E0072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承包人不得以劳务分包的名义转包或违法分包工程。</w:t>
      </w:r>
    </w:p>
    <w:p w14:paraId="04D8E113">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3.5.2 分包的确定</w:t>
      </w:r>
    </w:p>
    <w:p w14:paraId="3469B7D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5C10F0CE">
      <w:pPr>
        <w:pageBreakBefore w:val="0"/>
        <w:kinsoku/>
        <w:overflowPunct/>
        <w:bidi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3.5.3 分包管理</w:t>
      </w:r>
    </w:p>
    <w:p w14:paraId="7A51230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承包人应向监理人提交分包人的主要施工管理人员表，并对分包人的施工人员进行实名制管理，包括但不限于进出场管理、登记造册以及各种证照的办理。</w:t>
      </w:r>
    </w:p>
    <w:p w14:paraId="66A59A3E">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3.5.4 分包合同价款</w:t>
      </w:r>
    </w:p>
    <w:p w14:paraId="591F169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（1）除本项第（2）目约定的情况或专用合同条款另有约定外，分包合同价款由承包人与分包人结算，未经承包人同意，发包人不得向分包人支付分包工程价款；</w:t>
      </w:r>
    </w:p>
    <w:p w14:paraId="0D97CE7C">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（2）生效法律文书要求发包人向分包人支付分包合同价款的，发包人有权从应付承包人工程款中扣除该部分款项。</w:t>
      </w:r>
    </w:p>
    <w:p w14:paraId="5D1D0B4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3.5.5 分包合同权益的转让</w:t>
      </w:r>
    </w:p>
    <w:p w14:paraId="5DFFE3E6">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608D8759">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3.6 工程照管与成品、半成品保护</w:t>
      </w:r>
    </w:p>
    <w:p w14:paraId="4E3F632C">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（1）除专用合同条款另有约定外，自发包人向承包人移交施工现场之日起，承包人应负责照管工程及工程相关的材料、工程设备，直到颁发工程接收证书之日止。</w:t>
      </w:r>
    </w:p>
    <w:p w14:paraId="27BFEF96">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（2）在承包人负责照管期间，因承包人原因造成工程、材料、工程设备损坏的，由承包人负责修复或更换，并承担由此增加的费用和（或）延误的工期。</w:t>
      </w:r>
    </w:p>
    <w:p w14:paraId="54BA5BB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6E6CB233">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3.7 履约担保</w:t>
      </w:r>
    </w:p>
    <w:p w14:paraId="082837B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1B5546E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因承包人原因导致工期延长的，继续提供履约担保所增加的费用由承包人承担；非因承包人原因导致工期延长的，继续提供履约担保所增加的费用由发包人承担。</w:t>
      </w:r>
    </w:p>
    <w:p w14:paraId="48537063">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3.8 联合体</w:t>
      </w:r>
    </w:p>
    <w:p w14:paraId="5E2A103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3.8.1 联合体各方应共同与发包人签订合同协议书。联合体各方应为履行合同向发包人承担连带责任。</w:t>
      </w:r>
    </w:p>
    <w:p w14:paraId="68801B2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3.8.2 联合体协议经发包人确认后作为合同附件。在履行合同过程中，未经发包人同意，不得修改联合体协议。</w:t>
      </w:r>
    </w:p>
    <w:p w14:paraId="779B59D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3.8.3 联合体牵头人负责与发包人和监理人联系，并接受指示，负责组织联合体各成员全面履行合同。</w:t>
      </w:r>
    </w:p>
    <w:p w14:paraId="093512F6">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44" w:name="_Toc3739"/>
      <w:bookmarkStart w:id="45" w:name="_Toc27937"/>
      <w:bookmarkStart w:id="46" w:name="_Toc16863_WPSOffice_Level2"/>
      <w:bookmarkStart w:id="47" w:name="_Toc16790_WPSOffice_Level2"/>
      <w:r>
        <w:rPr>
          <w:rFonts w:hint="eastAsia"/>
          <w:sz w:val="21"/>
          <w:szCs w:val="21"/>
          <w:highlight w:val="none"/>
        </w:rPr>
        <w:t>4. 监理人</w:t>
      </w:r>
      <w:bookmarkEnd w:id="44"/>
      <w:bookmarkEnd w:id="45"/>
      <w:bookmarkEnd w:id="46"/>
      <w:bookmarkEnd w:id="47"/>
    </w:p>
    <w:p w14:paraId="4740D793">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4.1监理人的一般规定</w:t>
      </w:r>
    </w:p>
    <w:p w14:paraId="07FB99D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1D449AF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除专用合同条款另有约定外，监理人在施工现场的办公场所、生活场所由承包人提供，所发生的费用由发包人承担。</w:t>
      </w:r>
    </w:p>
    <w:p w14:paraId="0B39F401">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4.2监理人员</w:t>
      </w:r>
    </w:p>
    <w:p w14:paraId="404945F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57C33842">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4.3监理人的指示</w:t>
      </w:r>
    </w:p>
    <w:p w14:paraId="616C36B9">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20F0BC1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5DD517C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承包人对监理人发出的指示有疑问的，应向监理人提出书面异议，监理人应在48小时内对该指示予以确认、更改或撤销，监理人逾期未回复的，承包人有权拒绝执行上述指示。</w:t>
      </w:r>
    </w:p>
    <w:p w14:paraId="7178772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57CFEE15">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4.4 商定或确定</w:t>
      </w:r>
    </w:p>
    <w:p w14:paraId="403910D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合同当事人进行商定或确定时，总监理工程师应当会同合同当事人尽量通过协商达成一致，不能达成一致的，由总监理工程师按照合同约定审慎做出公正的确定。</w:t>
      </w:r>
    </w:p>
    <w:p w14:paraId="4F6E4B2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642794DB">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48" w:name="_Toc8436_WPSOffice_Level2"/>
      <w:bookmarkStart w:id="49" w:name="_Toc30054"/>
      <w:bookmarkStart w:id="50" w:name="_Toc11135_WPSOffice_Level2"/>
      <w:bookmarkStart w:id="51" w:name="_Toc12572"/>
      <w:r>
        <w:rPr>
          <w:rFonts w:hint="eastAsia"/>
          <w:sz w:val="21"/>
          <w:szCs w:val="21"/>
          <w:highlight w:val="none"/>
        </w:rPr>
        <w:t>5. 工程质量</w:t>
      </w:r>
      <w:bookmarkEnd w:id="48"/>
      <w:bookmarkEnd w:id="49"/>
      <w:bookmarkEnd w:id="50"/>
      <w:bookmarkEnd w:id="51"/>
    </w:p>
    <w:p w14:paraId="73903445">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5.1质量要求</w:t>
      </w:r>
    </w:p>
    <w:p w14:paraId="23E9CFB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5.1.1 工程质量标准必须符合现行国家有关工程施工质量验收规范和标准的要求。有关工程质量的特殊标准或要求由合同当事人在专用合同条款中约定。</w:t>
      </w:r>
    </w:p>
    <w:p w14:paraId="304A126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5.1.2 因发包人原因造成工程质量未达到合同约定标准的，由发包人承担由此增加的费用和（或）延误的工期，并支付承包人合理的利润。</w:t>
      </w:r>
    </w:p>
    <w:p w14:paraId="38CCB32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5.1.3 因承包人原因造成工程质量未达到合同约定标准的，发包人有权要求承包人返工直至工程质量达到合同约定的标准为止，并由承包人承担由此增加的费用和（或）延误的工期。</w:t>
      </w:r>
    </w:p>
    <w:p w14:paraId="62E960E3">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5.2质量保证措施</w:t>
      </w:r>
    </w:p>
    <w:p w14:paraId="078FA5B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5.2.1 发包人的质量管理</w:t>
      </w:r>
    </w:p>
    <w:p w14:paraId="3C9A0E9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发包人应按照法律规定及合同约定完成与工程质量有关的各项工作。</w:t>
      </w:r>
    </w:p>
    <w:p w14:paraId="2D6FB14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5.2.2 承包人的质量管理</w:t>
      </w:r>
    </w:p>
    <w:p w14:paraId="6C5A3C9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758A382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承包人应对施工人员进行质量教育和技术培训，定期考核施工人员的劳动技能，严格执行施工规范和操作规程。</w:t>
      </w:r>
    </w:p>
    <w:p w14:paraId="6C15903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5F4BC11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5.2.3 监理人的质量检查和检验</w:t>
      </w:r>
    </w:p>
    <w:p w14:paraId="46F6BB7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147EBCB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2F4F2C28">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5.3 隐蔽工程检查</w:t>
      </w:r>
    </w:p>
    <w:p w14:paraId="73AF5B48">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5.3.1承包人自检</w:t>
      </w:r>
    </w:p>
    <w:p w14:paraId="2DEB7A04">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承包人应当对工程隐蔽部位进行自检，并经自检确认是否具备覆盖条件。</w:t>
      </w:r>
    </w:p>
    <w:p w14:paraId="56E8859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5.3.2检查程序</w:t>
      </w:r>
    </w:p>
    <w:p w14:paraId="371EFA5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4FB04F6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13949F0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0AEBAB8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5.3.3 重新检查</w:t>
      </w:r>
    </w:p>
    <w:p w14:paraId="0EFAA29A">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386AA8B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5.3.4 承包人私自覆盖</w:t>
      </w:r>
    </w:p>
    <w:p w14:paraId="1A33C925">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kern w:val="0"/>
          <w:sz w:val="21"/>
          <w:szCs w:val="21"/>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78D7DFA9">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5.4不合格工程的处理</w:t>
      </w:r>
    </w:p>
    <w:p w14:paraId="085A6EA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5AA5D635">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5.4.2 因发包人原因造成工程不合格的，由此增加的费用和（或）延误的工期由发包人承担，并支付承包人合理的利润。</w:t>
      </w:r>
    </w:p>
    <w:p w14:paraId="42027898">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5.5 质量争议检测</w:t>
      </w:r>
    </w:p>
    <w:p w14:paraId="4074CE7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合同当事人对工程质量有争议的，由双方协商确定的工程质量检测机构鉴定，由此产生的费用及因此造成的损失，由责任方承担。</w:t>
      </w:r>
    </w:p>
    <w:p w14:paraId="306CB6E4">
      <w:pPr>
        <w:pageBreakBefore w:val="0"/>
        <w:kinsoku/>
        <w:overflowPunct/>
        <w:autoSpaceDE w:val="0"/>
        <w:autoSpaceDN w:val="0"/>
        <w:bidi w:val="0"/>
        <w:adjustRightInd w:val="0"/>
        <w:spacing w:after="0" w:afterLines="0" w:line="360" w:lineRule="auto"/>
        <w:textAlignment w:val="auto"/>
        <w:rPr>
          <w:rFonts w:hint="eastAsia" w:cs="宋体"/>
          <w:kern w:val="0"/>
          <w:sz w:val="21"/>
          <w:szCs w:val="21"/>
          <w:highlight w:val="none"/>
        </w:rPr>
      </w:pPr>
      <w:r>
        <w:rPr>
          <w:rFonts w:hint="eastAsia" w:cs="宋体"/>
          <w:kern w:val="0"/>
          <w:sz w:val="21"/>
          <w:szCs w:val="21"/>
          <w:highlight w:val="none"/>
        </w:rPr>
        <w:t>合同当事人均有责任的，由双方根据其责任分别承担。合同当事人无法达成一致的，按照第4.4款〔商定或确定〕执行。</w:t>
      </w:r>
    </w:p>
    <w:p w14:paraId="3C588510">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52" w:name="_Toc32011_WPSOffice_Level2"/>
      <w:bookmarkStart w:id="53" w:name="_Toc14663"/>
      <w:bookmarkStart w:id="54" w:name="_Toc21145_WPSOffice_Level2"/>
      <w:bookmarkStart w:id="55" w:name="_Toc19069"/>
      <w:r>
        <w:rPr>
          <w:rFonts w:hint="eastAsia"/>
          <w:sz w:val="21"/>
          <w:szCs w:val="21"/>
          <w:highlight w:val="none"/>
        </w:rPr>
        <w:t>6. 安全文明施工与环境保护</w:t>
      </w:r>
      <w:bookmarkEnd w:id="52"/>
      <w:bookmarkEnd w:id="53"/>
      <w:bookmarkEnd w:id="54"/>
      <w:bookmarkEnd w:id="55"/>
    </w:p>
    <w:p w14:paraId="3863574C">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6.1安全文明施工</w:t>
      </w:r>
    </w:p>
    <w:p w14:paraId="795DB11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6.1.1安全生产要求</w:t>
      </w:r>
    </w:p>
    <w:p w14:paraId="609DFEE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1922758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在施工过程中，如遇到突发的地质变动、事先未知的地下施工障碍等影响施工安全的紧急情况，承包人应及时报告监理人和发包人，发包人应当及时下令停工并报政府有关行政管理部门采取应急措施。</w:t>
      </w:r>
    </w:p>
    <w:p w14:paraId="45AC802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因安全生产需要暂停施工的，按照第7.8款〔暂停施工〕的约定执行。</w:t>
      </w:r>
    </w:p>
    <w:p w14:paraId="67C1DB2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6.1.2 安全生产保证措施</w:t>
      </w:r>
    </w:p>
    <w:p w14:paraId="672BCE7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640318E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6.1.3特别安全生产事项</w:t>
      </w:r>
    </w:p>
    <w:p w14:paraId="2599C87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27BB5D4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369206F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4F3127F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需单独编制危险性较大分部分项专项工程施工方案的，及要求进行专家论证的超过一定规模的危险性较大的分部分项工程，承包人应及时编制和组织论证。</w:t>
      </w:r>
    </w:p>
    <w:p w14:paraId="367A12B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6.1.4 治安保卫</w:t>
      </w:r>
    </w:p>
    <w:p w14:paraId="680D23C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除专用合同条款另有约定外，发包人应与当地公安部门协商，在现场建立治安管理机构或联防组织，统一管理施工场地的治安保卫事项，履行合同工程的治安保卫职责。</w:t>
      </w:r>
    </w:p>
    <w:p w14:paraId="33CF0C1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发包人和承包人除应协助现场治安管理机构或联防组织维护施工场地的社会治安外，还应做好包括生活区在内的各自管辖区的治安保卫工作。</w:t>
      </w:r>
    </w:p>
    <w:p w14:paraId="1F76170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50FD681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6.1.5 文明施工</w:t>
      </w:r>
    </w:p>
    <w:p w14:paraId="1CEF2C2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5C06698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34135BF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6.1.6 安全文明施工费</w:t>
      </w:r>
    </w:p>
    <w:p w14:paraId="54AF3ED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安全文明施工费由发包人承担，发包人不得以任何形式扣减该部分费用。因基准日期后合同所适用的法律或政府有关规定发生变化，增加的安全文明施工费由发包人承担。</w:t>
      </w:r>
    </w:p>
    <w:p w14:paraId="242AE3B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3FD899A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2BD38CA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23B8FD0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6.1.7 紧急情况处理</w:t>
      </w:r>
    </w:p>
    <w:p w14:paraId="5CB3D0F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78B0E32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6.1.8 事故处理</w:t>
      </w:r>
    </w:p>
    <w:p w14:paraId="3A8C561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1DEFBEC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6.1.9 安全生产责任</w:t>
      </w:r>
    </w:p>
    <w:p w14:paraId="559F4E4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6.1.9.1 发包人的安全责任</w:t>
      </w:r>
    </w:p>
    <w:p w14:paraId="67BEF4F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发包人应负责赔偿以下各种情况造成的损失：</w:t>
      </w:r>
    </w:p>
    <w:p w14:paraId="72D18E1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（1）工程或工程的任何部分对土地的占用所造成的第三者财产损失；</w:t>
      </w:r>
    </w:p>
    <w:p w14:paraId="0770C78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（2）由于发包人原因在施工场地及其毗邻地带造成的第三者人身伤亡和财产损失；</w:t>
      </w:r>
    </w:p>
    <w:p w14:paraId="4419255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（3）由于发包人原因对承包人、监理人造成的人员人身伤亡和财产损失；</w:t>
      </w:r>
    </w:p>
    <w:p w14:paraId="039899B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（4）由于发包人原因造成的发包人自身人员的人身伤害以及财产损失。</w:t>
      </w:r>
    </w:p>
    <w:p w14:paraId="0ABC0CA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6.1.9.2 承包人的安全责任</w:t>
      </w:r>
    </w:p>
    <w:p w14:paraId="10A62A2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由于承包人原因在施工场地内及其毗邻地带造成的发包人、监理人以及第三者人员伤亡和财产损失，由承包人负责赔偿。</w:t>
      </w:r>
    </w:p>
    <w:p w14:paraId="2CD6F229">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6.2 职业健康</w:t>
      </w:r>
    </w:p>
    <w:p w14:paraId="62AD0D7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6.2.1 劳动保护</w:t>
      </w:r>
    </w:p>
    <w:p w14:paraId="466B016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010A182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142BBEA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3093B92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6.2.2 生活条件</w:t>
      </w:r>
    </w:p>
    <w:p w14:paraId="5E6C141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687FA25E">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6.3 环境保护</w:t>
      </w:r>
    </w:p>
    <w:p w14:paraId="0A54F21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7AB8C18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承包人应当承担因其原因引起的环境污染侵权损害赔偿责任，因上述环境污染引起纠纷而导致暂停施工的，由此增加的费用和（或）延误的工期由承包人承担。</w:t>
      </w:r>
    </w:p>
    <w:p w14:paraId="58760AB2">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56" w:name="_Toc32704_WPSOffice_Level2"/>
      <w:bookmarkStart w:id="57" w:name="_Toc4780_WPSOffice_Level2"/>
      <w:bookmarkStart w:id="58" w:name="_Toc29285"/>
      <w:bookmarkStart w:id="59" w:name="_Toc7109"/>
      <w:r>
        <w:rPr>
          <w:rFonts w:hint="eastAsia"/>
          <w:sz w:val="21"/>
          <w:szCs w:val="21"/>
          <w:highlight w:val="none"/>
        </w:rPr>
        <w:t>7. 工期和进度</w:t>
      </w:r>
      <w:bookmarkEnd w:id="56"/>
      <w:bookmarkEnd w:id="57"/>
      <w:bookmarkEnd w:id="58"/>
      <w:bookmarkEnd w:id="59"/>
    </w:p>
    <w:p w14:paraId="0FE77FC0">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7.1施工组织设计</w:t>
      </w:r>
    </w:p>
    <w:p w14:paraId="43CABB5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7.1.1 施工组织设计的内容</w:t>
      </w:r>
    </w:p>
    <w:p w14:paraId="5EC3AA5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施工组织设计应包含以下内容：</w:t>
      </w:r>
    </w:p>
    <w:p w14:paraId="2B00B34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 xml:space="preserve">（1）施工方案； </w:t>
      </w:r>
    </w:p>
    <w:p w14:paraId="042AB65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（2）施工现场平面布置图；</w:t>
      </w:r>
    </w:p>
    <w:p w14:paraId="7F76A30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 xml:space="preserve">（3）施工进度计划和保证措施； </w:t>
      </w:r>
    </w:p>
    <w:p w14:paraId="2118B89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（4）劳动力及材料供应计划；</w:t>
      </w:r>
    </w:p>
    <w:p w14:paraId="325D8E5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（5）施工机械设备的选用；</w:t>
      </w:r>
    </w:p>
    <w:p w14:paraId="573A46D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（6）质量保证体系及措施；</w:t>
      </w:r>
    </w:p>
    <w:p w14:paraId="2E1C1DD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（7）安全生产、文明施工措施；</w:t>
      </w:r>
    </w:p>
    <w:p w14:paraId="310A2A9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（8）环境保护、成本控制措施；</w:t>
      </w:r>
    </w:p>
    <w:p w14:paraId="2AF73F0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（9）合同当事人约定的其他内容。</w:t>
      </w:r>
    </w:p>
    <w:p w14:paraId="0317DD9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7.1.2 施工组织设计的提交和修改</w:t>
      </w:r>
    </w:p>
    <w:p w14:paraId="6E7FB42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056F94A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施工进度计划的编制和修改按照第7.2款〔施工进度计划〕执行。</w:t>
      </w:r>
    </w:p>
    <w:p w14:paraId="56B5E9D7">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7.2 施工进度计划</w:t>
      </w:r>
    </w:p>
    <w:p w14:paraId="5F892B7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7.2.1 施工进度计划的编制</w:t>
      </w:r>
    </w:p>
    <w:p w14:paraId="7E59518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3BC6129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7.2.2 施工进度计划的修订</w:t>
      </w:r>
    </w:p>
    <w:p w14:paraId="3865491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224EB144">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7.3 开工</w:t>
      </w:r>
    </w:p>
    <w:p w14:paraId="500CC42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7.3.1 开工准备</w:t>
      </w:r>
    </w:p>
    <w:p w14:paraId="0B1AB67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657083E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除专用合同条款另有约定外，合同当事人应按约定完成开工准备工作。</w:t>
      </w:r>
    </w:p>
    <w:p w14:paraId="171D49C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7.3.2 开工通知</w:t>
      </w:r>
    </w:p>
    <w:p w14:paraId="5529A51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6461494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1EC9A8C1">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7.4测量放线</w:t>
      </w:r>
    </w:p>
    <w:p w14:paraId="28DEF59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15D71F1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06C24BC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553EB63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施工过程中对施工现场内水准点等测量标志物的保护工作由承包人负责。</w:t>
      </w:r>
    </w:p>
    <w:p w14:paraId="04D8B14F">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7.5 工期延误</w:t>
      </w:r>
    </w:p>
    <w:p w14:paraId="5D186D3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7.5.1 因发包人原因导致工期延误</w:t>
      </w:r>
    </w:p>
    <w:p w14:paraId="38C0BBC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 xml:space="preserve">在合同履行过程中，因下列情况导致工期延误和（或）费用增加的，由发包人承担由此延误的工期和（或）增加的费用，且发包人应支付承包人合理的利润： </w:t>
      </w:r>
    </w:p>
    <w:p w14:paraId="11A7806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（1）发包人未能按合同约定提供图纸或所提供图纸不符合合同约定的；</w:t>
      </w:r>
    </w:p>
    <w:p w14:paraId="574BCF7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（2）发包人未能按合同约定提供施工现场、施工条件、基础资料、许可、批准等开工条件的；</w:t>
      </w:r>
    </w:p>
    <w:p w14:paraId="743F444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（3）发包人提供的测量基准点、基准线和水准点及其书面资料存在错误或疏漏的；</w:t>
      </w:r>
    </w:p>
    <w:p w14:paraId="5FAAD01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（4）发包人未能在计划开工日期之日起7天内同意下达开工通知的；</w:t>
      </w:r>
    </w:p>
    <w:p w14:paraId="451C138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（5）发包人未能按合同约定日期支付工程预付款、进度款或竣工结算款的；</w:t>
      </w:r>
    </w:p>
    <w:p w14:paraId="283F09A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（6）监理人未按合同约定发出指示、批准等文件的；</w:t>
      </w:r>
    </w:p>
    <w:p w14:paraId="633E10B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（7）专用合同条款中约定的其他情形。</w:t>
      </w:r>
    </w:p>
    <w:p w14:paraId="3552D2D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7D0F0E5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7.5.2 因承包人原因导致工期延误</w:t>
      </w:r>
    </w:p>
    <w:p w14:paraId="1F8D78F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因承包人原因造成工期延误的，可以在专用合同条款中约定逾期竣工违约金的计算方法和逾期竣工违约金的上限。承包人支付逾期竣工违约金后，不免除承包人继续完成工程及修补缺陷的义务。</w:t>
      </w:r>
    </w:p>
    <w:p w14:paraId="779A45D9">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7.6 不利物质条件</w:t>
      </w:r>
    </w:p>
    <w:p w14:paraId="52337D1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669FF43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639BE865">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7.7 异常恶劣的气候条件</w:t>
      </w:r>
    </w:p>
    <w:p w14:paraId="2ED662D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28F048D5">
      <w:pPr>
        <w:pageBreakBefore w:val="0"/>
        <w:kinsoku/>
        <w:overflowPunct/>
        <w:autoSpaceDE w:val="0"/>
        <w:autoSpaceDN w:val="0"/>
        <w:bidi w:val="0"/>
        <w:spacing w:after="0" w:afterLines="0" w:line="360" w:lineRule="auto"/>
        <w:ind w:firstLine="420" w:firstLineChars="200"/>
        <w:textAlignment w:val="auto"/>
        <w:rPr>
          <w:rFonts w:hint="eastAsia"/>
          <w:sz w:val="21"/>
          <w:szCs w:val="21"/>
          <w:highlight w:val="none"/>
        </w:rPr>
      </w:pPr>
      <w:r>
        <w:rPr>
          <w:rFonts w:hint="eastAsia" w:cs="宋体"/>
          <w:kern w:val="0"/>
          <w:sz w:val="21"/>
          <w:szCs w:val="21"/>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p>
    <w:p w14:paraId="47AF4F70">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7.8 暂停施工</w:t>
      </w:r>
    </w:p>
    <w:p w14:paraId="6918B8E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7.8.1发包人原因引起的暂停施工</w:t>
      </w:r>
    </w:p>
    <w:p w14:paraId="0EA50F3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因发包人原因引起暂停施工的，监理人经发包人同意后，应及时下达暂停施工指示。情况紧急且监理人未及时下达暂停施工指示的，按照第7.8.4项〔紧急情况下的暂停施工〕执行。</w:t>
      </w:r>
    </w:p>
    <w:p w14:paraId="64F4773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因发包人原因引起的暂停施工，发包人应承担由此增加的费用和（或）延误的工期，并支付承包人合理的利润。</w:t>
      </w:r>
    </w:p>
    <w:p w14:paraId="143051F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7.8.2 承包人原因引起的暂停施工</w:t>
      </w:r>
    </w:p>
    <w:p w14:paraId="0268A56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28BF7BA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7.8.3 指示暂停施工</w:t>
      </w:r>
    </w:p>
    <w:p w14:paraId="4853892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监理人认为有必要时，并经发包人批准后，可向承包人作出暂停施工的指示，承包人应按监理人指示暂停施工。</w:t>
      </w:r>
    </w:p>
    <w:p w14:paraId="0A81CA6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7.8.4 紧急情况下的暂停施工</w:t>
      </w:r>
    </w:p>
    <w:p w14:paraId="18DBBAB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4346A06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7.8.5 暂停施工后的复工</w:t>
      </w:r>
    </w:p>
    <w:p w14:paraId="77E4ADD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136F0CA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承包人无故拖延和拒绝复工的，承包人承担由此增加的费用和（或）延误的工期；因发包人原因无法按时复工的，按照第7.5.1项〔因发包人原因导致工期延误〕约定办理。</w:t>
      </w:r>
    </w:p>
    <w:p w14:paraId="37020DE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7.8.6 暂停施工持续56天以上</w:t>
      </w:r>
    </w:p>
    <w:p w14:paraId="2024E14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0953B2F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0A6ECCE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7.8.7 暂停施工期间的工程照管</w:t>
      </w:r>
    </w:p>
    <w:p w14:paraId="1741164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暂停施工期间，承包人应负责妥善照管工程并提供安全保障，由此增加的费用由责任方承担。</w:t>
      </w:r>
    </w:p>
    <w:p w14:paraId="0738657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7.8.8 暂停施工的措施</w:t>
      </w:r>
    </w:p>
    <w:p w14:paraId="2D38551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暂停施工期间，发包人和承包人均应采取必要的措施确保工程质量及安全，防止因暂停施工扩大损失。</w:t>
      </w:r>
    </w:p>
    <w:p w14:paraId="67F79F2B">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7.9提前竣工</w:t>
      </w:r>
    </w:p>
    <w:p w14:paraId="378F483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4A70A3D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7.9.2 发包人要求承包人提前竣工，或承包人提出提前竣工的建议能够给发包人带来效益的，合同当事人可以在专用合同条款中约定提前竣工的奖励。</w:t>
      </w:r>
    </w:p>
    <w:p w14:paraId="03946558">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60" w:name="_Toc25092_WPSOffice_Level2"/>
      <w:bookmarkStart w:id="61" w:name="_Toc12151"/>
      <w:bookmarkStart w:id="62" w:name="_Toc10333"/>
      <w:bookmarkStart w:id="63" w:name="_Toc20061_WPSOffice_Level2"/>
      <w:r>
        <w:rPr>
          <w:rFonts w:hint="eastAsia"/>
          <w:sz w:val="21"/>
          <w:szCs w:val="21"/>
          <w:highlight w:val="none"/>
        </w:rPr>
        <w:t>8. 材料与设备</w:t>
      </w:r>
      <w:bookmarkEnd w:id="60"/>
      <w:bookmarkEnd w:id="61"/>
      <w:bookmarkEnd w:id="62"/>
      <w:bookmarkEnd w:id="63"/>
    </w:p>
    <w:p w14:paraId="79C707BF">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8.1发包人供应材料与工程设备</w:t>
      </w:r>
    </w:p>
    <w:p w14:paraId="55AAA5A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发包人自行供应材料、工程设备的，应在签订合同时在专用合同条款的附件《发包人供应材料设备一览表》中明确材料、工程设备的品种、规格、型号、数量、单价、质量等级和送达地点。</w:t>
      </w:r>
    </w:p>
    <w:p w14:paraId="6613869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41EBC5FE">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8.2承包人采购材料与工程设备</w:t>
      </w:r>
    </w:p>
    <w:p w14:paraId="0285BFD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519F09AD">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8.3材料与工程设备的接收与拒收</w:t>
      </w:r>
    </w:p>
    <w:p w14:paraId="6114B12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5983029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发包人提供的材料和工程设备的规格、数量或质量不符合合同约定的，或因发包人原因导致交货日期延误或交货地点变更等情况的，按照第16.1款〔发包人违约〕约定办理。</w:t>
      </w:r>
    </w:p>
    <w:p w14:paraId="50720B0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8.3.2 承包人采购的材料和工程设备，应保证产品质量合格，承包人应在材料和工程设备到货前24小时通知监理人检验。承包人进行永久设备、材料的制造和生产的，应符合相关质量标准，并向监理人提交材料的样本以及有关资料，并应在使用该材料或工程设备之前获得监理人同意。</w:t>
      </w:r>
    </w:p>
    <w:p w14:paraId="75E15F8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617494A4">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8.4材料与工程设备的保管与使用</w:t>
      </w:r>
    </w:p>
    <w:p w14:paraId="363C96D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8.4.1 发包人供应材料与工程设备的保管与使用</w:t>
      </w:r>
    </w:p>
    <w:p w14:paraId="6871F89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0272239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发包人供应的材料和工程设备使用前，由承包人负责检验，检验费用由发包人承担，不合格的不得使用。</w:t>
      </w:r>
    </w:p>
    <w:p w14:paraId="44EB988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8.4.2 承包人采购材料与工程设备的保管与使用</w:t>
      </w:r>
    </w:p>
    <w:p w14:paraId="284BCF0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2AA3414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发包人或监理人发现承包人使用不符合设计或有关标准要求的材料和工程设备时，有权要求承包人进行修复、拆除或重新采购，由此增加的费用和（或）延误的工期，由承包人承担。</w:t>
      </w:r>
    </w:p>
    <w:p w14:paraId="7074EFA5">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8.5禁止使用不合格的材料和工程设备</w:t>
      </w:r>
    </w:p>
    <w:p w14:paraId="6DFE54C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8.5.1 监理人有权拒绝承包人提供的不合格材料或工程设备，并要求承包人立即进行更换。监理人应在更换后再次进行检查和检验，由此增加的费用和（或）延误的工期由承包人承担。</w:t>
      </w:r>
    </w:p>
    <w:p w14:paraId="2EE4122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8.5.2 监理人发现承包人使用了不合格的材料和工程设备，承包人应按照监理人的指示立即改正，并禁止在工程中继续使用不合格的材料和工程设备。</w:t>
      </w:r>
    </w:p>
    <w:p w14:paraId="6D292B2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8.5.3 发包人提供的材料或工程设备不符合合同要求的，承包人有权拒绝，并可要求发包人更换，由此增加的费用和（或）延误的工期由发包人承担，并支付承包人合理的利润。</w:t>
      </w:r>
    </w:p>
    <w:p w14:paraId="2AF39F87">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8.6 样品</w:t>
      </w:r>
    </w:p>
    <w:p w14:paraId="3287A33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8.6.1</w:t>
      </w:r>
      <w:r>
        <w:rPr>
          <w:rFonts w:hint="eastAsia" w:cs="宋体"/>
          <w:kern w:val="0"/>
          <w:sz w:val="21"/>
          <w:szCs w:val="21"/>
          <w:highlight w:val="none"/>
        </w:rPr>
        <w:tab/>
      </w:r>
      <w:r>
        <w:rPr>
          <w:rFonts w:hint="eastAsia" w:cs="宋体"/>
          <w:kern w:val="0"/>
          <w:sz w:val="21"/>
          <w:szCs w:val="21"/>
          <w:highlight w:val="none"/>
        </w:rPr>
        <w:t>样品的报送与封存</w:t>
      </w:r>
    </w:p>
    <w:p w14:paraId="5461C86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需要承包人报送样品的材料或工程设备，样品的种类、名称、规格、数量等要求均应在专用合同条款中约定。样品的报送程序如下：</w:t>
      </w:r>
    </w:p>
    <w:p w14:paraId="4AD2B8B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66B68AE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1B1C669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（3）经发包人和监理人审批确认的样品应按约定的方法封样，封存的样品作为检验工程相关部分的标准之一。承包人在施工过程中不得使用与样品不符的材料或工程设备。</w:t>
      </w:r>
    </w:p>
    <w:p w14:paraId="094C925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713111B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8.6.2 样品的保管</w:t>
      </w:r>
    </w:p>
    <w:p w14:paraId="5F2914D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经批准的样品应由监理人负责封存于现场，承包人应在现场为保存样品提供适当和固定的场所并保持适当和良好的存储环境条件。</w:t>
      </w:r>
    </w:p>
    <w:p w14:paraId="2AA08963">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8.7材料与工程设备的替代</w:t>
      </w:r>
    </w:p>
    <w:p w14:paraId="0FC6DB6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8.7.1 出现下列情况需要使用替代材料和工程设备的，承包人应按照第8.7.2项约定的程序执行：</w:t>
      </w:r>
    </w:p>
    <w:p w14:paraId="3708C2C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（1）基准日期后生效的法律规定禁止使用的；</w:t>
      </w:r>
    </w:p>
    <w:p w14:paraId="42701A3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（2）发包人要求使用替代品的；</w:t>
      </w:r>
    </w:p>
    <w:p w14:paraId="1EE3872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（3）因其他原因必须使用替代品的。</w:t>
      </w:r>
    </w:p>
    <w:p w14:paraId="51560BC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8.7.2 承包人应在使用替代材料和工程设备28天前书面通知监理人，并附下列文件：</w:t>
      </w:r>
    </w:p>
    <w:p w14:paraId="1E31701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（1）被替代的材料和工程设备的名称、数量、规格、型号、品牌、性能、价格及其他相关资料；</w:t>
      </w:r>
    </w:p>
    <w:p w14:paraId="2609590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（2）替代品的名称、数量、规格、型号、品牌、性能、价格及其他相关资料；</w:t>
      </w:r>
    </w:p>
    <w:p w14:paraId="0DDEFF6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（3）替代品与被替代产品之间的差异以及使用替代品可能对工程产生的影响；</w:t>
      </w:r>
    </w:p>
    <w:p w14:paraId="17EA6D5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（4）替代品与被替代产品的价格差异；</w:t>
      </w:r>
    </w:p>
    <w:p w14:paraId="6006E1F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（5）使用替代品的理由和原因说明；</w:t>
      </w:r>
    </w:p>
    <w:p w14:paraId="479B809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（6）监理人要求的其他文件。</w:t>
      </w:r>
    </w:p>
    <w:p w14:paraId="4202990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监理人应在收到通知后14天内向承包人发出经发包人签认的书面指示；监理人逾期发出书面指示的，视为发包人和监理人同意使用替代品。</w:t>
      </w:r>
    </w:p>
    <w:p w14:paraId="4F7B45A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5FE60051">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8.8施工设备和临时设施</w:t>
      </w:r>
    </w:p>
    <w:p w14:paraId="6A2A181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8.8.1 承包人提供的施工设备和临时设施</w:t>
      </w:r>
    </w:p>
    <w:p w14:paraId="74BD4EE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59332F1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除专用合同条款另有约定外，承包人应自行承担修建临时设施的费用，需要临时占地的，应由发包人办理申请手续并承担相应费用。</w:t>
      </w:r>
    </w:p>
    <w:p w14:paraId="50BDE72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8.8.2发包人提供的施工设备和临时设施</w:t>
      </w:r>
    </w:p>
    <w:p w14:paraId="1D5803D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发包人提供的施工设备或临时设施在专用合同条款中约定。</w:t>
      </w:r>
    </w:p>
    <w:p w14:paraId="71642D7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8.8.3要求承包人增加或更换施工设备</w:t>
      </w:r>
    </w:p>
    <w:p w14:paraId="7339625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7631D109">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8.9材料与设备专用要求</w:t>
      </w:r>
    </w:p>
    <w:p w14:paraId="3077E4E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运入施工现场的材料、工程设备、施工设备以及在施工场地建设的临时设施，包括备品备件、安装工具与资料，必须专用于工程。未经发包人批准，承包人不得运出施工现场或挪作他用；经发包人批准，承包人可以根据施工进度计划撤走闲置的施工设备和其他物品。</w:t>
      </w:r>
    </w:p>
    <w:p w14:paraId="752B9030">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64" w:name="_Toc30396_WPSOffice_Level2"/>
      <w:bookmarkStart w:id="65" w:name="_Toc12851"/>
      <w:bookmarkStart w:id="66" w:name="_Toc19134_WPSOffice_Level2"/>
      <w:bookmarkStart w:id="67" w:name="_Toc8179"/>
      <w:r>
        <w:rPr>
          <w:rFonts w:hint="eastAsia"/>
          <w:sz w:val="21"/>
          <w:szCs w:val="21"/>
          <w:highlight w:val="none"/>
        </w:rPr>
        <w:t>9. 试验与检验</w:t>
      </w:r>
      <w:bookmarkEnd w:id="64"/>
      <w:bookmarkEnd w:id="65"/>
      <w:bookmarkEnd w:id="66"/>
      <w:bookmarkEnd w:id="67"/>
    </w:p>
    <w:p w14:paraId="10CD1F71">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9.1试验设备与试验人员</w:t>
      </w:r>
    </w:p>
    <w:p w14:paraId="02E85D4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66812D2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9.1.2 承包人应按专用合同条款的约定提供试验设备、取样装置、试验场所和试验条件，并向监理人提交相应进场计划表。</w:t>
      </w:r>
    </w:p>
    <w:p w14:paraId="3EA3254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承包人配置的试验设备要符合相应试验规程的要求并经过具有资质的检测单位检测，且在正式使用该试验设备前，需要经过监理人与承包人共同校定。</w:t>
      </w:r>
    </w:p>
    <w:p w14:paraId="58B18C7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9.1.3 承包人应向监理人提交试验人员的名单及其岗位、资格等证明资料，试验人员必须能够熟练进行相应的检测试验，承包人对试验人员的试验程序和试验结果的正确性负责。</w:t>
      </w:r>
    </w:p>
    <w:p w14:paraId="32C68CCA">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9.2取样</w:t>
      </w:r>
    </w:p>
    <w:p w14:paraId="65FC85F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试验属于自检性质的，承包人可以单独取样。试验属于监理人抽检性质的，可由监理人取样，也可由承包人的试验人员在监理人的监督下取样。</w:t>
      </w:r>
    </w:p>
    <w:p w14:paraId="19CAAE8E">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9.3材料、工程设备和工程的试验和检验</w:t>
      </w:r>
    </w:p>
    <w:p w14:paraId="0E1A61B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4C4D328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611A952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372E9DA3">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9.4现场工艺试验</w:t>
      </w:r>
    </w:p>
    <w:p w14:paraId="28EB45B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承包人应按合同约定或监理人指示进行现场工艺试验。对大型的现场工艺试验，监理人认为必要时，承包人应根据监理人提出的工艺试验要求，编制工艺试验措施计划，报送监理人审查。</w:t>
      </w:r>
    </w:p>
    <w:p w14:paraId="746648ED">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68" w:name="_Toc13810_WPSOffice_Level2"/>
      <w:bookmarkStart w:id="69" w:name="_Toc15802_WPSOffice_Level2"/>
      <w:bookmarkStart w:id="70" w:name="_Toc29798"/>
      <w:bookmarkStart w:id="71" w:name="_Toc13115"/>
      <w:r>
        <w:rPr>
          <w:rFonts w:hint="eastAsia"/>
          <w:sz w:val="21"/>
          <w:szCs w:val="21"/>
          <w:highlight w:val="none"/>
        </w:rPr>
        <w:t>10. 变更</w:t>
      </w:r>
      <w:bookmarkEnd w:id="68"/>
      <w:bookmarkEnd w:id="69"/>
      <w:bookmarkEnd w:id="70"/>
      <w:bookmarkEnd w:id="71"/>
    </w:p>
    <w:p w14:paraId="140C92F7">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10.1变更的范围</w:t>
      </w:r>
    </w:p>
    <w:p w14:paraId="4E7C508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除专用合同条款另有约定外，合同履行过程中发生以下情形的，应按照本条约定进行变更：</w:t>
      </w:r>
    </w:p>
    <w:p w14:paraId="6EBBAE9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（1）增加或减少合同中任何工作，或追加额外的工作；</w:t>
      </w:r>
    </w:p>
    <w:p w14:paraId="7883B8D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（2）取消合同中任何工作，但转由他人实施的工作除外；</w:t>
      </w:r>
    </w:p>
    <w:p w14:paraId="128A4C9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（3）改变合同中任何工作的质量标准或其他特性；</w:t>
      </w:r>
    </w:p>
    <w:p w14:paraId="760BA2B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（4）改变工程的基线、标高、位置和尺寸；</w:t>
      </w:r>
    </w:p>
    <w:p w14:paraId="42B5327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（5）改变工程的时间安排或实施顺序。</w:t>
      </w:r>
    </w:p>
    <w:p w14:paraId="2A3ED260">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10.2变更权</w:t>
      </w:r>
    </w:p>
    <w:p w14:paraId="19B5511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17FF3BF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涉及设计变更的，应由设计人提供变更后的图纸和说明。如变更超过原设计标准或批准的建设规模时，发包人应及时办理规划、设计变更等审批手续。</w:t>
      </w:r>
    </w:p>
    <w:p w14:paraId="66CF3950">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10.3变更程序</w:t>
      </w:r>
    </w:p>
    <w:p w14:paraId="5CA81AA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sz w:val="21"/>
          <w:szCs w:val="21"/>
          <w:highlight w:val="none"/>
        </w:rPr>
        <w:t>10</w:t>
      </w:r>
      <w:r>
        <w:rPr>
          <w:rFonts w:hint="eastAsia" w:cs="宋体"/>
          <w:kern w:val="0"/>
          <w:sz w:val="21"/>
          <w:szCs w:val="21"/>
          <w:highlight w:val="none"/>
        </w:rPr>
        <w:t>.3.1 发包人提出变更</w:t>
      </w:r>
    </w:p>
    <w:p w14:paraId="1E6106B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发包人提出变更的，应通过监理人向承包人发出变更指示，变更指示应说明计划变更的工程范围和变更的内容。</w:t>
      </w:r>
    </w:p>
    <w:p w14:paraId="7C8F95B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sz w:val="21"/>
          <w:szCs w:val="21"/>
          <w:highlight w:val="none"/>
        </w:rPr>
        <w:t>10</w:t>
      </w:r>
      <w:r>
        <w:rPr>
          <w:rFonts w:hint="eastAsia" w:cs="宋体"/>
          <w:kern w:val="0"/>
          <w:sz w:val="21"/>
          <w:szCs w:val="21"/>
          <w:highlight w:val="none"/>
        </w:rPr>
        <w:t>.3.2 监理人提出变更建议</w:t>
      </w:r>
    </w:p>
    <w:p w14:paraId="316B7C8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1FDF40C1">
      <w:pPr>
        <w:pageBreakBefore w:val="0"/>
        <w:kinsoku/>
        <w:overflowPunct/>
        <w:autoSpaceDE w:val="0"/>
        <w:autoSpaceDN w:val="0"/>
        <w:bidi w:val="0"/>
        <w:adjustRightInd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10.3.3 变更执行</w:t>
      </w:r>
    </w:p>
    <w:p w14:paraId="1D5A3ED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5B7B43A1">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10.4变更估价</w:t>
      </w:r>
    </w:p>
    <w:p w14:paraId="11D09AB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10.4.1 变更估价原则</w:t>
      </w:r>
    </w:p>
    <w:p w14:paraId="78EFEC2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除专用合同条款另有约定外，变更估价按照本款约定处理：</w:t>
      </w:r>
    </w:p>
    <w:p w14:paraId="25582F6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（1）已标价工程量清单或预算书有相同项目的，按照相同项目单价认定；</w:t>
      </w:r>
    </w:p>
    <w:p w14:paraId="6FCE5EE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（2）已标价工程量清单或预算书中无相同项目，但有类似项目的，参照类似项目的单价认定；</w:t>
      </w:r>
    </w:p>
    <w:p w14:paraId="7C7B97F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1791E99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10.4.2 变更估价程序</w:t>
      </w:r>
    </w:p>
    <w:p w14:paraId="2488C60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5E95B8F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因变更引起的价格调整应计入最近一期的进度款中支付。</w:t>
      </w:r>
    </w:p>
    <w:p w14:paraId="387C875B">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10.5承包人的合理化建议</w:t>
      </w:r>
    </w:p>
    <w:p w14:paraId="6B56C80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承包人提出合理化建议的，应向监理人提交合理化建议说明，说明建议的内容和理由，以及实施该建议对合同价格和工期的影响。</w:t>
      </w:r>
    </w:p>
    <w:p w14:paraId="2D85DEA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1E09303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合理化建议降低了合同价格或者提高了工程经济效益的，发包人可对承包人给予奖励，奖励的方法和金额在专用合同条款中约定。</w:t>
      </w:r>
    </w:p>
    <w:p w14:paraId="3BEB4595">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 xml:space="preserve">10.6变更引起的工期调整   </w:t>
      </w:r>
    </w:p>
    <w:p w14:paraId="02D1783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因变更引起工期变化的，合同当事人均可要求调整合同工期，由合同当事人按照第4.4款〔商定或确定〕并参考工程所在地的工期定额标准确定增减工期天数。</w:t>
      </w:r>
    </w:p>
    <w:p w14:paraId="330F00D1">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10.7暂估价</w:t>
      </w:r>
    </w:p>
    <w:p w14:paraId="073BC80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暂估价专业分包工程、服务、材料和工程设备的明细由合同当事人在专用合同条款中约定。</w:t>
      </w:r>
    </w:p>
    <w:p w14:paraId="508E5F1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sz w:val="21"/>
          <w:szCs w:val="21"/>
          <w:highlight w:val="none"/>
        </w:rPr>
        <w:t>10.7.1</w:t>
      </w:r>
      <w:r>
        <w:rPr>
          <w:rFonts w:hint="eastAsia" w:cs="宋体"/>
          <w:kern w:val="0"/>
          <w:sz w:val="21"/>
          <w:szCs w:val="21"/>
          <w:highlight w:val="none"/>
        </w:rPr>
        <w:t xml:space="preserve"> 依法必须招标的暂估价项目</w:t>
      </w:r>
    </w:p>
    <w:p w14:paraId="1A3D37A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对于依法必须招标的暂估价项目，采取以下第1种方式确定。合同当事人也可以在专用合同条款中选择其他招标方式。</w:t>
      </w:r>
    </w:p>
    <w:p w14:paraId="68F33C6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第1种方式：对于依法必须招标的暂估价项目，由承包人招标，对该暂估价项目的确认和批准按照以下约定执行：</w:t>
      </w:r>
    </w:p>
    <w:p w14:paraId="13D754C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3C4F1D7C">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41F0757B">
      <w:pPr>
        <w:pageBreakBefore w:val="0"/>
        <w:kinsoku/>
        <w:overflowPunct/>
        <w:bidi w:val="0"/>
        <w:spacing w:after="0" w:afterLines="0" w:line="360" w:lineRule="auto"/>
        <w:textAlignment w:val="auto"/>
        <w:rPr>
          <w:rFonts w:hint="eastAsia" w:cs="宋体"/>
          <w:kern w:val="0"/>
          <w:sz w:val="21"/>
          <w:szCs w:val="21"/>
          <w:highlight w:val="none"/>
        </w:rPr>
      </w:pPr>
      <w:r>
        <w:rPr>
          <w:rFonts w:hint="eastAsia" w:cs="宋体"/>
          <w:kern w:val="0"/>
          <w:sz w:val="21"/>
          <w:szCs w:val="21"/>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471483C2">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1301552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sz w:val="21"/>
          <w:szCs w:val="21"/>
          <w:highlight w:val="none"/>
        </w:rPr>
        <w:t>10.7.2</w:t>
      </w:r>
      <w:r>
        <w:rPr>
          <w:rFonts w:hint="eastAsia" w:cs="宋体"/>
          <w:kern w:val="0"/>
          <w:sz w:val="21"/>
          <w:szCs w:val="21"/>
          <w:highlight w:val="none"/>
        </w:rPr>
        <w:t>不属于依法必须招标的暂估价项目</w:t>
      </w:r>
    </w:p>
    <w:p w14:paraId="5B68C4AA">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 xml:space="preserve">除专用合同条款另有约定外，对于不属于依法必须招标的暂估价项目，采取以下第1种方式确定： </w:t>
      </w:r>
    </w:p>
    <w:p w14:paraId="04D9C6D3">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第1种方式：对于不属于依法必须招标的暂估价项目，按本项约定确认和批准：</w:t>
      </w:r>
    </w:p>
    <w:p w14:paraId="2DD40E1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4FA61B3C">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（2）发包人认为承包人确定的供应商、分包人无法满足工程质量或合同要求的，发包人可以要求承包人重新确定暂估价项目的供应商、分包人;</w:t>
      </w:r>
    </w:p>
    <w:p w14:paraId="7B9370D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（3）承包人应当在签订暂估价合同后7天内，将暂估价合同副本报送发包人留存。</w:t>
      </w:r>
    </w:p>
    <w:p w14:paraId="33E0CE18">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第2种方式：承包人按照第10.7.1项〔依法必须招标的暂估价项目〕约定的第1种方式确定暂估价项目。</w:t>
      </w:r>
    </w:p>
    <w:p w14:paraId="781286C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sz w:val="21"/>
          <w:szCs w:val="21"/>
          <w:highlight w:val="none"/>
        </w:rPr>
        <w:t>第3种方式：</w:t>
      </w:r>
      <w:r>
        <w:rPr>
          <w:rFonts w:hint="eastAsia" w:cs="宋体"/>
          <w:kern w:val="0"/>
          <w:sz w:val="21"/>
          <w:szCs w:val="21"/>
          <w:highlight w:val="none"/>
        </w:rPr>
        <w:t>承包人直接实施的暂估价项目</w:t>
      </w:r>
    </w:p>
    <w:p w14:paraId="498F76E6">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承包人具备实施暂估价项目的资格和条件的，经发包人和承包人协商一致后，可由承包人自行实施暂估价项目，合同当事人可以在专用合同条款约定具体事项。</w:t>
      </w:r>
    </w:p>
    <w:p w14:paraId="1A056305">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54EC46A5">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10.8暂列金额</w:t>
      </w:r>
    </w:p>
    <w:p w14:paraId="0AC3DC2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暂列金额应按照发包人的要求使用，发包人的要求应通过监理人发出。合同当事人可以在专用合同条款中协商确定有关事项。</w:t>
      </w:r>
    </w:p>
    <w:p w14:paraId="4B2BC4C6">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 xml:space="preserve">10.9计日工 </w:t>
      </w:r>
    </w:p>
    <w:p w14:paraId="5315E3F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2AC2AB76">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采用计日工计价的任何一项工作，承包人应在该项工作实施过程中，每天提交以下报表和有关凭证报送监理人审查：</w:t>
      </w:r>
    </w:p>
    <w:p w14:paraId="7E0D4187">
      <w:pPr>
        <w:pageBreakBefore w:val="0"/>
        <w:kinsoku/>
        <w:overflowPunct/>
        <w:bidi w:val="0"/>
        <w:spacing w:after="0" w:afterLines="0" w:line="360" w:lineRule="auto"/>
        <w:ind w:firstLine="315" w:firstLineChars="150"/>
        <w:textAlignment w:val="auto"/>
        <w:rPr>
          <w:rFonts w:hint="eastAsia" w:cs="宋体"/>
          <w:kern w:val="0"/>
          <w:sz w:val="21"/>
          <w:szCs w:val="21"/>
          <w:highlight w:val="none"/>
        </w:rPr>
      </w:pPr>
      <w:r>
        <w:rPr>
          <w:rFonts w:hint="eastAsia" w:cs="宋体"/>
          <w:kern w:val="0"/>
          <w:sz w:val="21"/>
          <w:szCs w:val="21"/>
          <w:highlight w:val="none"/>
        </w:rPr>
        <w:t>（1）工作名称、内容和数量；</w:t>
      </w:r>
    </w:p>
    <w:p w14:paraId="66D3CF02">
      <w:pPr>
        <w:pageBreakBefore w:val="0"/>
        <w:kinsoku/>
        <w:overflowPunct/>
        <w:bidi w:val="0"/>
        <w:spacing w:after="0" w:afterLines="0" w:line="360" w:lineRule="auto"/>
        <w:ind w:firstLine="315" w:firstLineChars="150"/>
        <w:textAlignment w:val="auto"/>
        <w:rPr>
          <w:rFonts w:hint="eastAsia" w:cs="宋体"/>
          <w:kern w:val="0"/>
          <w:sz w:val="21"/>
          <w:szCs w:val="21"/>
          <w:highlight w:val="none"/>
        </w:rPr>
      </w:pPr>
      <w:r>
        <w:rPr>
          <w:rFonts w:hint="eastAsia" w:cs="宋体"/>
          <w:kern w:val="0"/>
          <w:sz w:val="21"/>
          <w:szCs w:val="21"/>
          <w:highlight w:val="none"/>
        </w:rPr>
        <w:t>（2）投入该工作的所有人员的姓名、专业、工种、级别和耗用工时；</w:t>
      </w:r>
    </w:p>
    <w:p w14:paraId="46A98907">
      <w:pPr>
        <w:pageBreakBefore w:val="0"/>
        <w:kinsoku/>
        <w:overflowPunct/>
        <w:bidi w:val="0"/>
        <w:spacing w:after="0" w:afterLines="0" w:line="360" w:lineRule="auto"/>
        <w:ind w:firstLine="315" w:firstLineChars="150"/>
        <w:textAlignment w:val="auto"/>
        <w:rPr>
          <w:rFonts w:hint="eastAsia" w:cs="宋体"/>
          <w:kern w:val="0"/>
          <w:sz w:val="21"/>
          <w:szCs w:val="21"/>
          <w:highlight w:val="none"/>
        </w:rPr>
      </w:pPr>
      <w:r>
        <w:rPr>
          <w:rFonts w:hint="eastAsia" w:cs="宋体"/>
          <w:kern w:val="0"/>
          <w:sz w:val="21"/>
          <w:szCs w:val="21"/>
          <w:highlight w:val="none"/>
        </w:rPr>
        <w:t>（3）投入该工作的材料类别和数量；</w:t>
      </w:r>
    </w:p>
    <w:p w14:paraId="121D061D">
      <w:pPr>
        <w:pageBreakBefore w:val="0"/>
        <w:kinsoku/>
        <w:overflowPunct/>
        <w:bidi w:val="0"/>
        <w:spacing w:after="0" w:afterLines="0" w:line="360" w:lineRule="auto"/>
        <w:ind w:firstLine="315" w:firstLineChars="150"/>
        <w:textAlignment w:val="auto"/>
        <w:rPr>
          <w:rFonts w:hint="eastAsia" w:cs="宋体"/>
          <w:kern w:val="0"/>
          <w:sz w:val="21"/>
          <w:szCs w:val="21"/>
          <w:highlight w:val="none"/>
        </w:rPr>
      </w:pPr>
      <w:r>
        <w:rPr>
          <w:rFonts w:hint="eastAsia" w:cs="宋体"/>
          <w:kern w:val="0"/>
          <w:sz w:val="21"/>
          <w:szCs w:val="21"/>
          <w:highlight w:val="none"/>
        </w:rPr>
        <w:t>（4）投入该工作的施工设备型号、台数和耗用台时；</w:t>
      </w:r>
    </w:p>
    <w:p w14:paraId="3090217C">
      <w:pPr>
        <w:pageBreakBefore w:val="0"/>
        <w:kinsoku/>
        <w:overflowPunct/>
        <w:bidi w:val="0"/>
        <w:spacing w:after="0" w:afterLines="0" w:line="360" w:lineRule="auto"/>
        <w:ind w:firstLine="315" w:firstLineChars="150"/>
        <w:textAlignment w:val="auto"/>
        <w:rPr>
          <w:rFonts w:hint="eastAsia" w:cs="宋体"/>
          <w:kern w:val="0"/>
          <w:sz w:val="21"/>
          <w:szCs w:val="21"/>
          <w:highlight w:val="none"/>
        </w:rPr>
      </w:pPr>
      <w:r>
        <w:rPr>
          <w:rFonts w:hint="eastAsia" w:cs="宋体"/>
          <w:kern w:val="0"/>
          <w:sz w:val="21"/>
          <w:szCs w:val="21"/>
          <w:highlight w:val="none"/>
        </w:rPr>
        <w:t>（5）其他有关资料和凭证。</w:t>
      </w:r>
    </w:p>
    <w:p w14:paraId="045E3519">
      <w:pPr>
        <w:pageBreakBefore w:val="0"/>
        <w:kinsoku/>
        <w:overflowPunct/>
        <w:bidi w:val="0"/>
        <w:spacing w:after="0" w:afterLines="0" w:line="360" w:lineRule="auto"/>
        <w:ind w:firstLine="315" w:firstLineChars="150"/>
        <w:textAlignment w:val="auto"/>
        <w:rPr>
          <w:rFonts w:hint="eastAsia" w:cs="宋体"/>
          <w:kern w:val="0"/>
          <w:sz w:val="21"/>
          <w:szCs w:val="21"/>
          <w:highlight w:val="none"/>
        </w:rPr>
      </w:pPr>
      <w:r>
        <w:rPr>
          <w:rFonts w:hint="eastAsia" w:cs="宋体"/>
          <w:kern w:val="0"/>
          <w:sz w:val="21"/>
          <w:szCs w:val="21"/>
          <w:highlight w:val="none"/>
        </w:rPr>
        <w:t xml:space="preserve"> 计日工由承包人汇总后，列入最近一期进度付款申请单，由监理人审查并经发包人批准后列入进度付款。</w:t>
      </w:r>
    </w:p>
    <w:p w14:paraId="39D1D7D4">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72" w:name="_Toc3163"/>
      <w:bookmarkStart w:id="73" w:name="_Toc28959_WPSOffice_Level2"/>
      <w:bookmarkStart w:id="74" w:name="_Toc28251"/>
      <w:bookmarkStart w:id="75" w:name="_Toc18525_WPSOffice_Level2"/>
      <w:r>
        <w:rPr>
          <w:rFonts w:hint="eastAsia"/>
          <w:sz w:val="21"/>
          <w:szCs w:val="21"/>
          <w:highlight w:val="none"/>
        </w:rPr>
        <w:t>11. 价格调整</w:t>
      </w:r>
      <w:bookmarkEnd w:id="72"/>
      <w:bookmarkEnd w:id="73"/>
      <w:bookmarkEnd w:id="74"/>
      <w:bookmarkEnd w:id="75"/>
    </w:p>
    <w:p w14:paraId="41E20AAD">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11.1市场价格波动引起的调整</w:t>
      </w:r>
    </w:p>
    <w:p w14:paraId="04615023">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除专用合同条款另有约定外，市场价格波动超过合同当事人约定的范围，合同价格应当调整。合同当事人可以在专用合同条款中约定选择以下一种方式对合同价格进行调整：</w:t>
      </w:r>
    </w:p>
    <w:p w14:paraId="4E6C8AAD">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第1种方式：采用价格指数进行价格调整。</w:t>
      </w:r>
    </w:p>
    <w:p w14:paraId="620CE136">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（1）价格调整公式</w:t>
      </w:r>
    </w:p>
    <w:p w14:paraId="47004FF0">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因人工、材料和设备等价格波动影响合同价格时，根据专用合同条款中约定的数据，按以下公式计算差额并调整合同价格：</w:t>
      </w:r>
    </w:p>
    <w:p w14:paraId="343DEFF9">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position w:val="-30"/>
          <w:sz w:val="21"/>
          <w:szCs w:val="21"/>
          <w:highlight w:val="none"/>
        </w:rPr>
        <w:object>
          <v:shape id="_x0000_i1025" o:spt="75" type="#_x0000_t75" style="height:44.3pt;width:360pt;" o:ole="t" filled="f" o:preferrelative="t" stroked="f" coordsize="21600,21600">
            <v:path/>
            <v:fill on="f" focussize="0,0"/>
            <v:stroke on="f"/>
            <v:imagedata r:id="rId10" o:title=""/>
            <o:lock v:ext="edit" aspectratio="t"/>
            <w10:wrap type="none"/>
            <w10:anchorlock/>
          </v:shape>
          <o:OLEObject Type="Embed" ProgID="Equation.3" ShapeID="_x0000_i1025" DrawAspect="Content" ObjectID="_1468075725" r:id="rId9">
            <o:LockedField>false</o:LockedField>
          </o:OLEObject>
        </w:object>
      </w:r>
    </w:p>
    <w:p w14:paraId="2E16826C">
      <w:pPr>
        <w:pageBreakBefore w:val="0"/>
        <w:tabs>
          <w:tab w:val="left" w:pos="0"/>
          <w:tab w:val="left" w:pos="360"/>
          <w:tab w:val="left" w:pos="540"/>
        </w:tabs>
        <w:kinsoku/>
        <w:overflowPunct/>
        <w:bidi w:val="0"/>
        <w:spacing w:after="0" w:afterLines="0" w:line="360" w:lineRule="auto"/>
        <w:ind w:firstLine="640"/>
        <w:textAlignment w:val="auto"/>
        <w:rPr>
          <w:rFonts w:hint="eastAsia" w:cs="宋体"/>
          <w:sz w:val="21"/>
          <w:szCs w:val="21"/>
          <w:highlight w:val="none"/>
        </w:rPr>
      </w:pPr>
      <w:r>
        <w:rPr>
          <w:rFonts w:hint="eastAsia" w:cs="宋体"/>
          <w:sz w:val="21"/>
          <w:szCs w:val="21"/>
          <w:highlight w:val="none"/>
        </w:rPr>
        <w:t>公式中：ΔP——需调整的价格差额；</w:t>
      </w:r>
    </w:p>
    <w:p w14:paraId="2A55AEA4">
      <w:pPr>
        <w:pageBreakBefore w:val="0"/>
        <w:tabs>
          <w:tab w:val="left" w:pos="0"/>
          <w:tab w:val="left" w:pos="360"/>
          <w:tab w:val="left" w:pos="540"/>
        </w:tabs>
        <w:kinsoku/>
        <w:overflowPunct/>
        <w:bidi w:val="0"/>
        <w:spacing w:after="0" w:afterLines="0" w:line="360" w:lineRule="auto"/>
        <w:ind w:firstLine="1260" w:firstLineChars="600"/>
        <w:textAlignment w:val="auto"/>
        <w:rPr>
          <w:rFonts w:hint="eastAsia" w:cs="宋体"/>
          <w:sz w:val="21"/>
          <w:szCs w:val="21"/>
          <w:highlight w:val="none"/>
        </w:rPr>
      </w:pPr>
      <w:r>
        <w:rPr>
          <w:rFonts w:hint="eastAsia" w:cs="宋体"/>
          <w:position w:val="-6"/>
          <w:sz w:val="21"/>
          <w:szCs w:val="21"/>
          <w:highlight w:val="none"/>
        </w:rPr>
        <w:object>
          <v:shape id="_x0000_i1027" o:spt="75" type="#_x0000_t75" style="height:18pt;width:18pt;" o:ole="t" filled="f" o:preferrelative="t" stroked="f" coordsize="21600,21600">
            <v:path/>
            <v:fill on="f" focussize="0,0"/>
            <v:stroke on="f"/>
            <v:imagedata r:id="rId12" o:title=""/>
            <o:lock v:ext="edit" aspectratio="t"/>
            <w10:wrap type="none"/>
            <w10:anchorlock/>
          </v:shape>
          <o:OLEObject Type="Embed" ProgID="Equation.3" ShapeID="_x0000_i1027" DrawAspect="Content" ObjectID="_1468075726" r:id="rId11">
            <o:LockedField>false</o:LockedField>
          </o:OLEObject>
        </w:object>
      </w:r>
      <w:r>
        <w:rPr>
          <w:rFonts w:hint="eastAsia" w:cs="宋体"/>
          <w:sz w:val="21"/>
          <w:szCs w:val="21"/>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619C8F70">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A——定值权重（即不调部分的权重）；</w:t>
      </w:r>
    </w:p>
    <w:p w14:paraId="3E852C19">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position w:val="-10"/>
          <w:sz w:val="21"/>
          <w:szCs w:val="21"/>
          <w:highlight w:val="none"/>
        </w:rPr>
        <w:object>
          <v:shape id="_x0000_i1028" o:spt="75" type="#_x0000_t75" style="height:20.15pt;width:101.3pt;" o:ole="t" filled="f" o:preferrelative="t" stroked="f" coordsize="21600,21600">
            <v:path/>
            <v:fill on="f" focussize="0,0"/>
            <v:stroke on="f"/>
            <v:imagedata r:id="rId14" o:title=""/>
            <o:lock v:ext="edit" aspectratio="t"/>
            <w10:wrap type="none"/>
            <w10:anchorlock/>
          </v:shape>
          <o:OLEObject Type="Embed" ProgID="Equation.3" ShapeID="_x0000_i1028" DrawAspect="Content" ObjectID="_1468075727" r:id="rId13">
            <o:LockedField>false</o:LockedField>
          </o:OLEObject>
        </w:object>
      </w:r>
      <w:r>
        <w:rPr>
          <w:rFonts w:hint="eastAsia" w:cs="宋体"/>
          <w:sz w:val="21"/>
          <w:szCs w:val="21"/>
          <w:highlight w:val="none"/>
        </w:rPr>
        <w:t>——各可调因子的变值权重（即可调部分的权重），为各可调因子在签约合同价中所占的比例；</w:t>
      </w:r>
    </w:p>
    <w:p w14:paraId="504EAA73">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position w:val="-10"/>
          <w:sz w:val="21"/>
          <w:szCs w:val="21"/>
          <w:highlight w:val="none"/>
        </w:rPr>
        <w:object>
          <v:shape id="_x0000_i1029" o:spt="75" type="#_x0000_t75" style="height:20.15pt;width:102pt;" o:ole="t" filled="f" o:preferrelative="t" stroked="f" coordsize="21600,21600">
            <v:path/>
            <v:fill on="f" focussize="0,0"/>
            <v:stroke on="f"/>
            <v:imagedata r:id="rId16" o:title=""/>
            <o:lock v:ext="edit" aspectratio="t"/>
            <w10:wrap type="none"/>
            <w10:anchorlock/>
          </v:shape>
          <o:OLEObject Type="Embed" ProgID="Equation.3" ShapeID="_x0000_i1029" DrawAspect="Content" ObjectID="_1468075728" r:id="rId15">
            <o:LockedField>false</o:LockedField>
          </o:OLEObject>
        </w:object>
      </w:r>
      <w:r>
        <w:rPr>
          <w:rFonts w:hint="eastAsia" w:cs="宋体"/>
          <w:sz w:val="21"/>
          <w:szCs w:val="21"/>
          <w:highlight w:val="none"/>
        </w:rPr>
        <w:t>——各可调因子的现行价格指数，指约定的付款证书相关周期最后一天的前42天的各可调因子的价格指数；</w:t>
      </w:r>
    </w:p>
    <w:p w14:paraId="17549C2C">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position w:val="-10"/>
          <w:sz w:val="21"/>
          <w:szCs w:val="21"/>
          <w:highlight w:val="none"/>
        </w:rPr>
        <w:object>
          <v:shape id="_x0000_i1030" o:spt="75" type="#_x0000_t75" style="height:20.15pt;width:107.25pt;" o:ole="t" filled="f" o:preferrelative="t" stroked="f" coordsize="21600,21600">
            <v:path/>
            <v:fill on="f" focussize="0,0"/>
            <v:stroke on="f"/>
            <v:imagedata r:id="rId18" o:title=""/>
            <o:lock v:ext="edit" aspectratio="t"/>
            <w10:wrap type="none"/>
            <w10:anchorlock/>
          </v:shape>
          <o:OLEObject Type="Embed" ProgID="Equation.3" ShapeID="_x0000_i1030" DrawAspect="Content" ObjectID="_1468075729" r:id="rId17">
            <o:LockedField>false</o:LockedField>
          </o:OLEObject>
        </w:object>
      </w:r>
      <w:r>
        <w:rPr>
          <w:rFonts w:hint="eastAsia" w:cs="宋体"/>
          <w:sz w:val="21"/>
          <w:szCs w:val="21"/>
          <w:highlight w:val="none"/>
        </w:rPr>
        <w:t>——各可调因子的基本价格指数，指基准日期的各可调因子的价格指数。</w:t>
      </w:r>
    </w:p>
    <w:p w14:paraId="7C606792">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424C85EA">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（2）暂时确定调整差额</w:t>
      </w:r>
    </w:p>
    <w:p w14:paraId="66957649">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在计算调整差额时无现行价格指数的，合同当事人同意暂用前次价格指数计算。实际价格指数有调整的，合同当事人进行相应调整。</w:t>
      </w:r>
    </w:p>
    <w:p w14:paraId="690B0BE1">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（3）权重的调整</w:t>
      </w:r>
    </w:p>
    <w:p w14:paraId="14ED1C29">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因变更导致合同约定的权重不合理时，按照第4.4款〔商定或确定〕执行。</w:t>
      </w:r>
    </w:p>
    <w:p w14:paraId="16BC7B34">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（4）因承包人原因工期延误后的价格调整</w:t>
      </w:r>
    </w:p>
    <w:p w14:paraId="3E79715C">
      <w:pPr>
        <w:pageBreakBefore w:val="0"/>
        <w:tabs>
          <w:tab w:val="left" w:pos="0"/>
          <w:tab w:val="left" w:pos="360"/>
          <w:tab w:val="left" w:pos="540"/>
        </w:tabs>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356EA676">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第2种方式：采用造价信息进行价格调整。</w:t>
      </w:r>
    </w:p>
    <w:p w14:paraId="065493ED">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5D0E7FE3">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0BAEDCE8">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（2）材料、工程设备价格变化的价款调整按照发包人提供的基准价格，按以下风险范围规定执行:</w:t>
      </w:r>
    </w:p>
    <w:p w14:paraId="0FB3FB03">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3EA82100">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5DE5335E">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③承包人在已标价工程量清单或预算书中载明材料单价等于基准价格的：除专用合同条款另有约定外，合同履行期间材料单价涨跌幅以基准价格为基础超过±5%时，其超过部分据实调整。</w:t>
      </w:r>
    </w:p>
    <w:p w14:paraId="1C3E0908">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660CF33C">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19569CCE">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（3）施工机械台班单价或施工机械使用费发生变化超过省级或行业建设主管部门或其授权的工程造价管理机构规定的范围时，按规定调整合同价格。</w:t>
      </w:r>
    </w:p>
    <w:p w14:paraId="5BC3F59F">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第3种方式：专用合同条款约定的其他方式。</w:t>
      </w:r>
    </w:p>
    <w:p w14:paraId="34A17A59">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11.2法律变化引起的调整</w:t>
      </w:r>
    </w:p>
    <w:p w14:paraId="409D0443">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6F55E34D">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因法律变化引起的合同价格和工期调整，合同当事人无法达成一致的，由总监理工程师按第4.4款〔商定或确定〕的约定处理。</w:t>
      </w:r>
    </w:p>
    <w:p w14:paraId="0470C436">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kern w:val="0"/>
          <w:sz w:val="21"/>
          <w:szCs w:val="21"/>
          <w:highlight w:val="none"/>
        </w:rPr>
        <w:t>因承包人原因造成工期延误，在工期延误期间出现法律变化的，由此增加的费用和（或）延误的工期由承包人承担。</w:t>
      </w:r>
    </w:p>
    <w:p w14:paraId="2C47EC06">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76" w:name="_Toc9152_WPSOffice_Level2"/>
      <w:bookmarkStart w:id="77" w:name="_Toc2169_WPSOffice_Level2"/>
      <w:bookmarkStart w:id="78" w:name="_Toc17539"/>
      <w:bookmarkStart w:id="79" w:name="_Toc24510"/>
      <w:r>
        <w:rPr>
          <w:rFonts w:hint="eastAsia"/>
          <w:sz w:val="21"/>
          <w:szCs w:val="21"/>
          <w:highlight w:val="none"/>
        </w:rPr>
        <w:t>12. 合同价格、计量与支付</w:t>
      </w:r>
      <w:bookmarkEnd w:id="76"/>
      <w:bookmarkEnd w:id="77"/>
      <w:bookmarkEnd w:id="78"/>
      <w:bookmarkEnd w:id="79"/>
    </w:p>
    <w:p w14:paraId="3C8E58A5">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12.1 合同价格形式</w:t>
      </w:r>
    </w:p>
    <w:p w14:paraId="718A268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 xml:space="preserve">发包人和承包人应在合同协议书中选择下列一种合同价格形式： </w:t>
      </w:r>
    </w:p>
    <w:p w14:paraId="222644B4">
      <w:pPr>
        <w:pageBreakBefore w:val="0"/>
        <w:kinsoku/>
        <w:overflowPunct/>
        <w:autoSpaceDE w:val="0"/>
        <w:autoSpaceDN w:val="0"/>
        <w:bidi w:val="0"/>
        <w:adjustRightInd w:val="0"/>
        <w:spacing w:after="0" w:afterLines="0" w:line="360" w:lineRule="auto"/>
        <w:ind w:firstLine="420" w:firstLineChars="200"/>
        <w:textAlignment w:val="auto"/>
        <w:outlineLvl w:val="1"/>
        <w:rPr>
          <w:rFonts w:hint="eastAsia" w:cs="宋体"/>
          <w:kern w:val="0"/>
          <w:sz w:val="21"/>
          <w:szCs w:val="21"/>
          <w:highlight w:val="none"/>
        </w:rPr>
      </w:pPr>
      <w:bookmarkStart w:id="80" w:name="_Toc2277"/>
      <w:r>
        <w:rPr>
          <w:rFonts w:hint="eastAsia" w:cs="宋体"/>
          <w:kern w:val="0"/>
          <w:sz w:val="21"/>
          <w:szCs w:val="21"/>
          <w:highlight w:val="none"/>
        </w:rPr>
        <w:t>1.单价合同</w:t>
      </w:r>
      <w:bookmarkEnd w:id="80"/>
    </w:p>
    <w:p w14:paraId="0C76153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单价合同是指合同当事人约定以工程量清单及其综合单价进行合同价格计算、调整和确认的建设工程施工合同，</w:t>
      </w:r>
      <w:r>
        <w:rPr>
          <w:rFonts w:hint="eastAsia" w:cs="宋体"/>
          <w:sz w:val="21"/>
          <w:szCs w:val="21"/>
          <w:highlight w:val="none"/>
        </w:rPr>
        <w:t>在约定的范围内合同单价不作调整</w:t>
      </w:r>
      <w:r>
        <w:rPr>
          <w:rFonts w:hint="eastAsia" w:cs="宋体"/>
          <w:kern w:val="0"/>
          <w:sz w:val="21"/>
          <w:szCs w:val="21"/>
          <w:highlight w:val="none"/>
        </w:rPr>
        <w:t>。合同当事人应在专用合同条款中约定综合单价包含的风险范围和风险费用的计算方法</w:t>
      </w:r>
      <w:r>
        <w:rPr>
          <w:rFonts w:hint="eastAsia" w:cs="宋体"/>
          <w:sz w:val="21"/>
          <w:szCs w:val="21"/>
          <w:highlight w:val="none"/>
        </w:rPr>
        <w:t>，</w:t>
      </w:r>
      <w:r>
        <w:rPr>
          <w:rFonts w:hint="eastAsia" w:cs="宋体"/>
          <w:kern w:val="0"/>
          <w:sz w:val="21"/>
          <w:szCs w:val="21"/>
          <w:highlight w:val="none"/>
        </w:rPr>
        <w:t>并约定风险范围以外的合同价格的调整方法，其中因市场价格波动引起的调整按第11.1款〔市场价格波动引起的调整〕约定执行。</w:t>
      </w:r>
    </w:p>
    <w:p w14:paraId="455F3DFB">
      <w:pPr>
        <w:pageBreakBefore w:val="0"/>
        <w:kinsoku/>
        <w:overflowPunct/>
        <w:autoSpaceDE w:val="0"/>
        <w:autoSpaceDN w:val="0"/>
        <w:bidi w:val="0"/>
        <w:adjustRightInd w:val="0"/>
        <w:spacing w:after="0" w:afterLines="0" w:line="360" w:lineRule="auto"/>
        <w:ind w:firstLine="420" w:firstLineChars="200"/>
        <w:textAlignment w:val="auto"/>
        <w:outlineLvl w:val="1"/>
        <w:rPr>
          <w:rFonts w:hint="eastAsia" w:cs="宋体"/>
          <w:kern w:val="0"/>
          <w:sz w:val="21"/>
          <w:szCs w:val="21"/>
          <w:highlight w:val="none"/>
        </w:rPr>
      </w:pPr>
      <w:bookmarkStart w:id="81" w:name="_Toc3807"/>
      <w:r>
        <w:rPr>
          <w:rFonts w:hint="eastAsia" w:cs="宋体"/>
          <w:kern w:val="0"/>
          <w:sz w:val="21"/>
          <w:szCs w:val="21"/>
          <w:highlight w:val="none"/>
        </w:rPr>
        <w:t>2.总价合同</w:t>
      </w:r>
      <w:bookmarkEnd w:id="81"/>
    </w:p>
    <w:p w14:paraId="4972778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总价合同是指合同当事人约定以施工图、已标价工程量清单或预算书及有关条件进行合同价格计算、调整和确认的建设工程施工合同，</w:t>
      </w:r>
      <w:r>
        <w:rPr>
          <w:rFonts w:hint="eastAsia" w:cs="宋体"/>
          <w:sz w:val="21"/>
          <w:szCs w:val="21"/>
          <w:highlight w:val="none"/>
        </w:rPr>
        <w:t>在约定的范围内合同总价不作调整</w:t>
      </w:r>
      <w:r>
        <w:rPr>
          <w:rFonts w:hint="eastAsia" w:cs="宋体"/>
          <w:kern w:val="0"/>
          <w:sz w:val="21"/>
          <w:szCs w:val="21"/>
          <w:highlight w:val="none"/>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3146AC77">
      <w:pPr>
        <w:pageBreakBefore w:val="0"/>
        <w:kinsoku/>
        <w:overflowPunct/>
        <w:autoSpaceDE w:val="0"/>
        <w:autoSpaceDN w:val="0"/>
        <w:bidi w:val="0"/>
        <w:adjustRightInd w:val="0"/>
        <w:spacing w:after="0" w:afterLines="0" w:line="360" w:lineRule="auto"/>
        <w:ind w:firstLine="420" w:firstLineChars="200"/>
        <w:textAlignment w:val="auto"/>
        <w:outlineLvl w:val="1"/>
        <w:rPr>
          <w:rFonts w:hint="eastAsia" w:cs="宋体"/>
          <w:kern w:val="0"/>
          <w:sz w:val="21"/>
          <w:szCs w:val="21"/>
          <w:highlight w:val="none"/>
        </w:rPr>
      </w:pPr>
      <w:bookmarkStart w:id="82" w:name="_Toc30337"/>
      <w:r>
        <w:rPr>
          <w:rFonts w:hint="eastAsia" w:cs="宋体"/>
          <w:kern w:val="0"/>
          <w:sz w:val="21"/>
          <w:szCs w:val="21"/>
          <w:highlight w:val="none"/>
        </w:rPr>
        <w:t>3.其它价格形式</w:t>
      </w:r>
      <w:bookmarkEnd w:id="82"/>
    </w:p>
    <w:p w14:paraId="2C98C79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合同当事人可在专用合同条款中约定其他合同价格形式。</w:t>
      </w:r>
    </w:p>
    <w:p w14:paraId="2F0400CC">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12.2预付款</w:t>
      </w:r>
    </w:p>
    <w:p w14:paraId="7B5D421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sz w:val="21"/>
          <w:szCs w:val="21"/>
          <w:highlight w:val="none"/>
        </w:rPr>
        <w:t>12.2.</w:t>
      </w:r>
      <w:r>
        <w:rPr>
          <w:rFonts w:hint="eastAsia" w:cs="宋体"/>
          <w:kern w:val="0"/>
          <w:sz w:val="21"/>
          <w:szCs w:val="21"/>
          <w:highlight w:val="none"/>
        </w:rPr>
        <w:t>1预付款的支付</w:t>
      </w:r>
    </w:p>
    <w:p w14:paraId="155E5DC2">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预付款的支付按照专用合同条款约定执行，但至迟应在开工通知载明的开工日期7天前支付。预付款应当用于材料、工程设备、施工设备的采购及修建临时工程、组织施工队伍进场等。</w:t>
      </w:r>
    </w:p>
    <w:p w14:paraId="15D7B8DE">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除专用合同条款另有约定外，预付款在进度付款中同比例扣回。在颁发工程接收证书前，提前解除合同的，尚未扣完的预付款应与合同价款一并结算。</w:t>
      </w:r>
    </w:p>
    <w:p w14:paraId="09BE6448">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发包人逾期支付预付款超过7天的，承包人有权向发包人发出要求预付的催告通知，发包人收到通知后7天内仍未支付的，承包人有权暂停施工，并按第16.1.1项〔发包人违约的情形〕执行。</w:t>
      </w:r>
    </w:p>
    <w:p w14:paraId="07AD4B2E">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12.2.2 预付款担保</w:t>
      </w:r>
    </w:p>
    <w:p w14:paraId="5045152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2D551634">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发包人在工程款中逐期扣回预付款后，预付款担保额度应相应减少，但剩余的预付款担保金额不得低于未被扣回的预付款金额。</w:t>
      </w:r>
    </w:p>
    <w:p w14:paraId="68646413">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12.3计量</w:t>
      </w:r>
    </w:p>
    <w:p w14:paraId="24AF2A9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12.3.1 计量原则</w:t>
      </w:r>
    </w:p>
    <w:p w14:paraId="648ED43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工程量计量按照合同约定的工程量计算规则、图纸及变更指示等进行计量。工程量计算规则应以相关的国家标准、行业标准等为依据，由合同当事人在专用合同条款中约定。</w:t>
      </w:r>
    </w:p>
    <w:p w14:paraId="129B426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12.3.2 计量周期</w:t>
      </w:r>
    </w:p>
    <w:p w14:paraId="1BC4B88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除专用合同条款另有约定外，工程量的计量按月进行。</w:t>
      </w:r>
    </w:p>
    <w:p w14:paraId="1DDC958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12.3.3 单价合同的计量</w:t>
      </w:r>
    </w:p>
    <w:p w14:paraId="279FE922">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除专用合同条款另有约定外，单价合同的计量按照本项约定执行：</w:t>
      </w:r>
    </w:p>
    <w:p w14:paraId="59F3DBEC">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（1）承包人应于每月25日向监理人报送上月20日至当月19日已完成的工程量报告，并附具进度付款申请单、已完成工程量报表和有关资料。</w:t>
      </w:r>
    </w:p>
    <w:p w14:paraId="014BCB9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347762C3">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（3）监理人未在收到承包人提交的工程量报表后的7天内完成审核的，承包人报送的工程量报告中的工程量视为承包人实际完成的工程量，据此计算工程价款。</w:t>
      </w:r>
    </w:p>
    <w:p w14:paraId="409BE7D4">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12.3.4 总价合同的计量</w:t>
      </w:r>
    </w:p>
    <w:p w14:paraId="593A4A9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除专用合同条款另有约定外，按月计量支付的总价合同，按照本项约定执行：</w:t>
      </w:r>
    </w:p>
    <w:p w14:paraId="30750A4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（1）承包人应于每月25日向监理人报送上月20日至当月19日已完成的工程量报告，并附具进度付款申请单、已完成工程量报表和有关资料。</w:t>
      </w:r>
    </w:p>
    <w:p w14:paraId="6CEFC5C6">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11AF99D4">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（3）监理人未在收到承包人提交的工程量报表后的7天内完成复核的，承包人提交的工程量报告中的工程量视为承包人实际完成的工程量。</w:t>
      </w:r>
    </w:p>
    <w:p w14:paraId="35F26C4E">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12.3.5 总价合同采用支付分解表计量支付的，可以按照第12.3.4项〔总价合同的计量〕约定进行计量，但合同价款按照支付分解表进行支付。</w:t>
      </w:r>
    </w:p>
    <w:p w14:paraId="363B6D3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12.3.6 其他价格形式合同的计量</w:t>
      </w:r>
    </w:p>
    <w:p w14:paraId="7599B56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合同当事人可在专用合同条款中约定其他价格形式合同的计量方式和程序。</w:t>
      </w:r>
    </w:p>
    <w:p w14:paraId="5F3A9118">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12.4工程进度款支付</w:t>
      </w:r>
    </w:p>
    <w:p w14:paraId="36F85AC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sz w:val="21"/>
          <w:szCs w:val="21"/>
          <w:highlight w:val="none"/>
        </w:rPr>
        <w:t>12.4</w:t>
      </w:r>
      <w:r>
        <w:rPr>
          <w:rFonts w:hint="eastAsia" w:cs="宋体"/>
          <w:kern w:val="0"/>
          <w:sz w:val="21"/>
          <w:szCs w:val="21"/>
          <w:highlight w:val="none"/>
        </w:rPr>
        <w:t>.1 付款周期</w:t>
      </w:r>
    </w:p>
    <w:p w14:paraId="5969979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除专用合同条款另有约定外，付款周期应按照第12.3.2项〔计量周期〕的约定与计量周期保持一致。</w:t>
      </w:r>
    </w:p>
    <w:p w14:paraId="4413FE0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sz w:val="21"/>
          <w:szCs w:val="21"/>
          <w:highlight w:val="none"/>
        </w:rPr>
        <w:t>12.4</w:t>
      </w:r>
      <w:r>
        <w:rPr>
          <w:rFonts w:hint="eastAsia" w:cs="宋体"/>
          <w:kern w:val="0"/>
          <w:sz w:val="21"/>
          <w:szCs w:val="21"/>
          <w:highlight w:val="none"/>
        </w:rPr>
        <w:t>.2 进度付款申请单的编制</w:t>
      </w:r>
    </w:p>
    <w:p w14:paraId="683742E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除专用合同条款另有约定外，进度付款申请单应包括下列内容：</w:t>
      </w:r>
    </w:p>
    <w:p w14:paraId="6C7209D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（1）截至本次付款周期已完成工作对应的金额；</w:t>
      </w:r>
    </w:p>
    <w:p w14:paraId="56F2B70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（2）根据第10条〔变更〕应增加和扣减的变更金额；</w:t>
      </w:r>
    </w:p>
    <w:p w14:paraId="5734B09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（3）根据第12.2款〔预付款〕约定应支付的预付款和扣减的返还预付款；</w:t>
      </w:r>
    </w:p>
    <w:p w14:paraId="4669E75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（4）根据第15.3款〔质量保证金〕约定应扣减的质量保证金；</w:t>
      </w:r>
    </w:p>
    <w:p w14:paraId="50B5F06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（5）根据第19条〔索赔〕应增加和扣减的索赔金额；</w:t>
      </w:r>
    </w:p>
    <w:p w14:paraId="124EB8F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（6）对已签发的进度款支付证书中出现错误的修正，应在本次进度付款中支付或扣除的金额；</w:t>
      </w:r>
    </w:p>
    <w:p w14:paraId="32EB1CA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（7）根据合同约定应增加和扣减的其他金额。</w:t>
      </w:r>
    </w:p>
    <w:p w14:paraId="6FA05FE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12.4.3 进度付款申请单的提交</w:t>
      </w:r>
    </w:p>
    <w:p w14:paraId="20BD958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（1）单价合同进度付款申请单的提交</w:t>
      </w:r>
    </w:p>
    <w:p w14:paraId="6546695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6D96212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（2）总价合同进度付款申请单的提交</w:t>
      </w:r>
    </w:p>
    <w:p w14:paraId="4ACBEEA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总价合同按月计量支付的，承包人按照第12.3.4项〔总价合同的计量〕约定的时间按月向监理人提交进度付款申请单，并附上已完成工程量报表和有关资料。</w:t>
      </w:r>
    </w:p>
    <w:p w14:paraId="09ED5AE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总价合同按支付分解表支付的，承包人应按照第12.4.6项〔支付分解表〕及第12.4.2项〔进度付款申请单的编制〕的约定向监理人提交进度付款申请单。</w:t>
      </w:r>
    </w:p>
    <w:p w14:paraId="763FF00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（3）其他价格形式合同的进度付款申请单的提交</w:t>
      </w:r>
    </w:p>
    <w:p w14:paraId="0CE4C63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合同当事人可在专用合同条款中约定其他价格形式合同的进度付款申请单的编制和提交程序。</w:t>
      </w:r>
    </w:p>
    <w:p w14:paraId="62A7B92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sz w:val="21"/>
          <w:szCs w:val="21"/>
          <w:highlight w:val="none"/>
        </w:rPr>
        <w:t>12.4</w:t>
      </w:r>
      <w:r>
        <w:rPr>
          <w:rFonts w:hint="eastAsia" w:cs="宋体"/>
          <w:kern w:val="0"/>
          <w:sz w:val="21"/>
          <w:szCs w:val="21"/>
          <w:highlight w:val="none"/>
        </w:rPr>
        <w:t>.4 进度款审核和支付</w:t>
      </w:r>
    </w:p>
    <w:p w14:paraId="09DA483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7949C57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60FC653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7549663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（3）发包人签发进度款支付证书或临时进度款支付证书，不表明发包人已同意、批准或接受了承包人完成的相应部分的工作。</w:t>
      </w:r>
    </w:p>
    <w:p w14:paraId="0B94175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12.4.5 进度付款的修正</w:t>
      </w:r>
    </w:p>
    <w:p w14:paraId="0C45B22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在对已签发的进度款支付证书进行阶段汇总和复核中发现错误、遗漏或重复的，发包人和承包人均有权提出修正申请。经发包人和承包人同意的修正，应在下期进度付款中支付或扣除。</w:t>
      </w:r>
    </w:p>
    <w:p w14:paraId="0B72614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12.4.6 支付分解表</w:t>
      </w:r>
    </w:p>
    <w:p w14:paraId="0349959B">
      <w:pPr>
        <w:pageBreakBefore w:val="0"/>
        <w:kinsoku/>
        <w:overflowPunct/>
        <w:bidi w:val="0"/>
        <w:spacing w:after="0" w:afterLines="0" w:line="360" w:lineRule="auto"/>
        <w:ind w:firstLine="420" w:firstLineChars="200"/>
        <w:textAlignment w:val="auto"/>
        <w:outlineLvl w:val="1"/>
        <w:rPr>
          <w:rFonts w:hint="eastAsia" w:cs="宋体"/>
          <w:kern w:val="0"/>
          <w:sz w:val="21"/>
          <w:szCs w:val="21"/>
          <w:highlight w:val="none"/>
        </w:rPr>
      </w:pPr>
      <w:bookmarkStart w:id="83" w:name="_Toc14876"/>
      <w:r>
        <w:rPr>
          <w:rFonts w:hint="eastAsia" w:cs="宋体"/>
          <w:kern w:val="0"/>
          <w:sz w:val="21"/>
          <w:szCs w:val="21"/>
          <w:highlight w:val="none"/>
        </w:rPr>
        <w:t>1.支付分解表的编制要求</w:t>
      </w:r>
      <w:bookmarkEnd w:id="83"/>
    </w:p>
    <w:p w14:paraId="4C1E57B2">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（1）支付分解表中所列的每期付款金额，应为第12.4.2项〔进度付款申请单的编制〕第（1）目的估算金额；</w:t>
      </w:r>
    </w:p>
    <w:p w14:paraId="00281F06">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（2）实际进度与施工进度计划不一致的，合同当事人可按照第4.4款〔商定或确定〕修改支付分解表；</w:t>
      </w:r>
    </w:p>
    <w:p w14:paraId="4BBE610A">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（3）不采用支付分解表的，承包人应向发包人和监理人提交按季度编制的支付估算分解表，用于支付参考。</w:t>
      </w:r>
    </w:p>
    <w:p w14:paraId="238B151A">
      <w:pPr>
        <w:pageBreakBefore w:val="0"/>
        <w:kinsoku/>
        <w:overflowPunct/>
        <w:bidi w:val="0"/>
        <w:spacing w:after="0" w:afterLines="0" w:line="360" w:lineRule="auto"/>
        <w:ind w:firstLine="420" w:firstLineChars="200"/>
        <w:textAlignment w:val="auto"/>
        <w:outlineLvl w:val="1"/>
        <w:rPr>
          <w:rFonts w:hint="eastAsia" w:cs="宋体"/>
          <w:kern w:val="0"/>
          <w:sz w:val="21"/>
          <w:szCs w:val="21"/>
          <w:highlight w:val="none"/>
        </w:rPr>
      </w:pPr>
      <w:bookmarkStart w:id="84" w:name="_Toc2618"/>
      <w:r>
        <w:rPr>
          <w:rFonts w:hint="eastAsia" w:cs="宋体"/>
          <w:kern w:val="0"/>
          <w:sz w:val="21"/>
          <w:szCs w:val="21"/>
          <w:highlight w:val="none"/>
        </w:rPr>
        <w:t>2.总价合同支付分解表的编制与审批</w:t>
      </w:r>
      <w:bookmarkEnd w:id="84"/>
    </w:p>
    <w:p w14:paraId="7EC238E3">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032A6D04">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（2）监理人应在收到支付分解表后7天内完成审核并报送发包人。发包人应在收到经监理人审核的支付分解表后7天内完成审批，经发包人批准的支付分解表为有约束力的支付分解表。</w:t>
      </w:r>
    </w:p>
    <w:p w14:paraId="07B2A64C">
      <w:pPr>
        <w:pageBreakBefore w:val="0"/>
        <w:kinsoku/>
        <w:overflowPunct/>
        <w:bidi w:val="0"/>
        <w:spacing w:after="0" w:afterLines="0" w:line="360" w:lineRule="auto"/>
        <w:textAlignment w:val="auto"/>
        <w:rPr>
          <w:rFonts w:hint="eastAsia" w:cs="宋体"/>
          <w:kern w:val="0"/>
          <w:sz w:val="21"/>
          <w:szCs w:val="21"/>
          <w:highlight w:val="none"/>
        </w:rPr>
      </w:pPr>
      <w:r>
        <w:rPr>
          <w:rFonts w:hint="eastAsia" w:cs="宋体"/>
          <w:kern w:val="0"/>
          <w:sz w:val="21"/>
          <w:szCs w:val="21"/>
          <w:highlight w:val="none"/>
        </w:rPr>
        <w:t>（3）发包人逾期未完成支付分解表审批的，也未及时要求承包人进行修正和提供补充资料的，则承包人提交的支付分解表视为已经获得发包人批准。</w:t>
      </w:r>
    </w:p>
    <w:p w14:paraId="119F6634">
      <w:pPr>
        <w:pageBreakBefore w:val="0"/>
        <w:kinsoku/>
        <w:overflowPunct/>
        <w:bidi w:val="0"/>
        <w:spacing w:after="0" w:afterLines="0" w:line="360" w:lineRule="auto"/>
        <w:ind w:firstLine="420" w:firstLineChars="200"/>
        <w:textAlignment w:val="auto"/>
        <w:outlineLvl w:val="1"/>
        <w:rPr>
          <w:rFonts w:hint="eastAsia" w:cs="宋体"/>
          <w:kern w:val="0"/>
          <w:sz w:val="21"/>
          <w:szCs w:val="21"/>
          <w:highlight w:val="none"/>
        </w:rPr>
      </w:pPr>
      <w:bookmarkStart w:id="85" w:name="_Toc27069"/>
      <w:r>
        <w:rPr>
          <w:rFonts w:hint="eastAsia" w:cs="宋体"/>
          <w:kern w:val="0"/>
          <w:sz w:val="21"/>
          <w:szCs w:val="21"/>
          <w:highlight w:val="none"/>
        </w:rPr>
        <w:t>3.单价合同的总价项目支付分解表的编制与审批</w:t>
      </w:r>
      <w:bookmarkEnd w:id="85"/>
    </w:p>
    <w:p w14:paraId="7DBD23F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47689937">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12.5支付账户</w:t>
      </w:r>
    </w:p>
    <w:p w14:paraId="6713ED4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发包人应将合同价款支付至合同协议书中约定的承包人账户。</w:t>
      </w:r>
    </w:p>
    <w:p w14:paraId="0A176ED8">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86" w:name="_Toc24129"/>
      <w:bookmarkStart w:id="87" w:name="_Toc13220_WPSOffice_Level2"/>
      <w:bookmarkStart w:id="88" w:name="_Toc18363_WPSOffice_Level2"/>
      <w:r>
        <w:rPr>
          <w:rFonts w:hint="eastAsia"/>
          <w:sz w:val="21"/>
          <w:szCs w:val="21"/>
          <w:highlight w:val="none"/>
        </w:rPr>
        <w:t>13. 验收和工程试车</w:t>
      </w:r>
      <w:bookmarkEnd w:id="86"/>
      <w:bookmarkEnd w:id="87"/>
      <w:bookmarkEnd w:id="88"/>
    </w:p>
    <w:p w14:paraId="055D7917">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13.1分部分项工程验收</w:t>
      </w:r>
    </w:p>
    <w:p w14:paraId="422BC3BB">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13.1.1 分部分项工程质量应符合国家有关工程施工验收规范、标准及合同约定，承包人应按照施工组织设计的要求完成分部分项工程施工。</w:t>
      </w:r>
    </w:p>
    <w:p w14:paraId="773EC60A">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13.1.2 除专用合同条款另有约定外，分部分项工程经承包人自检合格并具备验收条件的，承包人应提前48小时通知监理人进行验收。</w:t>
      </w:r>
      <w:r>
        <w:rPr>
          <w:rFonts w:hint="eastAsia" w:cs="宋体"/>
          <w:kern w:val="0"/>
          <w:sz w:val="21"/>
          <w:szCs w:val="21"/>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cs="宋体"/>
          <w:sz w:val="21"/>
          <w:szCs w:val="21"/>
          <w:highlight w:val="none"/>
        </w:rPr>
        <w:t>分部分项工程未经验收的，不得进入下一道工序施工。</w:t>
      </w:r>
    </w:p>
    <w:p w14:paraId="08E5B700">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分部分项工程的验收资料应当作为竣工资料的组成部分。</w:t>
      </w:r>
    </w:p>
    <w:p w14:paraId="0B053B5A">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13.2竣工验收</w:t>
      </w:r>
    </w:p>
    <w:p w14:paraId="7C077DA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13.2.1竣工验收条件</w:t>
      </w:r>
    </w:p>
    <w:p w14:paraId="516B6B16">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工程具备以下条件的，承包人可以申请竣工验收：</w:t>
      </w:r>
    </w:p>
    <w:p w14:paraId="23D321F5">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（1）除发包人同意的甩项工作和缺陷修补工作外，合同范围内的全部工程以及有关工作，包括合同要求的试验、试运行以及检验均已完成，并符合合同要求；</w:t>
      </w:r>
    </w:p>
    <w:p w14:paraId="623B2292">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（2）已按合同约定编制了甩项工作和缺陷修补工作清单以及相应的施工计划；</w:t>
      </w:r>
    </w:p>
    <w:p w14:paraId="36E54F0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（3）已按合同约定的内容和份数备齐竣工资料。</w:t>
      </w:r>
    </w:p>
    <w:p w14:paraId="2FD85C14">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13.2.2竣工验收程序</w:t>
      </w:r>
    </w:p>
    <w:p w14:paraId="392585CE">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除专用合同条款另有约定外，承包人申请竣工验收的，应当按照以下程序进行：</w:t>
      </w:r>
    </w:p>
    <w:p w14:paraId="11D0DBE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0E3AAD9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07A47C4A">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（3）竣工验收合格的，发包人应在验收合格后14天内向承包人签发工程接收证书。发包人无正当理由逾期不颁发工程接收证书的，自验收合格后第15天起视为已颁发工程接收证书。</w:t>
      </w:r>
    </w:p>
    <w:p w14:paraId="1501E80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562760CC">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1F4D287A">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4A8EC52A">
      <w:pPr>
        <w:pageBreakBefore w:val="0"/>
        <w:kinsoku/>
        <w:overflowPunct/>
        <w:bidi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13.2.3竣工日期</w:t>
      </w:r>
    </w:p>
    <w:p w14:paraId="5C888DB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收申请报告的日期为实际竣工日期；工程未经竣工验收，发包人擅自使用的，以转移占有工程之日为实际竣工日期。</w:t>
      </w:r>
    </w:p>
    <w:p w14:paraId="7733546A">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13.2.4 拒绝接收全部或部分工程</w:t>
      </w:r>
    </w:p>
    <w:p w14:paraId="6287061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0D0FA9A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13.2.5 移交、接收全部与部分工程</w:t>
      </w:r>
    </w:p>
    <w:p w14:paraId="6516A68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除专用合同条款另有约定外，合同当事人应当在颁发工程接收证书后7天内完成工程的移交。</w:t>
      </w:r>
    </w:p>
    <w:p w14:paraId="3A1107A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4B8BD03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0F7EE680">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13.3工程试车</w:t>
      </w:r>
    </w:p>
    <w:p w14:paraId="51B00FC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13.3.1试车程序</w:t>
      </w:r>
    </w:p>
    <w:p w14:paraId="012998E3">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工程需要试车的，除专用合同条款另有约定外，试车内容应与承包人承包范围相一致，试车费用由承包人承担。工程试车应按如下程序进行：</w:t>
      </w:r>
    </w:p>
    <w:p w14:paraId="34207D88">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38B9E4BC">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5417BC9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17841C2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13.3.2 试车中的责任</w:t>
      </w:r>
    </w:p>
    <w:p w14:paraId="2783D24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405BC165">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22D3FBC3">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13.3.3 投料试车</w:t>
      </w:r>
    </w:p>
    <w:p w14:paraId="4198389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如需进行投料试车的，发包人应在工程竣工验收后组织投料试车。发包人要求在工程竣工验收前进行或需要承包人配合时，应征得承包人同意，并在专用合同条款中约定有关事项。</w:t>
      </w:r>
    </w:p>
    <w:p w14:paraId="503B8EB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4419DE26">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13.4提前交付单位工程的验收</w:t>
      </w:r>
    </w:p>
    <w:p w14:paraId="7CA9B664">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13.4.1 发包人需要在工程竣工前使用单位工程的，或承包人提出提前交付已经竣工的单位工程且经发包人同意的，可进行单位工程验收，验收的程序按照第13.2款〔竣工验收〕的约定进行。</w:t>
      </w:r>
    </w:p>
    <w:p w14:paraId="7ADCCAD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1D92167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13.4.2 发包人要求在工程竣工前交付单位工程，由此导致承包人费用增加和（或）工期延误的，由发包人承担由此增加的费用和（或）延误的工期，并支付承包人合理的利润。</w:t>
      </w:r>
    </w:p>
    <w:p w14:paraId="797BBDFD">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13.5 施工期运行</w:t>
      </w:r>
    </w:p>
    <w:p w14:paraId="69F2F2F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30CB96E2">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13.5.2 在施工期运行中发现工程或工程设备损坏或存在缺陷的，由承包人按第15.2款〔缺陷责任期〕约定进行修复。</w:t>
      </w:r>
    </w:p>
    <w:p w14:paraId="634BE5D2">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13.6 竣工退场</w:t>
      </w:r>
    </w:p>
    <w:p w14:paraId="0434D5F6">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13.6.1 竣工退场</w:t>
      </w:r>
    </w:p>
    <w:p w14:paraId="13FF6D9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颁发工程接收证书后，承包人应按以下要求对施工现场进行清理：</w:t>
      </w:r>
    </w:p>
    <w:p w14:paraId="3709AA56">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（1）施工现场内残留的垃圾已全部清除出场；</w:t>
      </w:r>
    </w:p>
    <w:p w14:paraId="3BF8B5A2">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（2）临时工程已拆除，场地已进行清理、平整或复原；</w:t>
      </w:r>
    </w:p>
    <w:p w14:paraId="558146BC">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（3）按合同约定应撤离的人员、承包人施工设备和剩余的材料，包括废弃的施工设备和材料，已按计划撤离施工现场；</w:t>
      </w:r>
    </w:p>
    <w:p w14:paraId="6A36941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（4）施工现场周边及其附近道路、河道的施工堆积物，已全部清理；</w:t>
      </w:r>
    </w:p>
    <w:p w14:paraId="6922A033">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（5）施工现场其他场地清理工作已全部完成。</w:t>
      </w:r>
    </w:p>
    <w:p w14:paraId="599BC8BE">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162A58D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13.6.2 地表还原</w:t>
      </w:r>
    </w:p>
    <w:p w14:paraId="0F8CA64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55E63EE4">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89" w:name="_Toc8722_WPSOffice_Level2"/>
      <w:bookmarkStart w:id="90" w:name="_Toc9565"/>
      <w:bookmarkStart w:id="91" w:name="_Toc6690_WPSOffice_Level2"/>
      <w:bookmarkStart w:id="92" w:name="_Toc22884"/>
      <w:r>
        <w:rPr>
          <w:rFonts w:hint="eastAsia"/>
          <w:sz w:val="21"/>
          <w:szCs w:val="21"/>
          <w:highlight w:val="none"/>
        </w:rPr>
        <w:t>14. 竣工结算</w:t>
      </w:r>
      <w:bookmarkEnd w:id="89"/>
      <w:bookmarkEnd w:id="90"/>
      <w:bookmarkEnd w:id="91"/>
      <w:bookmarkEnd w:id="92"/>
    </w:p>
    <w:p w14:paraId="233AA2E0">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14.1 竣工结算申请</w:t>
      </w:r>
    </w:p>
    <w:p w14:paraId="605621B6">
      <w:pPr>
        <w:pageBreakBefore w:val="0"/>
        <w:kinsoku/>
        <w:overflowPunct/>
        <w:autoSpaceDE w:val="0"/>
        <w:autoSpaceDN w:val="0"/>
        <w:bidi w:val="0"/>
        <w:adjustRightInd w:val="0"/>
        <w:spacing w:after="0" w:afterLines="0" w:line="360" w:lineRule="auto"/>
        <w:ind w:firstLine="420" w:firstLineChars="200"/>
        <w:textAlignment w:val="auto"/>
        <w:rPr>
          <w:rFonts w:hint="eastAsia" w:cs="宋体"/>
          <w:sz w:val="21"/>
          <w:szCs w:val="21"/>
          <w:highlight w:val="none"/>
        </w:rPr>
      </w:pPr>
      <w:r>
        <w:rPr>
          <w:rFonts w:hint="eastAsia" w:cs="宋体"/>
          <w:kern w:val="0"/>
          <w:sz w:val="21"/>
          <w:szCs w:val="21"/>
          <w:highlight w:val="none"/>
        </w:rPr>
        <w:t>除专用合同条款另有约定外，</w:t>
      </w:r>
      <w:r>
        <w:rPr>
          <w:rFonts w:hint="eastAsia" w:cs="宋体"/>
          <w:sz w:val="21"/>
          <w:szCs w:val="21"/>
          <w:highlight w:val="none"/>
        </w:rPr>
        <w:t>承包人应在工程竣工验收合格后28天内向发包人和监理人提交竣工结算申请单，并提交完整的结算资料，有关竣工结算申请单的资料清单和份数等要求由合同当事人在专用合同条款中约定。</w:t>
      </w:r>
    </w:p>
    <w:p w14:paraId="64D735EA">
      <w:pPr>
        <w:pageBreakBefore w:val="0"/>
        <w:kinsoku/>
        <w:overflowPunct/>
        <w:autoSpaceDE w:val="0"/>
        <w:autoSpaceDN w:val="0"/>
        <w:bidi w:val="0"/>
        <w:adjustRightInd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除专用合同条款另有约定外，竣工结算申请单应包括以下内容：</w:t>
      </w:r>
    </w:p>
    <w:p w14:paraId="73F4CA11">
      <w:pPr>
        <w:pageBreakBefore w:val="0"/>
        <w:kinsoku/>
        <w:overflowPunct/>
        <w:autoSpaceDE w:val="0"/>
        <w:autoSpaceDN w:val="0"/>
        <w:bidi w:val="0"/>
        <w:adjustRightInd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（1）竣工结算合同价格；</w:t>
      </w:r>
    </w:p>
    <w:p w14:paraId="68A524CF">
      <w:pPr>
        <w:pageBreakBefore w:val="0"/>
        <w:kinsoku/>
        <w:overflowPunct/>
        <w:autoSpaceDE w:val="0"/>
        <w:autoSpaceDN w:val="0"/>
        <w:bidi w:val="0"/>
        <w:adjustRightInd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（2）发包人已支付承包人的款项；</w:t>
      </w:r>
    </w:p>
    <w:p w14:paraId="1C2B1600">
      <w:pPr>
        <w:pageBreakBefore w:val="0"/>
        <w:kinsoku/>
        <w:overflowPunct/>
        <w:autoSpaceDE w:val="0"/>
        <w:autoSpaceDN w:val="0"/>
        <w:bidi w:val="0"/>
        <w:adjustRightInd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 xml:space="preserve">（3）应扣留的质量保证金。已缴纳履约保证金的或提供其他工程质量担保方式的除外； </w:t>
      </w:r>
    </w:p>
    <w:p w14:paraId="3DDEC843">
      <w:pPr>
        <w:pageBreakBefore w:val="0"/>
        <w:kinsoku/>
        <w:overflowPunct/>
        <w:autoSpaceDE w:val="0"/>
        <w:autoSpaceDN w:val="0"/>
        <w:bidi w:val="0"/>
        <w:adjustRightInd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（4）发包人应支付承包人的合同价款。</w:t>
      </w:r>
    </w:p>
    <w:p w14:paraId="70799781">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14.2 竣工结算审核</w:t>
      </w:r>
    </w:p>
    <w:p w14:paraId="0C8876D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cs="宋体"/>
          <w:sz w:val="21"/>
          <w:szCs w:val="21"/>
          <w:highlight w:val="none"/>
        </w:rPr>
        <w:t>发包人对竣工</w:t>
      </w:r>
      <w:r>
        <w:rPr>
          <w:rFonts w:hint="eastAsia" w:cs="宋体"/>
          <w:kern w:val="0"/>
          <w:sz w:val="21"/>
          <w:szCs w:val="21"/>
          <w:highlight w:val="none"/>
        </w:rPr>
        <w:t>结算</w:t>
      </w:r>
      <w:r>
        <w:rPr>
          <w:rFonts w:hint="eastAsia" w:cs="宋体"/>
          <w:sz w:val="21"/>
          <w:szCs w:val="21"/>
          <w:highlight w:val="none"/>
        </w:rPr>
        <w:t>申请单有异议的，有权要求承包人进行修正和提供补充资料，承包人应提交修正后的竣工</w:t>
      </w:r>
      <w:r>
        <w:rPr>
          <w:rFonts w:hint="eastAsia" w:cs="宋体"/>
          <w:kern w:val="0"/>
          <w:sz w:val="21"/>
          <w:szCs w:val="21"/>
          <w:highlight w:val="none"/>
        </w:rPr>
        <w:t>结算</w:t>
      </w:r>
      <w:r>
        <w:rPr>
          <w:rFonts w:hint="eastAsia" w:cs="宋体"/>
          <w:sz w:val="21"/>
          <w:szCs w:val="21"/>
          <w:highlight w:val="none"/>
        </w:rPr>
        <w:t>申请单。</w:t>
      </w:r>
    </w:p>
    <w:p w14:paraId="67C77BF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4E26042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33041C1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3C7A3034">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14.3 甩项竣工协议</w:t>
      </w:r>
    </w:p>
    <w:p w14:paraId="14A8DA0A">
      <w:pPr>
        <w:pageBreakBefore w:val="0"/>
        <w:kinsoku/>
        <w:overflowPunct/>
        <w:autoSpaceDE w:val="0"/>
        <w:autoSpaceDN w:val="0"/>
        <w:bidi w:val="0"/>
        <w:adjustRightInd w:val="0"/>
        <w:spacing w:after="0" w:afterLines="0" w:line="360" w:lineRule="auto"/>
        <w:ind w:firstLine="411" w:firstLineChars="196"/>
        <w:textAlignment w:val="auto"/>
        <w:rPr>
          <w:rFonts w:hint="eastAsia" w:cs="宋体"/>
          <w:kern w:val="0"/>
          <w:sz w:val="21"/>
          <w:szCs w:val="21"/>
          <w:highlight w:val="none"/>
        </w:rPr>
      </w:pPr>
      <w:r>
        <w:rPr>
          <w:rFonts w:hint="eastAsia" w:cs="宋体"/>
          <w:sz w:val="21"/>
          <w:szCs w:val="21"/>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4C289715">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14.4 最终结清</w:t>
      </w:r>
    </w:p>
    <w:p w14:paraId="0D206C3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14.4.1 最终结清申请单</w:t>
      </w:r>
    </w:p>
    <w:p w14:paraId="4B42E54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（1）除专用合同条款另有约定外，承包人应在缺陷责任期终止证书颁发后7天内，按专用合同条款约定的份数向发包人提交最终结清申请单，并提供相关证明材料。</w:t>
      </w:r>
    </w:p>
    <w:p w14:paraId="4FE3F96A">
      <w:pPr>
        <w:pageBreakBefore w:val="0"/>
        <w:kinsoku/>
        <w:overflowPunct/>
        <w:autoSpaceDE w:val="0"/>
        <w:autoSpaceDN w:val="0"/>
        <w:bidi w:val="0"/>
        <w:adjustRightInd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除专用合同条款另有约定外，</w:t>
      </w:r>
      <w:r>
        <w:rPr>
          <w:rFonts w:hint="eastAsia" w:cs="宋体"/>
          <w:kern w:val="0"/>
          <w:sz w:val="21"/>
          <w:szCs w:val="21"/>
          <w:highlight w:val="none"/>
        </w:rPr>
        <w:t>最终结清申请单</w:t>
      </w:r>
      <w:r>
        <w:rPr>
          <w:rFonts w:hint="eastAsia" w:cs="宋体"/>
          <w:sz w:val="21"/>
          <w:szCs w:val="21"/>
          <w:highlight w:val="none"/>
        </w:rPr>
        <w:t>应列明质量保证金、应扣除的质量保证金、缺陷责任期内发生的增减费用。</w:t>
      </w:r>
    </w:p>
    <w:p w14:paraId="1D988A9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（2）发包人对最终结清申请单内容有异议的，有权要求承包人进行修正和提供补充资料，承包人应向发包人提交修正后的最终结清申请单。</w:t>
      </w:r>
    </w:p>
    <w:p w14:paraId="00D635C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14.4.2 最终结清证书和支付</w:t>
      </w:r>
    </w:p>
    <w:p w14:paraId="0E8300D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2BC8C33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3DD8E18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（3）承包人对发包人颁发的最终结清证书有异议的，按第20条〔争议解决〕的约定办理。</w:t>
      </w:r>
    </w:p>
    <w:p w14:paraId="3219194E">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93" w:name="_Toc7601"/>
      <w:bookmarkStart w:id="94" w:name="_Toc31779_WPSOffice_Level2"/>
      <w:bookmarkStart w:id="95" w:name="_Toc1434_WPSOffice_Level2"/>
      <w:bookmarkStart w:id="96" w:name="_Toc30693"/>
      <w:r>
        <w:rPr>
          <w:rFonts w:hint="eastAsia"/>
          <w:sz w:val="21"/>
          <w:szCs w:val="21"/>
          <w:highlight w:val="none"/>
        </w:rPr>
        <w:t>15. 缺陷责任与保修</w:t>
      </w:r>
      <w:bookmarkEnd w:id="93"/>
      <w:bookmarkEnd w:id="94"/>
      <w:bookmarkEnd w:id="95"/>
      <w:bookmarkEnd w:id="96"/>
    </w:p>
    <w:p w14:paraId="371C0E17">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15.1 工程保修的原则</w:t>
      </w:r>
    </w:p>
    <w:p w14:paraId="4F8AABC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在工程移交发包人后，因承包人原因产生的质量缺陷，承包人应承担质量缺陷责任和保修义务。缺陷责任期届满，承包人仍应按合同约定的工程各部位保修年限承担保修义务。</w:t>
      </w:r>
    </w:p>
    <w:p w14:paraId="24DCD7A1">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15.2 缺陷责任期</w:t>
      </w:r>
    </w:p>
    <w:p w14:paraId="0910F17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15.2.1 缺陷责任期从工程通过竣工验收之日起计算，合同当事人应在专用合同条款约定缺陷责任期的具体期限，但该期限最长不超过24个月。</w:t>
      </w:r>
    </w:p>
    <w:p w14:paraId="0310729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787A4CE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cs="宋体"/>
          <w:bCs/>
          <w:sz w:val="21"/>
          <w:szCs w:val="21"/>
          <w:highlight w:val="none"/>
        </w:rPr>
        <w:t>包人延长缺陷责任期，</w:t>
      </w:r>
      <w:r>
        <w:rPr>
          <w:rFonts w:hint="eastAsia" w:cs="宋体"/>
          <w:kern w:val="0"/>
          <w:sz w:val="21"/>
          <w:szCs w:val="21"/>
          <w:highlight w:val="none"/>
        </w:rPr>
        <w:t>并应在原缺陷责任期届满前发出延长通知。</w:t>
      </w:r>
      <w:r>
        <w:rPr>
          <w:rFonts w:hint="eastAsia" w:cs="宋体"/>
          <w:bCs/>
          <w:sz w:val="21"/>
          <w:szCs w:val="21"/>
          <w:highlight w:val="none"/>
        </w:rPr>
        <w:t>但缺陷责任期（含延长部分）最长</w:t>
      </w:r>
      <w:r>
        <w:rPr>
          <w:rFonts w:hint="eastAsia" w:cs="宋体"/>
          <w:kern w:val="0"/>
          <w:sz w:val="21"/>
          <w:szCs w:val="21"/>
          <w:highlight w:val="none"/>
        </w:rPr>
        <w:t>不能超过24个月。</w:t>
      </w:r>
    </w:p>
    <w:p w14:paraId="07F0EB9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由他人原因造成的缺陷，发包人负责组织维修，承包人不承担费用，且发包人不得从保证金中扣除费用。</w:t>
      </w:r>
    </w:p>
    <w:p w14:paraId="2641259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15.2.3 任何一项缺陷或损坏修复后，经检查证明其影响了工程或工程设备的使用性能，承包人应重新进行合同约定的试验和试运行，试验和试运行的全部费用应由责任方承担。</w:t>
      </w:r>
    </w:p>
    <w:p w14:paraId="003B7A3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36CF8414">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15.3 质量保证金</w:t>
      </w:r>
    </w:p>
    <w:p w14:paraId="5840999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经合同当事人协商一致扣留质量保证金的，应在专用合同条款中予以明确。</w:t>
      </w:r>
    </w:p>
    <w:p w14:paraId="204BC08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sz w:val="21"/>
          <w:szCs w:val="21"/>
          <w:highlight w:val="none"/>
        </w:rPr>
        <w:t>在工程项目竣工前，承包人已经提供履约担保的，发包人不得同时预留工程质量保证金。</w:t>
      </w:r>
    </w:p>
    <w:p w14:paraId="6F782F4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15.3.1 承包人提供质量保证金的方式</w:t>
      </w:r>
    </w:p>
    <w:p w14:paraId="4358E01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承包人提供质量保证金有以下三种方式：</w:t>
      </w:r>
    </w:p>
    <w:p w14:paraId="240AEC9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 xml:space="preserve">（1）质量保证金保函； </w:t>
      </w:r>
    </w:p>
    <w:p w14:paraId="64EF063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（2）相应比例的工程款；</w:t>
      </w:r>
    </w:p>
    <w:p w14:paraId="6D83063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（3）双方约定的其他方式。</w:t>
      </w:r>
    </w:p>
    <w:p w14:paraId="03F08FC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除专用合同条款另有约定外，质量保证金原则上采用上述第（1）种方式。</w:t>
      </w:r>
    </w:p>
    <w:p w14:paraId="4DDF909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15.3.2 质量保证金的扣留</w:t>
      </w:r>
    </w:p>
    <w:p w14:paraId="5734524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质量保证金的扣留有以下三种方式：</w:t>
      </w:r>
    </w:p>
    <w:p w14:paraId="59D273B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（1）在支付工程进度款时逐次扣留，在此情形下，质量保证金的计算基数不包括预付款的支付、扣回以及价格调整的金额；</w:t>
      </w:r>
    </w:p>
    <w:p w14:paraId="57D7303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（2）工程竣工结算时一次性扣留质量保证金；</w:t>
      </w:r>
    </w:p>
    <w:p w14:paraId="0D8A22C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（3）双方约定的其他扣留方式。</w:t>
      </w:r>
    </w:p>
    <w:p w14:paraId="63E6FDD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除专用合同条款另有约定外，质量保证金的扣留原则上采用上述第（1）种方式。</w:t>
      </w:r>
    </w:p>
    <w:p w14:paraId="11B5B47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49C63F0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发包人在退还质量保证金的同时按照中国人民银行发布的同期同类贷款基准利率支付利息。</w:t>
      </w:r>
    </w:p>
    <w:p w14:paraId="2388E1B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 xml:space="preserve">15.3.3 </w:t>
      </w:r>
      <w:r>
        <w:rPr>
          <w:rFonts w:hint="eastAsia" w:cs="宋体"/>
          <w:sz w:val="21"/>
          <w:szCs w:val="21"/>
          <w:highlight w:val="none"/>
        </w:rPr>
        <w:t>质量保证金</w:t>
      </w:r>
      <w:r>
        <w:rPr>
          <w:rFonts w:hint="eastAsia" w:cs="宋体"/>
          <w:kern w:val="0"/>
          <w:sz w:val="21"/>
          <w:szCs w:val="21"/>
          <w:highlight w:val="none"/>
        </w:rPr>
        <w:t>的退还</w:t>
      </w:r>
    </w:p>
    <w:p w14:paraId="0663C41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缺陷责任期内，承包人认真履行合同约定的责任，到期后，承包人可向发包人申请返还保证金。</w:t>
      </w:r>
    </w:p>
    <w:p w14:paraId="463CDA2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4A36E66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发包人和承包人对保证金预留、返还以及工程维修质量、费用有争议的，按本合同第20条约定的争议和纠纷解决程序处理。</w:t>
      </w:r>
    </w:p>
    <w:p w14:paraId="7B49204F">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15.4 保修</w:t>
      </w:r>
    </w:p>
    <w:p w14:paraId="7CD42AA6">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15.4.1保修责任</w:t>
      </w:r>
    </w:p>
    <w:p w14:paraId="58DA9364">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0082EED1">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发包人未经竣工验收擅自使用工程的，保修期自</w:t>
      </w:r>
      <w:r>
        <w:rPr>
          <w:rFonts w:hint="eastAsia" w:cs="宋体"/>
          <w:kern w:val="0"/>
          <w:sz w:val="21"/>
          <w:szCs w:val="21"/>
          <w:highlight w:val="none"/>
        </w:rPr>
        <w:t>转移占有之日起算</w:t>
      </w:r>
      <w:r>
        <w:rPr>
          <w:rFonts w:hint="eastAsia" w:cs="宋体"/>
          <w:sz w:val="21"/>
          <w:szCs w:val="21"/>
          <w:highlight w:val="none"/>
        </w:rPr>
        <w:t>。</w:t>
      </w:r>
    </w:p>
    <w:p w14:paraId="372AD4B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15.4.2 修复费用</w:t>
      </w:r>
    </w:p>
    <w:p w14:paraId="1B37270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保修期内，修复的费用按照以下约定处理：</w:t>
      </w:r>
    </w:p>
    <w:p w14:paraId="6ACC37C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（1）保修期内，因承包人原因造成工程的缺陷、损坏，承包人应负责修复，并承担修复的费用以及因工程的缺陷、损坏造成的人身伤害和财产损失；</w:t>
      </w:r>
    </w:p>
    <w:p w14:paraId="2DD3CDC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（2）保修期内，因发包人使用不当造成工程的缺陷、损坏，可以委托承包人修复，但发包人应承担修复的费用，并支付承包人合理利润；</w:t>
      </w:r>
    </w:p>
    <w:p w14:paraId="63CE48F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（3）因其他原因造成工程的缺陷、损坏，可以委托承包人修复，发包人应承担修复的费用，并支付承包人合理的利润，因工程的缺陷、损坏造成的人身伤害和财产损失由责任方承担。</w:t>
      </w:r>
    </w:p>
    <w:p w14:paraId="39CA10B4">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15.4.3 修复通知</w:t>
      </w:r>
    </w:p>
    <w:p w14:paraId="5A5063C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0D6A210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15.4.4 未能修复</w:t>
      </w:r>
    </w:p>
    <w:p w14:paraId="41EEEE4D">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5CC3C285">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15.4.5 承包人出入权</w:t>
      </w:r>
    </w:p>
    <w:p w14:paraId="6033ADA5">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2900646A">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97" w:name="_Toc8599_WPSOffice_Level2"/>
      <w:bookmarkStart w:id="98" w:name="_Toc16079_WPSOffice_Level2"/>
      <w:bookmarkStart w:id="99" w:name="_Toc22765"/>
      <w:bookmarkStart w:id="100" w:name="_Toc20689"/>
      <w:r>
        <w:rPr>
          <w:rFonts w:hint="eastAsia"/>
          <w:sz w:val="21"/>
          <w:szCs w:val="21"/>
          <w:highlight w:val="none"/>
        </w:rPr>
        <w:t>16. 违约</w:t>
      </w:r>
      <w:bookmarkEnd w:id="97"/>
      <w:bookmarkEnd w:id="98"/>
      <w:bookmarkEnd w:id="99"/>
      <w:bookmarkEnd w:id="100"/>
    </w:p>
    <w:p w14:paraId="77EEB368">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16.1 发包人违约</w:t>
      </w:r>
    </w:p>
    <w:p w14:paraId="17E678F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16.1.1 发包人违约的情形</w:t>
      </w:r>
    </w:p>
    <w:p w14:paraId="69BA6E4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在合同履行过程中发生的下列情形，属于发包人违约：</w:t>
      </w:r>
    </w:p>
    <w:p w14:paraId="07E31D8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（1）因发包人原因未能在计划开工日期前7天内下达开工通知的；</w:t>
      </w:r>
    </w:p>
    <w:p w14:paraId="095EA07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（2）因发包人原因未能按合同约定支付合同价款的；</w:t>
      </w:r>
    </w:p>
    <w:p w14:paraId="23F5EC6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（3）发包人违反第10.1款〔变更的范围〕第（2）项约定，自行实施被取消的工作或转由他人实施的；</w:t>
      </w:r>
    </w:p>
    <w:p w14:paraId="6F79420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（4）发包人提供的材料、工程设备的规格、数量或质量不符合合同约定，或因发包人原因导致交货日期延误或交货地点变更等情况的；</w:t>
      </w:r>
    </w:p>
    <w:p w14:paraId="52A56AB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（5）因发包人违反合同约定造成暂停施工的；</w:t>
      </w:r>
    </w:p>
    <w:p w14:paraId="670D939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（6）发包人无正当理由没有在约定期限内发出复工指示，导致承包人无法复工的；</w:t>
      </w:r>
    </w:p>
    <w:p w14:paraId="588FBF7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（7）发包人明确表示或者以其行为表明不履行合同主要义务的；</w:t>
      </w:r>
    </w:p>
    <w:p w14:paraId="141168C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（8）发包人未能按照合同约定履行其他义务的。</w:t>
      </w:r>
    </w:p>
    <w:p w14:paraId="50A56A8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371BBFD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16.1.2 发包人违约的责任</w:t>
      </w:r>
    </w:p>
    <w:p w14:paraId="1CCBBAB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发包人应承担因其违约给承包人增加的费用和（或）延误的工期，并支付承包人合理的利润。此外，合同当事人可在专用合同条款中另行约定发包人违约责任的承担方式和计算方法。</w:t>
      </w:r>
    </w:p>
    <w:p w14:paraId="41FA786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16.1.3 因发包人违约解除合同</w:t>
      </w:r>
    </w:p>
    <w:p w14:paraId="605BF54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54326CFB">
      <w:pPr>
        <w:pageBreakBefore w:val="0"/>
        <w:kinsoku/>
        <w:overflowPunct/>
        <w:autoSpaceDE w:val="0"/>
        <w:autoSpaceDN w:val="0"/>
        <w:bidi w:val="0"/>
        <w:adjustRightInd w:val="0"/>
        <w:spacing w:after="0" w:afterLines="0" w:line="360" w:lineRule="auto"/>
        <w:ind w:firstLine="420" w:firstLineChars="200"/>
        <w:textAlignment w:val="auto"/>
        <w:rPr>
          <w:rFonts w:hint="eastAsia" w:cs="宋体"/>
          <w:sz w:val="21"/>
          <w:szCs w:val="21"/>
          <w:highlight w:val="none"/>
        </w:rPr>
      </w:pPr>
      <w:r>
        <w:rPr>
          <w:rFonts w:hint="eastAsia" w:cs="宋体"/>
          <w:kern w:val="0"/>
          <w:sz w:val="21"/>
          <w:szCs w:val="21"/>
          <w:highlight w:val="none"/>
        </w:rPr>
        <w:t>16.1.4 因发包人违约解除合同后的付款</w:t>
      </w:r>
    </w:p>
    <w:p w14:paraId="603DD16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承包人按照本款约定解除合同的，发包人应在解除合同后28天内支付下列款项，并解除履约担保：</w:t>
      </w:r>
    </w:p>
    <w:p w14:paraId="344DFAC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（1）合同解除前所完成工作的价款；</w:t>
      </w:r>
    </w:p>
    <w:p w14:paraId="1A2D418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（2）承包人为工程施工订购并已付款的材料、工程设备和其他物品的价款；</w:t>
      </w:r>
    </w:p>
    <w:p w14:paraId="5357C2D7">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（3）承包人撤离施工现场以及遣散承包人人员的款项；</w:t>
      </w:r>
    </w:p>
    <w:p w14:paraId="586FB9B4">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（4）按照合同约定在合同解除前应支付的违约金；</w:t>
      </w:r>
    </w:p>
    <w:p w14:paraId="0E2C3403">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（5）按照合同约定应当支付给承包人的其他款项；</w:t>
      </w:r>
    </w:p>
    <w:p w14:paraId="3981A8BC">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（6）按照合同约定应退还的质量保证金；</w:t>
      </w:r>
    </w:p>
    <w:p w14:paraId="7E75E9F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（7）因解除合同给承包人造成的损失。</w:t>
      </w:r>
    </w:p>
    <w:p w14:paraId="30D29B4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合同当事人未能就解除合同后的结清达成一致的，按照第20条〔争议解决〕的约定处理。</w:t>
      </w:r>
    </w:p>
    <w:p w14:paraId="39141A2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承包人应妥善做好已完工程和与工程有关的已购材料、工程设备的保护和移交工作，并将施工设备和人员撤出施工现场，发包人应为承包人撤出提供必要条件。</w:t>
      </w:r>
    </w:p>
    <w:p w14:paraId="687810FF">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16.2 承包人违约</w:t>
      </w:r>
    </w:p>
    <w:p w14:paraId="51D9C3E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16.2.1 承包人违约的情形</w:t>
      </w:r>
    </w:p>
    <w:p w14:paraId="1EFF9BA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在合同履行过程中发生的下列情形，属于承包人违约：</w:t>
      </w:r>
    </w:p>
    <w:p w14:paraId="742CEE6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（1）承包人违反合同约定进行转包或违法分包的；</w:t>
      </w:r>
    </w:p>
    <w:p w14:paraId="739A534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（2）承包人违反合同约定采购和使用不合格的材料和工程设备的；</w:t>
      </w:r>
    </w:p>
    <w:p w14:paraId="2AC38C7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 xml:space="preserve">（3）因承包人原因导致工程质量不符合合同要求的； </w:t>
      </w:r>
    </w:p>
    <w:p w14:paraId="629B7D6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（4）承包人违反第8.9款〔材料与设备专用要求〕的约定，未经批准，私自将已按照合同约定进入施工现场的材料或设备撤离施工现场的；</w:t>
      </w:r>
    </w:p>
    <w:p w14:paraId="44BA888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（5）承包人未能按施工进度计划及时完成合同约定的工作，造成工期延误的；</w:t>
      </w:r>
    </w:p>
    <w:p w14:paraId="3DDB245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（6）承包人在缺陷责任期及保修期内，未能在合理期限对工程缺陷进行修复，或拒绝按发包人要求进行修复的；</w:t>
      </w:r>
    </w:p>
    <w:p w14:paraId="3C0F960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（7）承包人明确表示或者以其行为表明不履行合同主要义务的；</w:t>
      </w:r>
    </w:p>
    <w:p w14:paraId="71D6A36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（8）承包人未能按照合同约定履行其他义务的。</w:t>
      </w:r>
    </w:p>
    <w:p w14:paraId="5A331C7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承包人发生除本项第（7）目约定以外的其他违约情况时，监理人可向承包人发出整改通知，要求其在指定的期限内改正。</w:t>
      </w:r>
    </w:p>
    <w:p w14:paraId="021320D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16.2.2 承包人违约的责任</w:t>
      </w:r>
    </w:p>
    <w:p w14:paraId="4A5715C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承包人应承担因其违约行为而增加的费用和（或）延误的工期。此外，合同当事人可在专用合同条款中另行约定承包人违约责任的承担方式和计算方法。</w:t>
      </w:r>
    </w:p>
    <w:p w14:paraId="3B198B2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16.2.3 因承包人违约解除合同</w:t>
      </w:r>
    </w:p>
    <w:p w14:paraId="731BDF9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3D9D55A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16.2.4因承包人违约解除合同后的处理</w:t>
      </w:r>
    </w:p>
    <w:p w14:paraId="508403D8">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因承包人原因导致合同解除的，则合同当事人应在合同解除后28天内完成估价、付款和清算，并按以下约定执行：</w:t>
      </w:r>
    </w:p>
    <w:p w14:paraId="5D46A5E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（1）合同解除后，按第4.4款〔商定或确定〕商定或确定承包人实际完成工作对应的合同价款，以及承包人已提供的材料、工程设备、施工设备和临时工程等的价值；</w:t>
      </w:r>
    </w:p>
    <w:p w14:paraId="0CFDED8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（2）合同解除后，承包人应支付的违约金；</w:t>
      </w:r>
    </w:p>
    <w:p w14:paraId="7897EB3B">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（3）合同解除后，因解除合同给发包人造成的损失；</w:t>
      </w:r>
    </w:p>
    <w:p w14:paraId="6150CCD4">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（4）合同解除后，承包人应按照发包人要求和监理人的指示完成现场的清理和撤离；</w:t>
      </w:r>
    </w:p>
    <w:p w14:paraId="2846AA0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（5）发包人和承包人应在合同解除后进行清算，出具最终结清付款证书，结清全部款项。</w:t>
      </w:r>
    </w:p>
    <w:p w14:paraId="6333F9F9">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5B1E364E">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16.2.5采购合同权益转让</w:t>
      </w:r>
    </w:p>
    <w:p w14:paraId="66A31022">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713335B0">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16.3 第三人造成的违约</w:t>
      </w:r>
    </w:p>
    <w:p w14:paraId="7347A596">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在履行合同过程中，一方当事人因第三人的原因造成违约的，应当向对方当事人承担违约责任。一方当事人和第三人之间的纠纷，依照法律规定或者按照约定解决。</w:t>
      </w:r>
    </w:p>
    <w:p w14:paraId="519411DB">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101" w:name="_Toc15411"/>
      <w:bookmarkStart w:id="102" w:name="_Toc355_WPSOffice_Level2"/>
      <w:bookmarkStart w:id="103" w:name="_Toc24358_WPSOffice_Level2"/>
      <w:bookmarkStart w:id="104" w:name="_Toc29564"/>
      <w:r>
        <w:rPr>
          <w:rFonts w:hint="eastAsia"/>
          <w:sz w:val="21"/>
          <w:szCs w:val="21"/>
          <w:highlight w:val="none"/>
        </w:rPr>
        <w:t>17. 不可抗力</w:t>
      </w:r>
      <w:bookmarkEnd w:id="101"/>
      <w:bookmarkEnd w:id="102"/>
      <w:bookmarkEnd w:id="103"/>
      <w:bookmarkEnd w:id="104"/>
      <w:r>
        <w:rPr>
          <w:rFonts w:hint="eastAsia"/>
          <w:sz w:val="21"/>
          <w:szCs w:val="21"/>
          <w:highlight w:val="none"/>
        </w:rPr>
        <w:t xml:space="preserve"> </w:t>
      </w:r>
    </w:p>
    <w:p w14:paraId="2D2CFF9F">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17.1 不可抗力的确认</w:t>
      </w:r>
    </w:p>
    <w:p w14:paraId="3FDF3AD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1366F798">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54BB78DD">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17.2 不可抗力的通知</w:t>
      </w:r>
    </w:p>
    <w:p w14:paraId="7DD7AF9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合同一方当事人遇到不可抗力事件，使其履行合同义务受到阻碍时，应立即通知合同另一方当事人和监理人，书面说明不可抗力和受阻碍的详细情况，并提供必要的证明。</w:t>
      </w:r>
    </w:p>
    <w:p w14:paraId="0CC2CC84">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63F0861E">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17.3 不可抗力后果的承担</w:t>
      </w:r>
    </w:p>
    <w:p w14:paraId="78A838B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17.3.1 不可抗力引起的后果及造成的损失由合同当事人按照法律规定及合同约定各自承担。不可抗力发生前已完成的工程应当按照合同约定进行计量支付。</w:t>
      </w:r>
    </w:p>
    <w:p w14:paraId="70F324F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17.3.2 不可抗力导致的人员伤亡、财产损失、费用增加和（或）工期延误等后果，由合同当事人按以下原则承担：</w:t>
      </w:r>
    </w:p>
    <w:p w14:paraId="40E2CAFC">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（1）永久工程、已运至施工现场的材料和工程设备的损坏，以及因工程损坏造成的第三人人员伤亡和财产损失由发包人承担；</w:t>
      </w:r>
    </w:p>
    <w:p w14:paraId="560A1CB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（2）承包人施工设备的损坏由承包人承担；</w:t>
      </w:r>
    </w:p>
    <w:p w14:paraId="4FDA246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（3）发包人和承包人承担各自人员伤亡和财产的损失；</w:t>
      </w:r>
    </w:p>
    <w:p w14:paraId="2CAEAE3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6FE33C16">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（5）因不可抗力引起或将引起工期延误，发包人要求赶工的，由此增加的赶工费用由发包人承担；</w:t>
      </w:r>
    </w:p>
    <w:p w14:paraId="59687A4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（6）承包人在停工期间按照发包人要求照管、清理和修复工程的费用由发包人承担。</w:t>
      </w:r>
    </w:p>
    <w:p w14:paraId="7BB352C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不可抗力发生后，合同当事人均应采取措施尽量避免和减少损失的扩大，任何一方当事人没有采取有效措施导致损失扩大的，应对扩大的损失承担责任。</w:t>
      </w:r>
    </w:p>
    <w:p w14:paraId="015BC65D">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因合同一方迟延履行合同义务，在迟延履行期间遭遇不可抗力的，不免除其违约责任。</w:t>
      </w:r>
    </w:p>
    <w:p w14:paraId="5C2533DD">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17.4 因不可抗力解除合同</w:t>
      </w:r>
    </w:p>
    <w:p w14:paraId="04D1750C">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10D744E8">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（1）合同解除前承包人已完成工作的价款；</w:t>
      </w:r>
    </w:p>
    <w:p w14:paraId="5F8E7B1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（2）承包人为工程订购的并已交付给承包人，或承包人有责任接受交付的材料、工程设备和其他物品的价款；</w:t>
      </w:r>
    </w:p>
    <w:p w14:paraId="1E5EC8F6">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（3）发包人要求承包人退货或解除订货合同而产生的费用，或因不能退货或解除合同而产生的损失；</w:t>
      </w:r>
    </w:p>
    <w:p w14:paraId="3080255F">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（4）承包人撤离施工现场以及遣散承包人人员的费用；</w:t>
      </w:r>
    </w:p>
    <w:p w14:paraId="0C3DF243">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（5）按照合同约定在合同解除前应支付给承包人的其他款项；</w:t>
      </w:r>
    </w:p>
    <w:p w14:paraId="65EABC00">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（6）扣减承包人按照合同约定应向发包人支付的款项；</w:t>
      </w:r>
    </w:p>
    <w:p w14:paraId="35797D78">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（7）双方商定或确定的其他款项。</w:t>
      </w:r>
    </w:p>
    <w:p w14:paraId="157776CA">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除专用合同条款另有约定外，合同解除后，发包人应在商定或确定上述款项后28天内完成上述款项的支付。</w:t>
      </w:r>
    </w:p>
    <w:p w14:paraId="34475675">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105" w:name="_Toc21557"/>
      <w:bookmarkStart w:id="106" w:name="_Toc11223_WPSOffice_Level2"/>
      <w:bookmarkStart w:id="107" w:name="_Toc25168_WPSOffice_Level2"/>
      <w:bookmarkStart w:id="108" w:name="_Toc7501"/>
      <w:r>
        <w:rPr>
          <w:rFonts w:hint="eastAsia"/>
          <w:sz w:val="21"/>
          <w:szCs w:val="21"/>
          <w:highlight w:val="none"/>
        </w:rPr>
        <w:t>18. 保险</w:t>
      </w:r>
      <w:bookmarkEnd w:id="105"/>
      <w:bookmarkEnd w:id="106"/>
      <w:bookmarkEnd w:id="107"/>
      <w:bookmarkEnd w:id="108"/>
    </w:p>
    <w:p w14:paraId="36417570">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18.1 工程保险</w:t>
      </w:r>
    </w:p>
    <w:p w14:paraId="533276F9">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除专用合同条款另有约定外，发包人应投保建筑工程一切险或安装工程一切险；发包人委托承包人投保的，因投保产生的保险费和其他相关费用由发包人承担。</w:t>
      </w:r>
    </w:p>
    <w:p w14:paraId="064B3650">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18.2 工伤保险</w:t>
      </w:r>
    </w:p>
    <w:p w14:paraId="49549D3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18.2.1 发包人应依照法律规定参加工伤保险，并为在施工现场的全部员工办理工伤保险，缴纳工伤保险费，并要求监理人及由发包人为履行合同聘请的第三方依法参加工伤保险。</w:t>
      </w:r>
    </w:p>
    <w:p w14:paraId="4592112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18.2.2 承包人应依照法律规定参加工伤保险，并为其履行合同的全部员工办理工伤保险，缴纳工伤保险费，并要求分包人及由承包人为履行合同聘请的第三方依法参加工伤保险。</w:t>
      </w:r>
    </w:p>
    <w:p w14:paraId="38ECAB1A">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18.3其他保险</w:t>
      </w:r>
    </w:p>
    <w:p w14:paraId="6403FD13">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发包人和承包人可以为其施工现场的全部人员办理意外伤害保险并支付保险费，包括其员工及为履行合同聘请的第三方的人员，具体事项由合同当事人在专用合同条款约定。</w:t>
      </w:r>
    </w:p>
    <w:p w14:paraId="040CF33E">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除专用合同条款另有约定外，承包人应为其施工设备等办理财产保险。</w:t>
      </w:r>
    </w:p>
    <w:p w14:paraId="581DB261">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18.4持续保险</w:t>
      </w:r>
    </w:p>
    <w:p w14:paraId="7BDFC2C2">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合同当事人应与保险人保持联系，使保险人能够随时了解工程实施中的变动，并确保按保险合同条款要求持续保险。</w:t>
      </w:r>
    </w:p>
    <w:p w14:paraId="3BC053C6">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18.5 保险凭证</w:t>
      </w:r>
    </w:p>
    <w:p w14:paraId="5C799AC3">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合同当事人应及时向另一方当事人提交其已投保的各项保险的凭证和保险单复印件。</w:t>
      </w:r>
    </w:p>
    <w:p w14:paraId="7A45F0AD">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18.6 未按约定投保的补救</w:t>
      </w:r>
    </w:p>
    <w:p w14:paraId="550F62EA">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18.6.1发包人未按合同约定办理保险，或未能使保险持续有效的，则承包人可代为办理，所需费用由发包人承担。发包人未按合同约定办理保险，导致未能得到足额赔偿的，由发包人负责补足。</w:t>
      </w:r>
    </w:p>
    <w:p w14:paraId="19C09481">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18.6.2承包人未按合同约定办理保险，或未能使保险持续有效的，则发包人可代为办理，所需费用由承包人承担。承包人未按合同约定办理保险，导致未能得到足额赔偿的，由承包人负责补足。</w:t>
      </w:r>
    </w:p>
    <w:p w14:paraId="41F31A2A">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18.7 通知义务</w:t>
      </w:r>
    </w:p>
    <w:p w14:paraId="24B3294C">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3DC50B0C">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保险事故发生时，投保人应按照保险合同规定的条件和期限及时向保险人报告。发包人和承包人应当在知道保险事故发生后及时通知对方。</w:t>
      </w:r>
    </w:p>
    <w:p w14:paraId="23086014">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109" w:name="_Toc11324_WPSOffice_Level2"/>
      <w:bookmarkStart w:id="110" w:name="_Toc8522"/>
      <w:bookmarkStart w:id="111" w:name="_Toc18392_WPSOffice_Level2"/>
      <w:bookmarkStart w:id="112" w:name="_Toc16176"/>
      <w:r>
        <w:rPr>
          <w:rFonts w:hint="eastAsia"/>
          <w:sz w:val="21"/>
          <w:szCs w:val="21"/>
          <w:highlight w:val="none"/>
        </w:rPr>
        <w:t>19. 索赔</w:t>
      </w:r>
      <w:bookmarkEnd w:id="109"/>
      <w:bookmarkEnd w:id="110"/>
      <w:bookmarkEnd w:id="111"/>
      <w:bookmarkEnd w:id="112"/>
    </w:p>
    <w:p w14:paraId="0EFA3DD0">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19.1承包人的索赔</w:t>
      </w:r>
    </w:p>
    <w:p w14:paraId="748F0F5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根据合同约定，承包人认为有权得到追加付款和（或）延长工期的，应按以下程序向发包人提出索赔：</w:t>
      </w:r>
    </w:p>
    <w:p w14:paraId="4126380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473934D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（2）承包人应在发出索赔意向通知书后28天内，向监理人正式递交索赔报告；索赔报告应详细说明索赔理由以及要求追加的付款金额和（或）延长的工期，并附必要的记录和证明材料；</w:t>
      </w:r>
    </w:p>
    <w:p w14:paraId="2C83B6E7">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（3）索赔事件具有持续影响的，承包人应按合理时间间隔继续递交延续索赔通知，说明持续影响的实际情况和记录，列出累计的追加付款金额和（或）工期延长天数；</w:t>
      </w:r>
    </w:p>
    <w:p w14:paraId="35A3398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（4）在索赔事件影响结束后28天内，承包人应向监理人递交最终索赔报告，说明最终要求索赔的追加付款金额和（或）延长的工期，并附必要的记录和证明材料。</w:t>
      </w:r>
    </w:p>
    <w:p w14:paraId="344398AE">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19.2 对承包人索赔的处理</w:t>
      </w:r>
    </w:p>
    <w:p w14:paraId="753D45A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对承包人索赔的处理如下：</w:t>
      </w:r>
    </w:p>
    <w:p w14:paraId="7A47A5D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（1）监理人应在收到索赔报告后14天内完成审查并报送发包人。监理人对索赔报告存在异议的，有权要求承包人提交全部原始记录副本；</w:t>
      </w:r>
    </w:p>
    <w:p w14:paraId="1073200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（2）发包人应在监理人收到索赔报告或有关索赔的进一步证明材料后的28天内，由监理人向承包人出具经发包人签认的索赔处理结果。发包人逾期答复的，则视为认可承包人的索赔要求；</w:t>
      </w:r>
    </w:p>
    <w:p w14:paraId="26FF398B">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（3）承包人接受索赔处理结果的，索赔款项在当期进度款中进行支付；承包人不接受索赔处理结果的，按照第20条〔争议解决〕约定处理。</w:t>
      </w:r>
    </w:p>
    <w:p w14:paraId="760DB992">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19.3发包人的索赔</w:t>
      </w:r>
    </w:p>
    <w:p w14:paraId="1E8B28E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根据合同约定，发包人认为有权得到赔付金额和（或）延长缺陷责任期的，监理人应向承包人发出通知并附有详细的证明。</w:t>
      </w:r>
    </w:p>
    <w:p w14:paraId="160AD122">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3DA1D740">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19.4 对发包人索赔的处理</w:t>
      </w:r>
    </w:p>
    <w:p w14:paraId="0C6D3F7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对发包人索赔的处理如下：</w:t>
      </w:r>
    </w:p>
    <w:p w14:paraId="173671DA">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（1）承包人收到发包人提交的索赔报告后，应及时审查索赔报告的内容、查验发包人证明材料；</w:t>
      </w:r>
    </w:p>
    <w:p w14:paraId="17931923">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（2）承包人应在收到索赔报告或有关索赔的进一步证明材料后28天内，将索赔处理结果答复发包人。如果承包人未在上述期限内作出答复的，则视为对发包人索赔要求的认可；</w:t>
      </w:r>
    </w:p>
    <w:p w14:paraId="0574179F">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（3）承包人接受索赔处理结果的，发包人可从应支付给承包人的合同价款中扣除赔付的金额或延长缺陷责任期；发包人不接受索赔处理结果的，按第20条〔争议解决〕约定处理。</w:t>
      </w:r>
    </w:p>
    <w:p w14:paraId="3ACFECCB">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19.5 提出索赔的期限</w:t>
      </w:r>
    </w:p>
    <w:p w14:paraId="06C21FE1">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（1）承包人按第14.2款〔竣工结算审核〕约定接收竣工付款证书后，应被视为已无权再提出在工程接收证书颁发前所发生的任何索赔。</w:t>
      </w:r>
    </w:p>
    <w:p w14:paraId="1A52591E">
      <w:pPr>
        <w:pageBreakBefore w:val="0"/>
        <w:kinsoku/>
        <w:overflowPunct/>
        <w:bidi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（2）承包人按第14.4款〔最终结清〕提交的最终结清申请单中，只限于提出工程接收证书颁发后发生的索赔。提出索赔的期限自接受最终结清证书时终止。</w:t>
      </w:r>
    </w:p>
    <w:p w14:paraId="65E506B7">
      <w:pPr>
        <w:pStyle w:val="7"/>
        <w:pageBreakBefore w:val="0"/>
        <w:kinsoku/>
        <w:overflowPunct/>
        <w:bidi w:val="0"/>
        <w:spacing w:before="0" w:after="0" w:afterLines="0" w:line="360" w:lineRule="auto"/>
        <w:ind w:left="0" w:firstLine="0" w:firstLineChars="0"/>
        <w:textAlignment w:val="auto"/>
        <w:outlineLvl w:val="1"/>
        <w:rPr>
          <w:rFonts w:hint="eastAsia"/>
          <w:sz w:val="21"/>
          <w:szCs w:val="21"/>
          <w:highlight w:val="none"/>
        </w:rPr>
      </w:pPr>
      <w:bookmarkStart w:id="113" w:name="_Toc15646"/>
      <w:bookmarkStart w:id="114" w:name="_Toc5201_WPSOffice_Level2"/>
      <w:bookmarkStart w:id="115" w:name="_Toc11004"/>
      <w:bookmarkStart w:id="116" w:name="_Toc30474_WPSOffice_Level2"/>
      <w:r>
        <w:rPr>
          <w:rFonts w:hint="eastAsia"/>
          <w:sz w:val="21"/>
          <w:szCs w:val="21"/>
          <w:highlight w:val="none"/>
        </w:rPr>
        <w:t>20. 争议解决</w:t>
      </w:r>
      <w:bookmarkEnd w:id="113"/>
      <w:bookmarkEnd w:id="114"/>
      <w:bookmarkEnd w:id="115"/>
      <w:bookmarkEnd w:id="116"/>
    </w:p>
    <w:p w14:paraId="74809B56">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20.1和解</w:t>
      </w:r>
    </w:p>
    <w:p w14:paraId="6CA5AE4E">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合同当事人可以就争议自行和解，自行和解达成协议的经双方签字并盖章后作为合同补充文件，双方均应遵照执行。</w:t>
      </w:r>
    </w:p>
    <w:p w14:paraId="59D2142D">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20.2调解</w:t>
      </w:r>
    </w:p>
    <w:p w14:paraId="5AA9E0DF">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合同当事人可以就争议请求建设行政主管部门、行业协会或其他第三方进行调解，调解达成协议的，经双方签字并盖章后作为合同补充文件，双方均应遵照执行。</w:t>
      </w:r>
    </w:p>
    <w:p w14:paraId="1F7A0EF0">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20.3争议评审</w:t>
      </w:r>
    </w:p>
    <w:p w14:paraId="28F56DD7">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 xml:space="preserve">合同当事人在专用合同条款中约定采取争议评审方式解决争议以及评审规则，并按下列约定执行： </w:t>
      </w:r>
    </w:p>
    <w:p w14:paraId="19AC31DD">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20.3.1 争议评审小组的确定</w:t>
      </w:r>
    </w:p>
    <w:p w14:paraId="7F3E8393">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合同当事人可以共同选择一名或三名争议评审员，组成争议评审小组。除专用合同条款另有约定外，合同当事人应当自合同签订后28天内，或者争议发生后14天内，选定争议评审员。</w:t>
      </w:r>
    </w:p>
    <w:p w14:paraId="5881FCDF">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024FFC48">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除专用合同条款另有约定外，评审员报酬由发包人和承包人各承担一半。</w:t>
      </w:r>
    </w:p>
    <w:p w14:paraId="7E424FDD">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20.3.2 争议评审小组的决定</w:t>
      </w:r>
    </w:p>
    <w:p w14:paraId="2D885B37">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6700FCF0">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20.3.3 争议评审小组决定的效力</w:t>
      </w:r>
    </w:p>
    <w:p w14:paraId="44A1B4A6">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争议评审小组作出的书面决定经合同当事人签字确认后，对双方具有约束力，双方应遵照执行。</w:t>
      </w:r>
    </w:p>
    <w:p w14:paraId="60E980F2">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任何一方当事人不接受争议评审小组决定或不履行争议评审小组决定的，双方可选择采用其他争议解决方式。</w:t>
      </w:r>
    </w:p>
    <w:p w14:paraId="4EFC1FF2">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20.4仲裁或诉讼</w:t>
      </w:r>
    </w:p>
    <w:p w14:paraId="2F837C8A">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因合同及合同有关事项产生的争议，合同当事人可以在专用合同条款中约定以下一种方式解决争议：</w:t>
      </w:r>
    </w:p>
    <w:p w14:paraId="4ADF99B5">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（1）向约定的仲裁委员会申请仲裁；</w:t>
      </w:r>
    </w:p>
    <w:p w14:paraId="0A76705D">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（2）向有管辖权的人民法院起诉。</w:t>
      </w:r>
    </w:p>
    <w:p w14:paraId="482E6443">
      <w:pPr>
        <w:pStyle w:val="8"/>
        <w:pageBreakBefore w:val="0"/>
        <w:kinsoku/>
        <w:overflowPunct/>
        <w:bidi w:val="0"/>
        <w:spacing w:before="0" w:after="0" w:afterLines="0" w:line="360" w:lineRule="auto"/>
        <w:ind w:left="0" w:firstLine="0" w:firstLineChars="0"/>
        <w:textAlignment w:val="auto"/>
        <w:rPr>
          <w:rFonts w:hint="eastAsia"/>
          <w:sz w:val="21"/>
          <w:szCs w:val="21"/>
          <w:highlight w:val="none"/>
        </w:rPr>
      </w:pPr>
      <w:r>
        <w:rPr>
          <w:rFonts w:hint="eastAsia"/>
          <w:sz w:val="21"/>
          <w:szCs w:val="21"/>
          <w:highlight w:val="none"/>
        </w:rPr>
        <w:t>20.5争议解决条款效力</w:t>
      </w:r>
    </w:p>
    <w:p w14:paraId="11C19963">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 xml:space="preserve">合同有关争议解决的条款独立存在，合同的变更、解除、终止、无效或者被撤销均不影响其效力。 </w:t>
      </w:r>
    </w:p>
    <w:p w14:paraId="1FB2458B">
      <w:pPr>
        <w:pStyle w:val="4"/>
        <w:pageBreakBefore w:val="0"/>
        <w:kinsoku/>
        <w:overflowPunct/>
        <w:bidi w:val="0"/>
        <w:spacing w:after="0" w:afterLines="0"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sz w:val="21"/>
          <w:szCs w:val="21"/>
          <w:highlight w:val="none"/>
        </w:rPr>
        <w:br w:type="page"/>
      </w:r>
      <w:bookmarkEnd w:id="28"/>
      <w:bookmarkEnd w:id="30"/>
      <w:bookmarkEnd w:id="31"/>
      <w:bookmarkStart w:id="117" w:name="_Toc54862331"/>
      <w:bookmarkStart w:id="118" w:name="_Toc21186"/>
      <w:bookmarkStart w:id="119" w:name="_Toc31016"/>
      <w:r>
        <w:rPr>
          <w:rFonts w:hint="eastAsia" w:ascii="宋体" w:hAnsi="宋体" w:eastAsia="宋体" w:cs="宋体"/>
          <w:color w:val="auto"/>
          <w:sz w:val="21"/>
          <w:szCs w:val="21"/>
        </w:rPr>
        <w:t xml:space="preserve">第三部分 </w:t>
      </w:r>
      <w:bookmarkEnd w:id="117"/>
      <w:bookmarkEnd w:id="118"/>
      <w:bookmarkStart w:id="120" w:name="_Toc18679"/>
      <w:bookmarkStart w:id="121" w:name="_Toc2470"/>
      <w:bookmarkStart w:id="122" w:name="_Toc31807"/>
      <w:bookmarkStart w:id="123" w:name="_Toc22693"/>
      <w:bookmarkStart w:id="124" w:name="_Toc10367"/>
      <w:bookmarkStart w:id="125" w:name="_Toc54862351"/>
      <w:bookmarkStart w:id="126" w:name="_Toc20813"/>
      <w:r>
        <w:rPr>
          <w:rFonts w:hint="eastAsia" w:ascii="宋体" w:hAnsi="宋体" w:eastAsia="宋体" w:cs="宋体"/>
          <w:color w:val="auto"/>
          <w:sz w:val="21"/>
          <w:szCs w:val="21"/>
          <w:highlight w:val="none"/>
        </w:rPr>
        <w:t>专用合同条款</w:t>
      </w:r>
      <w:bookmarkEnd w:id="119"/>
      <w:bookmarkEnd w:id="120"/>
      <w:bookmarkEnd w:id="121"/>
      <w:bookmarkEnd w:id="122"/>
      <w:bookmarkEnd w:id="123"/>
      <w:bookmarkEnd w:id="124"/>
    </w:p>
    <w:p w14:paraId="67376144">
      <w:pPr>
        <w:pageBreakBefore w:val="0"/>
        <w:widowControl w:val="0"/>
        <w:kinsoku/>
        <w:wordWrap/>
        <w:overflowPunct/>
        <w:topLinePunct w:val="0"/>
        <w:autoSpaceDE/>
        <w:autoSpaceDN/>
        <w:bidi w:val="0"/>
        <w:adjustRightInd/>
        <w:snapToGrid/>
        <w:spacing w:after="0" w:afterLines="0" w:line="360" w:lineRule="auto"/>
        <w:textAlignment w:val="auto"/>
        <w:outlineLvl w:val="1"/>
        <w:rPr>
          <w:rFonts w:hint="eastAsia" w:ascii="宋体" w:hAnsi="宋体" w:eastAsia="宋体" w:cs="宋体"/>
          <w:color w:val="auto"/>
          <w:sz w:val="21"/>
          <w:szCs w:val="21"/>
          <w:highlight w:val="none"/>
          <w:lang w:val="en-US"/>
        </w:rPr>
      </w:pPr>
      <w:bookmarkStart w:id="127" w:name="_Toc54768804"/>
      <w:bookmarkStart w:id="128" w:name="_Toc263"/>
      <w:bookmarkStart w:id="129" w:name="_Toc25246"/>
      <w:bookmarkStart w:id="130" w:name="_Toc16751"/>
      <w:bookmarkStart w:id="131" w:name="_Toc21260"/>
      <w:bookmarkStart w:id="132" w:name="_Toc51829099"/>
      <w:bookmarkStart w:id="133" w:name="_Toc30797"/>
      <w:r>
        <w:rPr>
          <w:rFonts w:hint="eastAsia" w:ascii="宋体" w:hAnsi="宋体" w:eastAsia="宋体" w:cs="宋体"/>
          <w:color w:val="auto"/>
          <w:sz w:val="21"/>
          <w:szCs w:val="21"/>
          <w:highlight w:val="none"/>
          <w:lang w:val="en-US"/>
        </w:rPr>
        <w:t xml:space="preserve">1. </w:t>
      </w:r>
      <w:r>
        <w:rPr>
          <w:rFonts w:hint="eastAsia" w:ascii="宋体" w:hAnsi="宋体" w:eastAsia="宋体" w:cs="宋体"/>
          <w:color w:val="auto"/>
          <w:sz w:val="21"/>
          <w:szCs w:val="21"/>
          <w:highlight w:val="none"/>
          <w:lang w:eastAsia="zh-CN"/>
        </w:rPr>
        <w:t>一般约定</w:t>
      </w:r>
      <w:bookmarkEnd w:id="127"/>
      <w:bookmarkEnd w:id="128"/>
      <w:bookmarkEnd w:id="129"/>
      <w:bookmarkEnd w:id="130"/>
      <w:bookmarkEnd w:id="131"/>
      <w:bookmarkEnd w:id="132"/>
      <w:bookmarkEnd w:id="133"/>
    </w:p>
    <w:p w14:paraId="4B0D320E">
      <w:pPr>
        <w:pageBreakBefore w:val="0"/>
        <w:widowControl w:val="0"/>
        <w:kinsoku/>
        <w:wordWrap/>
        <w:overflowPunct/>
        <w:topLinePunct w:val="0"/>
        <w:autoSpaceDE/>
        <w:autoSpaceDN/>
        <w:bidi w:val="0"/>
        <w:adjustRightInd/>
        <w:snapToGrid/>
        <w:spacing w:after="0" w:afterLines="0" w:line="360" w:lineRule="auto"/>
        <w:ind w:firstLine="210" w:firstLineChars="1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1.1 词语定义</w:t>
      </w:r>
    </w:p>
    <w:p w14:paraId="113D5029">
      <w:pPr>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1.1.1合同</w:t>
      </w:r>
    </w:p>
    <w:p w14:paraId="1CD719E7">
      <w:pPr>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其他合同文件包括：</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w:t>
      </w:r>
    </w:p>
    <w:p w14:paraId="47ADED14">
      <w:pPr>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 合同当事人及其他相关方</w:t>
      </w:r>
    </w:p>
    <w:p w14:paraId="178495B3">
      <w:pPr>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监理人：</w:t>
      </w:r>
    </w:p>
    <w:p w14:paraId="5B422FE4">
      <w:pPr>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w:t>
      </w:r>
    </w:p>
    <w:p w14:paraId="03FD01BB">
      <w:pPr>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资质类别和等级:</w:t>
      </w:r>
      <w:r>
        <w:rPr>
          <w:rFonts w:hint="eastAsia" w:ascii="宋体" w:hAnsi="宋体" w:eastAsia="宋体" w:cs="宋体"/>
          <w:color w:val="auto"/>
          <w:sz w:val="21"/>
          <w:szCs w:val="21"/>
          <w:highlight w:val="none"/>
          <w:u w:val="single"/>
        </w:rPr>
        <w:t></w:t>
      </w:r>
    </w:p>
    <w:p w14:paraId="3D36488A">
      <w:pPr>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rPr>
        <w:t></w:t>
      </w:r>
    </w:p>
    <w:p w14:paraId="35AA2187">
      <w:pPr>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w:t>
      </w:r>
    </w:p>
    <w:p w14:paraId="58285816">
      <w:pPr>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eastAsia="宋体" w:cs="宋体"/>
          <w:color w:val="auto"/>
          <w:sz w:val="21"/>
          <w:szCs w:val="21"/>
          <w:highlight w:val="none"/>
          <w:u w:val="single"/>
        </w:rPr>
        <w:t></w:t>
      </w:r>
    </w:p>
    <w:p w14:paraId="5B50A49C">
      <w:pPr>
        <w:pageBreakBefore w:val="0"/>
        <w:widowControl w:val="0"/>
        <w:kinsoku/>
        <w:wordWrap/>
        <w:overflowPunct/>
        <w:topLinePunct w:val="0"/>
        <w:autoSpaceDE/>
        <w:autoSpaceDN/>
        <w:bidi w:val="0"/>
        <w:adjustRightInd/>
        <w:snapToGrid/>
        <w:spacing w:after="0" w:afterLines="0" w:line="360" w:lineRule="auto"/>
        <w:ind w:firstLine="210" w:firstLineChars="1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1.3</w:t>
      </w:r>
      <w:r>
        <w:rPr>
          <w:rFonts w:hint="eastAsia" w:ascii="宋体" w:hAnsi="宋体" w:eastAsia="宋体" w:cs="宋体"/>
          <w:b w:val="0"/>
          <w:bCs w:val="0"/>
          <w:color w:val="auto"/>
          <w:sz w:val="21"/>
          <w:szCs w:val="21"/>
          <w:highlight w:val="none"/>
          <w:lang w:val="en-US" w:eastAsia="zh-CN"/>
        </w:rPr>
        <w:t xml:space="preserve"> </w:t>
      </w:r>
      <w:r>
        <w:rPr>
          <w:rFonts w:hint="eastAsia" w:ascii="宋体" w:hAnsi="宋体" w:eastAsia="宋体" w:cs="宋体"/>
          <w:b w:val="0"/>
          <w:bCs w:val="0"/>
          <w:color w:val="auto"/>
          <w:sz w:val="21"/>
          <w:szCs w:val="21"/>
          <w:highlight w:val="none"/>
        </w:rPr>
        <w:t>法律</w:t>
      </w:r>
    </w:p>
    <w:p w14:paraId="0FAD5F61">
      <w:pPr>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适用于合同的其他规范性文件：项目建设过程中发包人制订的相关制度、管理规定。</w:t>
      </w:r>
    </w:p>
    <w:p w14:paraId="7F3F73D8">
      <w:pPr>
        <w:pageBreakBefore w:val="0"/>
        <w:widowControl w:val="0"/>
        <w:kinsoku/>
        <w:wordWrap/>
        <w:overflowPunct/>
        <w:topLinePunct w:val="0"/>
        <w:autoSpaceDE/>
        <w:autoSpaceDN/>
        <w:bidi w:val="0"/>
        <w:adjustRightInd/>
        <w:snapToGrid/>
        <w:spacing w:after="0" w:afterLines="0" w:line="360" w:lineRule="auto"/>
        <w:ind w:firstLine="210" w:firstLineChars="1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w:t>
      </w:r>
      <w:r>
        <w:rPr>
          <w:rFonts w:hint="eastAsia" w:ascii="宋体" w:hAnsi="宋体" w:eastAsia="宋体" w:cs="宋体"/>
          <w:b w:val="0"/>
          <w:bCs w:val="0"/>
          <w:color w:val="auto"/>
          <w:sz w:val="21"/>
          <w:szCs w:val="21"/>
          <w:highlight w:val="none"/>
          <w:lang w:val="en-US" w:eastAsia="zh-CN"/>
        </w:rPr>
        <w:t xml:space="preserve">5 </w:t>
      </w:r>
      <w:r>
        <w:rPr>
          <w:rFonts w:hint="eastAsia" w:ascii="宋体" w:hAnsi="宋体" w:eastAsia="宋体" w:cs="宋体"/>
          <w:b w:val="0"/>
          <w:bCs w:val="0"/>
          <w:color w:val="auto"/>
          <w:sz w:val="21"/>
          <w:szCs w:val="21"/>
          <w:highlight w:val="none"/>
        </w:rPr>
        <w:t>合同文件的优先顺序</w:t>
      </w:r>
    </w:p>
    <w:p w14:paraId="31318643">
      <w:pPr>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合同文件组成及优先顺序为：</w:t>
      </w:r>
      <w:r>
        <w:rPr>
          <w:rFonts w:hint="eastAsia" w:ascii="宋体" w:hAnsi="宋体" w:eastAsia="宋体" w:cs="宋体"/>
          <w:color w:val="auto"/>
          <w:sz w:val="21"/>
          <w:szCs w:val="21"/>
          <w:highlight w:val="none"/>
          <w:u w:val="single"/>
        </w:rPr>
        <w:t>以本合同协议书约定为准</w:t>
      </w:r>
      <w:r>
        <w:rPr>
          <w:rFonts w:hint="eastAsia" w:ascii="宋体" w:hAnsi="宋体" w:eastAsia="宋体" w:cs="宋体"/>
          <w:color w:val="auto"/>
          <w:sz w:val="21"/>
          <w:szCs w:val="21"/>
          <w:highlight w:val="none"/>
        </w:rPr>
        <w:t>。</w:t>
      </w:r>
    </w:p>
    <w:p w14:paraId="1FE0CB34">
      <w:pPr>
        <w:pStyle w:val="5"/>
        <w:keepNext/>
        <w:keepLines/>
        <w:pageBreakBefore w:val="0"/>
        <w:widowControl w:val="0"/>
        <w:kinsoku/>
        <w:wordWrap/>
        <w:overflowPunct/>
        <w:topLinePunct w:val="0"/>
        <w:autoSpaceDE/>
        <w:autoSpaceDN/>
        <w:bidi w:val="0"/>
        <w:adjustRightInd/>
        <w:snapToGrid/>
        <w:spacing w:after="0" w:afterLines="0" w:line="360" w:lineRule="auto"/>
        <w:ind w:left="0" w:leftChars="0" w:firstLine="210" w:firstLineChars="100"/>
        <w:textAlignment w:val="auto"/>
        <w:rPr>
          <w:rFonts w:hint="eastAsia" w:ascii="宋体" w:hAnsi="宋体" w:eastAsia="宋体" w:cs="宋体"/>
          <w:b w:val="0"/>
          <w:bCs/>
          <w:color w:val="auto"/>
          <w:kern w:val="2"/>
          <w:sz w:val="21"/>
          <w:szCs w:val="21"/>
          <w:highlight w:val="none"/>
          <w:lang w:val="en-US" w:eastAsia="zh-CN" w:bidi="ar-SA"/>
        </w:rPr>
      </w:pPr>
      <w:bookmarkStart w:id="134" w:name="_Toc29354"/>
      <w:bookmarkStart w:id="135" w:name="_Toc13570"/>
      <w:r>
        <w:rPr>
          <w:rFonts w:hint="eastAsia" w:ascii="宋体" w:hAnsi="宋体" w:eastAsia="宋体" w:cs="宋体"/>
          <w:b w:val="0"/>
          <w:bCs/>
          <w:color w:val="auto"/>
          <w:kern w:val="2"/>
          <w:sz w:val="21"/>
          <w:szCs w:val="21"/>
          <w:highlight w:val="none"/>
          <w:lang w:val="en-US" w:eastAsia="zh-CN" w:bidi="ar-SA"/>
        </w:rPr>
        <w:t>1.6 图纸和承包人文件</w:t>
      </w:r>
      <w:bookmarkEnd w:id="134"/>
      <w:bookmarkEnd w:id="135"/>
    </w:p>
    <w:p w14:paraId="407B6E80">
      <w:pPr>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1.6.4 承包人文件</w:t>
      </w:r>
    </w:p>
    <w:p w14:paraId="36409A9E">
      <w:pPr>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承包人应按下表要求提交相应文件（以下时间节点只作为发包人把控进度的时间安排，承包人须自行安排承包范围内各项工作交叉时间，且必须保证合同总工期）：</w:t>
      </w:r>
    </w:p>
    <w:tbl>
      <w:tblPr>
        <w:tblStyle w:val="35"/>
        <w:tblW w:w="8977" w:type="dxa"/>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618"/>
        <w:gridCol w:w="1698"/>
        <w:gridCol w:w="2723"/>
        <w:gridCol w:w="1211"/>
      </w:tblGrid>
      <w:tr w14:paraId="6A48C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7" w:type="dxa"/>
            <w:noWrap w:val="0"/>
            <w:vAlign w:val="top"/>
          </w:tcPr>
          <w:p w14:paraId="56742C6B">
            <w:pPr>
              <w:pStyle w:val="19"/>
              <w:pageBreakBefore w:val="0"/>
              <w:kinsoku/>
              <w:overflowPunct/>
              <w:bidi w:val="0"/>
              <w:adjustRightInd w:val="0"/>
              <w:snapToGrid w:val="0"/>
              <w:spacing w:after="0" w:afterLines="0" w:line="360" w:lineRule="auto"/>
              <w:ind w:left="0" w:leftChars="0" w:firstLine="0" w:firstLineChars="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2618" w:type="dxa"/>
            <w:noWrap w:val="0"/>
            <w:vAlign w:val="top"/>
          </w:tcPr>
          <w:p w14:paraId="5A85C343">
            <w:pPr>
              <w:pStyle w:val="19"/>
              <w:pageBreakBefore w:val="0"/>
              <w:kinsoku/>
              <w:overflowPunct/>
              <w:bidi w:val="0"/>
              <w:adjustRightInd w:val="0"/>
              <w:snapToGrid w:val="0"/>
              <w:spacing w:after="0" w:afterLines="0" w:line="360" w:lineRule="auto"/>
              <w:ind w:left="0" w:leftChars="0" w:firstLine="0" w:firstLineChars="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资料及文件名称</w:t>
            </w:r>
          </w:p>
        </w:tc>
        <w:tc>
          <w:tcPr>
            <w:tcW w:w="1698" w:type="dxa"/>
            <w:noWrap w:val="0"/>
            <w:vAlign w:val="top"/>
          </w:tcPr>
          <w:p w14:paraId="46CAF1A9">
            <w:pPr>
              <w:pStyle w:val="19"/>
              <w:pageBreakBefore w:val="0"/>
              <w:kinsoku/>
              <w:overflowPunct/>
              <w:bidi w:val="0"/>
              <w:adjustRightInd w:val="0"/>
              <w:snapToGrid w:val="0"/>
              <w:spacing w:after="0" w:afterLines="0" w:line="360" w:lineRule="auto"/>
              <w:ind w:left="0" w:leftChars="0" w:firstLine="0" w:firstLineChars="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份数</w:t>
            </w:r>
          </w:p>
        </w:tc>
        <w:tc>
          <w:tcPr>
            <w:tcW w:w="2723" w:type="dxa"/>
            <w:noWrap w:val="0"/>
            <w:vAlign w:val="top"/>
          </w:tcPr>
          <w:p w14:paraId="547A49EC">
            <w:pPr>
              <w:pStyle w:val="19"/>
              <w:pageBreakBefore w:val="0"/>
              <w:kinsoku/>
              <w:overflowPunct/>
              <w:bidi w:val="0"/>
              <w:adjustRightInd w:val="0"/>
              <w:snapToGrid w:val="0"/>
              <w:spacing w:after="0" w:afterLines="0" w:line="360" w:lineRule="auto"/>
              <w:ind w:left="0" w:leftChars="0" w:firstLine="0" w:firstLineChars="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提交日期</w:t>
            </w:r>
          </w:p>
        </w:tc>
        <w:tc>
          <w:tcPr>
            <w:tcW w:w="1211" w:type="dxa"/>
            <w:noWrap w:val="0"/>
            <w:vAlign w:val="top"/>
          </w:tcPr>
          <w:p w14:paraId="66BB8830">
            <w:pPr>
              <w:pStyle w:val="19"/>
              <w:pageBreakBefore w:val="0"/>
              <w:kinsoku/>
              <w:overflowPunct/>
              <w:bidi w:val="0"/>
              <w:adjustRightInd w:val="0"/>
              <w:snapToGrid w:val="0"/>
              <w:spacing w:after="0" w:afterLines="0" w:line="360" w:lineRule="auto"/>
              <w:ind w:left="0" w:leftChars="0" w:firstLine="0" w:firstLineChars="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有关事宜</w:t>
            </w:r>
          </w:p>
        </w:tc>
      </w:tr>
      <w:tr w14:paraId="67297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7" w:type="dxa"/>
            <w:noWrap w:val="0"/>
            <w:vAlign w:val="center"/>
          </w:tcPr>
          <w:p w14:paraId="385ABF85">
            <w:pPr>
              <w:pStyle w:val="19"/>
              <w:pageBreakBefore w:val="0"/>
              <w:kinsoku/>
              <w:overflowPunct/>
              <w:bidi w:val="0"/>
              <w:adjustRightInd w:val="0"/>
              <w:snapToGrid w:val="0"/>
              <w:spacing w:after="0" w:afterLines="0" w:line="360" w:lineRule="auto"/>
              <w:ind w:left="0" w:leftChars="0" w:firstLine="0" w:firstLineChars="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w:t>
            </w:r>
          </w:p>
        </w:tc>
        <w:tc>
          <w:tcPr>
            <w:tcW w:w="2618" w:type="dxa"/>
            <w:noWrap w:val="0"/>
            <w:vAlign w:val="center"/>
          </w:tcPr>
          <w:p w14:paraId="7574A844">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施工组织设计</w:t>
            </w:r>
          </w:p>
        </w:tc>
        <w:tc>
          <w:tcPr>
            <w:tcW w:w="1698" w:type="dxa"/>
            <w:vMerge w:val="restart"/>
            <w:noWrap w:val="0"/>
            <w:vAlign w:val="center"/>
          </w:tcPr>
          <w:p w14:paraId="035D1244">
            <w:pPr>
              <w:pStyle w:val="19"/>
              <w:pageBreakBefore w:val="0"/>
              <w:kinsoku/>
              <w:overflowPunct/>
              <w:bidi w:val="0"/>
              <w:adjustRightInd w:val="0"/>
              <w:snapToGrid w:val="0"/>
              <w:spacing w:after="0" w:afterLines="0" w:line="360" w:lineRule="auto"/>
              <w:ind w:left="0" w:leftChars="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2723" w:type="dxa"/>
            <w:noWrap w:val="0"/>
            <w:vAlign w:val="center"/>
          </w:tcPr>
          <w:p w14:paraId="657D04DB">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施工图图审通过后10个日历日</w:t>
            </w:r>
          </w:p>
        </w:tc>
        <w:tc>
          <w:tcPr>
            <w:tcW w:w="1211" w:type="dxa"/>
            <w:vMerge w:val="restart"/>
            <w:noWrap w:val="0"/>
            <w:vAlign w:val="top"/>
          </w:tcPr>
          <w:p w14:paraId="241AB1D0">
            <w:pPr>
              <w:pStyle w:val="19"/>
              <w:pageBreakBefore w:val="0"/>
              <w:kinsoku/>
              <w:overflowPunct/>
              <w:bidi w:val="0"/>
              <w:adjustRightInd w:val="0"/>
              <w:snapToGrid w:val="0"/>
              <w:spacing w:after="0" w:afterLines="0" w:line="360" w:lineRule="auto"/>
              <w:jc w:val="center"/>
              <w:textAlignment w:val="auto"/>
              <w:rPr>
                <w:rFonts w:hint="eastAsia" w:ascii="宋体" w:hAnsi="宋体" w:eastAsia="宋体" w:cs="宋体"/>
                <w:color w:val="auto"/>
                <w:sz w:val="21"/>
                <w:szCs w:val="21"/>
                <w:highlight w:val="none"/>
              </w:rPr>
            </w:pPr>
          </w:p>
        </w:tc>
      </w:tr>
      <w:tr w14:paraId="7B4E4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7" w:type="dxa"/>
            <w:noWrap w:val="0"/>
            <w:vAlign w:val="center"/>
          </w:tcPr>
          <w:p w14:paraId="1BD70FED">
            <w:pPr>
              <w:pStyle w:val="19"/>
              <w:pageBreakBefore w:val="0"/>
              <w:kinsoku/>
              <w:overflowPunct/>
              <w:bidi w:val="0"/>
              <w:adjustRightInd w:val="0"/>
              <w:snapToGrid w:val="0"/>
              <w:spacing w:after="0" w:afterLines="0" w:line="360" w:lineRule="auto"/>
              <w:ind w:left="0" w:leftChars="0" w:firstLine="0" w:firstLineChars="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w:t>
            </w:r>
          </w:p>
        </w:tc>
        <w:tc>
          <w:tcPr>
            <w:tcW w:w="2618" w:type="dxa"/>
            <w:noWrap w:val="0"/>
            <w:vAlign w:val="center"/>
          </w:tcPr>
          <w:p w14:paraId="61F0BA66">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设备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材料</w:t>
            </w:r>
            <w:r>
              <w:rPr>
                <w:rFonts w:hint="eastAsia" w:ascii="宋体" w:hAnsi="宋体" w:eastAsia="宋体" w:cs="宋体"/>
                <w:color w:val="auto"/>
                <w:sz w:val="21"/>
                <w:szCs w:val="21"/>
                <w:highlight w:val="none"/>
              </w:rPr>
              <w:t>采购方案</w:t>
            </w:r>
            <w:r>
              <w:rPr>
                <w:rFonts w:hint="eastAsia" w:ascii="宋体" w:hAnsi="宋体" w:eastAsia="宋体" w:cs="宋体"/>
                <w:color w:val="auto"/>
                <w:sz w:val="21"/>
                <w:szCs w:val="21"/>
                <w:highlight w:val="none"/>
                <w:lang w:val="en-US" w:eastAsia="zh-CN"/>
              </w:rPr>
              <w:t>或计划</w:t>
            </w:r>
          </w:p>
        </w:tc>
        <w:tc>
          <w:tcPr>
            <w:tcW w:w="1698" w:type="dxa"/>
            <w:vMerge w:val="continue"/>
            <w:noWrap w:val="0"/>
            <w:vAlign w:val="center"/>
          </w:tcPr>
          <w:p w14:paraId="084A97D5">
            <w:pPr>
              <w:pStyle w:val="19"/>
              <w:pageBreakBefore w:val="0"/>
              <w:kinsoku/>
              <w:overflowPunct/>
              <w:bidi w:val="0"/>
              <w:adjustRightInd w:val="0"/>
              <w:snapToGrid w:val="0"/>
              <w:spacing w:after="0" w:afterLines="0" w:line="360" w:lineRule="auto"/>
              <w:textAlignment w:val="auto"/>
              <w:rPr>
                <w:rFonts w:hint="eastAsia" w:ascii="宋体" w:hAnsi="宋体" w:eastAsia="宋体" w:cs="宋体"/>
                <w:color w:val="auto"/>
                <w:sz w:val="21"/>
                <w:szCs w:val="21"/>
                <w:highlight w:val="none"/>
              </w:rPr>
            </w:pPr>
          </w:p>
        </w:tc>
        <w:tc>
          <w:tcPr>
            <w:tcW w:w="2723" w:type="dxa"/>
            <w:noWrap w:val="0"/>
            <w:vAlign w:val="center"/>
          </w:tcPr>
          <w:p w14:paraId="32A546D0">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施工图图审通过后10个日历日</w:t>
            </w:r>
          </w:p>
        </w:tc>
        <w:tc>
          <w:tcPr>
            <w:tcW w:w="1211" w:type="dxa"/>
            <w:vMerge w:val="continue"/>
            <w:noWrap w:val="0"/>
            <w:vAlign w:val="top"/>
          </w:tcPr>
          <w:p w14:paraId="2D436032">
            <w:pPr>
              <w:pStyle w:val="19"/>
              <w:pageBreakBefore w:val="0"/>
              <w:kinsoku/>
              <w:overflowPunct/>
              <w:bidi w:val="0"/>
              <w:adjustRightInd w:val="0"/>
              <w:snapToGrid w:val="0"/>
              <w:spacing w:after="0" w:afterLines="0" w:line="360" w:lineRule="auto"/>
              <w:jc w:val="center"/>
              <w:textAlignment w:val="auto"/>
              <w:rPr>
                <w:rFonts w:hint="eastAsia" w:ascii="宋体" w:hAnsi="宋体" w:eastAsia="宋体" w:cs="宋体"/>
                <w:color w:val="auto"/>
                <w:sz w:val="21"/>
                <w:szCs w:val="21"/>
                <w:highlight w:val="none"/>
              </w:rPr>
            </w:pPr>
          </w:p>
        </w:tc>
      </w:tr>
      <w:tr w14:paraId="40265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7" w:type="dxa"/>
            <w:noWrap w:val="0"/>
            <w:vAlign w:val="center"/>
          </w:tcPr>
          <w:p w14:paraId="27AE4FC2">
            <w:pPr>
              <w:pStyle w:val="19"/>
              <w:pageBreakBefore w:val="0"/>
              <w:kinsoku/>
              <w:overflowPunct/>
              <w:bidi w:val="0"/>
              <w:adjustRightInd w:val="0"/>
              <w:snapToGrid w:val="0"/>
              <w:spacing w:after="0" w:afterLines="0" w:line="360" w:lineRule="auto"/>
              <w:ind w:left="0" w:leftChars="0" w:firstLine="0" w:firstLineChars="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3</w:t>
            </w:r>
          </w:p>
        </w:tc>
        <w:tc>
          <w:tcPr>
            <w:tcW w:w="2618" w:type="dxa"/>
            <w:noWrap w:val="0"/>
            <w:vAlign w:val="center"/>
          </w:tcPr>
          <w:p w14:paraId="6D4B170A">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专项施工方案</w:t>
            </w:r>
          </w:p>
        </w:tc>
        <w:tc>
          <w:tcPr>
            <w:tcW w:w="1698" w:type="dxa"/>
            <w:vMerge w:val="continue"/>
            <w:noWrap w:val="0"/>
            <w:vAlign w:val="center"/>
          </w:tcPr>
          <w:p w14:paraId="18B6B78C">
            <w:pPr>
              <w:pStyle w:val="19"/>
              <w:pageBreakBefore w:val="0"/>
              <w:kinsoku/>
              <w:overflowPunct/>
              <w:bidi w:val="0"/>
              <w:adjustRightInd w:val="0"/>
              <w:snapToGrid w:val="0"/>
              <w:spacing w:after="0" w:afterLines="0" w:line="360" w:lineRule="auto"/>
              <w:textAlignment w:val="auto"/>
              <w:rPr>
                <w:rFonts w:hint="eastAsia" w:ascii="宋体" w:hAnsi="宋体" w:eastAsia="宋体" w:cs="宋体"/>
                <w:color w:val="auto"/>
                <w:sz w:val="21"/>
                <w:szCs w:val="21"/>
                <w:highlight w:val="none"/>
              </w:rPr>
            </w:pPr>
          </w:p>
        </w:tc>
        <w:tc>
          <w:tcPr>
            <w:tcW w:w="2723" w:type="dxa"/>
            <w:noWrap w:val="0"/>
            <w:vAlign w:val="center"/>
          </w:tcPr>
          <w:p w14:paraId="40CC04DE">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专项工程施工前5个日历日</w:t>
            </w:r>
          </w:p>
        </w:tc>
        <w:tc>
          <w:tcPr>
            <w:tcW w:w="1211" w:type="dxa"/>
            <w:vMerge w:val="continue"/>
            <w:noWrap w:val="0"/>
            <w:vAlign w:val="top"/>
          </w:tcPr>
          <w:p w14:paraId="764B6831">
            <w:pPr>
              <w:pStyle w:val="19"/>
              <w:pageBreakBefore w:val="0"/>
              <w:kinsoku/>
              <w:overflowPunct/>
              <w:bidi w:val="0"/>
              <w:adjustRightInd w:val="0"/>
              <w:snapToGrid w:val="0"/>
              <w:spacing w:after="0" w:afterLines="0" w:line="360" w:lineRule="auto"/>
              <w:jc w:val="center"/>
              <w:textAlignment w:val="auto"/>
              <w:rPr>
                <w:rFonts w:hint="eastAsia" w:ascii="宋体" w:hAnsi="宋体" w:eastAsia="宋体" w:cs="宋体"/>
                <w:color w:val="auto"/>
                <w:sz w:val="21"/>
                <w:szCs w:val="21"/>
                <w:highlight w:val="none"/>
              </w:rPr>
            </w:pPr>
          </w:p>
        </w:tc>
      </w:tr>
      <w:tr w14:paraId="58DFA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727" w:type="dxa"/>
            <w:noWrap w:val="0"/>
            <w:vAlign w:val="center"/>
          </w:tcPr>
          <w:p w14:paraId="6A828DC2">
            <w:pPr>
              <w:pStyle w:val="19"/>
              <w:pageBreakBefore w:val="0"/>
              <w:kinsoku/>
              <w:overflowPunct/>
              <w:bidi w:val="0"/>
              <w:adjustRightInd w:val="0"/>
              <w:snapToGrid w:val="0"/>
              <w:spacing w:after="0" w:afterLines="0" w:line="360" w:lineRule="auto"/>
              <w:ind w:left="0" w:leftChars="0" w:firstLine="0" w:firstLineChars="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4</w:t>
            </w:r>
          </w:p>
        </w:tc>
        <w:tc>
          <w:tcPr>
            <w:tcW w:w="2618" w:type="dxa"/>
            <w:noWrap w:val="0"/>
            <w:vAlign w:val="center"/>
          </w:tcPr>
          <w:p w14:paraId="30053F28">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月度工程统计报表及次月计划报表</w:t>
            </w:r>
          </w:p>
        </w:tc>
        <w:tc>
          <w:tcPr>
            <w:tcW w:w="1698" w:type="dxa"/>
            <w:vMerge w:val="continue"/>
            <w:noWrap w:val="0"/>
            <w:vAlign w:val="center"/>
          </w:tcPr>
          <w:p w14:paraId="7A40F08A">
            <w:pPr>
              <w:pStyle w:val="19"/>
              <w:pageBreakBefore w:val="0"/>
              <w:kinsoku/>
              <w:overflowPunct/>
              <w:bidi w:val="0"/>
              <w:adjustRightInd w:val="0"/>
              <w:snapToGrid w:val="0"/>
              <w:spacing w:after="0" w:afterLines="0" w:line="360" w:lineRule="auto"/>
              <w:textAlignment w:val="auto"/>
              <w:rPr>
                <w:rFonts w:hint="eastAsia" w:ascii="宋体" w:hAnsi="宋体" w:eastAsia="宋体" w:cs="宋体"/>
                <w:color w:val="auto"/>
                <w:sz w:val="21"/>
                <w:szCs w:val="21"/>
                <w:highlight w:val="none"/>
              </w:rPr>
            </w:pPr>
          </w:p>
        </w:tc>
        <w:tc>
          <w:tcPr>
            <w:tcW w:w="2723" w:type="dxa"/>
            <w:noWrap w:val="0"/>
            <w:vAlign w:val="center"/>
          </w:tcPr>
          <w:p w14:paraId="23742D54">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每月25日前提交</w:t>
            </w:r>
          </w:p>
        </w:tc>
        <w:tc>
          <w:tcPr>
            <w:tcW w:w="1211" w:type="dxa"/>
            <w:vMerge w:val="continue"/>
            <w:noWrap w:val="0"/>
            <w:vAlign w:val="top"/>
          </w:tcPr>
          <w:p w14:paraId="33D0A845">
            <w:pPr>
              <w:pStyle w:val="19"/>
              <w:pageBreakBefore w:val="0"/>
              <w:kinsoku/>
              <w:overflowPunct/>
              <w:bidi w:val="0"/>
              <w:adjustRightInd w:val="0"/>
              <w:snapToGrid w:val="0"/>
              <w:spacing w:after="0" w:afterLines="0" w:line="360" w:lineRule="auto"/>
              <w:jc w:val="center"/>
              <w:textAlignment w:val="auto"/>
              <w:rPr>
                <w:rFonts w:hint="eastAsia" w:ascii="宋体" w:hAnsi="宋体" w:eastAsia="宋体" w:cs="宋体"/>
                <w:color w:val="auto"/>
                <w:sz w:val="21"/>
                <w:szCs w:val="21"/>
                <w:highlight w:val="none"/>
              </w:rPr>
            </w:pPr>
          </w:p>
        </w:tc>
      </w:tr>
      <w:tr w14:paraId="02AB8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727" w:type="dxa"/>
            <w:noWrap w:val="0"/>
            <w:vAlign w:val="center"/>
          </w:tcPr>
          <w:p w14:paraId="3DEE251C">
            <w:pPr>
              <w:pStyle w:val="19"/>
              <w:pageBreakBefore w:val="0"/>
              <w:kinsoku/>
              <w:overflowPunct/>
              <w:bidi w:val="0"/>
              <w:adjustRightInd w:val="0"/>
              <w:snapToGrid w:val="0"/>
              <w:spacing w:after="0" w:afterLines="0" w:line="360" w:lineRule="auto"/>
              <w:ind w:left="0" w:leftChars="0" w:firstLine="0" w:firstLineChars="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w:t>
            </w:r>
          </w:p>
        </w:tc>
        <w:tc>
          <w:tcPr>
            <w:tcW w:w="2618" w:type="dxa"/>
            <w:noWrap w:val="0"/>
            <w:vAlign w:val="center"/>
          </w:tcPr>
          <w:p w14:paraId="63F1832B">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材料、设备进场报验材料</w:t>
            </w:r>
          </w:p>
        </w:tc>
        <w:tc>
          <w:tcPr>
            <w:tcW w:w="1698" w:type="dxa"/>
            <w:vMerge w:val="restart"/>
            <w:noWrap w:val="0"/>
            <w:vAlign w:val="center"/>
          </w:tcPr>
          <w:p w14:paraId="0DE6E639">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纸质版一式两套，电子版一份</w:t>
            </w:r>
          </w:p>
        </w:tc>
        <w:tc>
          <w:tcPr>
            <w:tcW w:w="2723" w:type="dxa"/>
            <w:noWrap w:val="0"/>
            <w:vAlign w:val="center"/>
          </w:tcPr>
          <w:p w14:paraId="26D7CF06">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材料进场使用前</w:t>
            </w:r>
          </w:p>
        </w:tc>
        <w:tc>
          <w:tcPr>
            <w:tcW w:w="1211" w:type="dxa"/>
            <w:vMerge w:val="continue"/>
            <w:noWrap w:val="0"/>
            <w:vAlign w:val="top"/>
          </w:tcPr>
          <w:p w14:paraId="2A44F4C7">
            <w:pPr>
              <w:pStyle w:val="19"/>
              <w:pageBreakBefore w:val="0"/>
              <w:kinsoku/>
              <w:overflowPunct/>
              <w:bidi w:val="0"/>
              <w:adjustRightInd w:val="0"/>
              <w:snapToGrid w:val="0"/>
              <w:spacing w:after="0" w:afterLines="0" w:line="360" w:lineRule="auto"/>
              <w:jc w:val="center"/>
              <w:textAlignment w:val="auto"/>
              <w:rPr>
                <w:rFonts w:hint="eastAsia" w:ascii="宋体" w:hAnsi="宋体" w:eastAsia="宋体" w:cs="宋体"/>
                <w:color w:val="auto"/>
                <w:sz w:val="21"/>
                <w:szCs w:val="21"/>
                <w:highlight w:val="none"/>
              </w:rPr>
            </w:pPr>
          </w:p>
        </w:tc>
      </w:tr>
      <w:tr w14:paraId="0F5FF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727" w:type="dxa"/>
            <w:noWrap w:val="0"/>
            <w:vAlign w:val="center"/>
          </w:tcPr>
          <w:p w14:paraId="6511EE94">
            <w:pPr>
              <w:pStyle w:val="19"/>
              <w:pageBreakBefore w:val="0"/>
              <w:kinsoku/>
              <w:overflowPunct/>
              <w:bidi w:val="0"/>
              <w:adjustRightInd w:val="0"/>
              <w:snapToGrid w:val="0"/>
              <w:spacing w:after="0" w:afterLines="0" w:line="360" w:lineRule="auto"/>
              <w:ind w:left="0" w:leftChars="0" w:firstLine="0" w:firstLineChars="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6</w:t>
            </w:r>
          </w:p>
        </w:tc>
        <w:tc>
          <w:tcPr>
            <w:tcW w:w="2618" w:type="dxa"/>
            <w:noWrap w:val="0"/>
            <w:vAlign w:val="center"/>
          </w:tcPr>
          <w:p w14:paraId="3BB7D9C3">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检验检测报告、备案审查文件</w:t>
            </w:r>
          </w:p>
        </w:tc>
        <w:tc>
          <w:tcPr>
            <w:tcW w:w="1698" w:type="dxa"/>
            <w:vMerge w:val="continue"/>
            <w:noWrap w:val="0"/>
            <w:vAlign w:val="center"/>
          </w:tcPr>
          <w:p w14:paraId="2762744F">
            <w:pPr>
              <w:pStyle w:val="19"/>
              <w:pageBreakBefore w:val="0"/>
              <w:kinsoku/>
              <w:overflowPunct/>
              <w:bidi w:val="0"/>
              <w:adjustRightInd w:val="0"/>
              <w:snapToGrid w:val="0"/>
              <w:spacing w:after="0" w:afterLines="0" w:line="360" w:lineRule="auto"/>
              <w:textAlignment w:val="auto"/>
              <w:rPr>
                <w:rFonts w:hint="eastAsia" w:ascii="宋体" w:hAnsi="宋体" w:eastAsia="宋体" w:cs="宋体"/>
                <w:color w:val="auto"/>
                <w:sz w:val="21"/>
                <w:szCs w:val="21"/>
                <w:highlight w:val="none"/>
              </w:rPr>
            </w:pPr>
          </w:p>
        </w:tc>
        <w:tc>
          <w:tcPr>
            <w:tcW w:w="2723" w:type="dxa"/>
            <w:noWrap w:val="0"/>
            <w:vAlign w:val="center"/>
          </w:tcPr>
          <w:p w14:paraId="4462864C">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检验检测或备案审查后5个日历日</w:t>
            </w:r>
          </w:p>
        </w:tc>
        <w:tc>
          <w:tcPr>
            <w:tcW w:w="1211" w:type="dxa"/>
            <w:vMerge w:val="continue"/>
            <w:noWrap w:val="0"/>
            <w:vAlign w:val="top"/>
          </w:tcPr>
          <w:p w14:paraId="118D70B3">
            <w:pPr>
              <w:pStyle w:val="19"/>
              <w:pageBreakBefore w:val="0"/>
              <w:kinsoku/>
              <w:overflowPunct/>
              <w:bidi w:val="0"/>
              <w:adjustRightInd w:val="0"/>
              <w:snapToGrid w:val="0"/>
              <w:spacing w:after="0" w:afterLines="0" w:line="360" w:lineRule="auto"/>
              <w:jc w:val="center"/>
              <w:textAlignment w:val="auto"/>
              <w:rPr>
                <w:rFonts w:hint="eastAsia" w:ascii="宋体" w:hAnsi="宋体" w:eastAsia="宋体" w:cs="宋体"/>
                <w:color w:val="auto"/>
                <w:sz w:val="21"/>
                <w:szCs w:val="21"/>
                <w:highlight w:val="none"/>
              </w:rPr>
            </w:pPr>
          </w:p>
        </w:tc>
      </w:tr>
      <w:tr w14:paraId="38743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727" w:type="dxa"/>
            <w:noWrap w:val="0"/>
            <w:vAlign w:val="center"/>
          </w:tcPr>
          <w:p w14:paraId="0DBF83A0">
            <w:pPr>
              <w:pStyle w:val="19"/>
              <w:pageBreakBefore w:val="0"/>
              <w:kinsoku/>
              <w:overflowPunct/>
              <w:bidi w:val="0"/>
              <w:adjustRightInd w:val="0"/>
              <w:snapToGrid w:val="0"/>
              <w:spacing w:after="0" w:afterLines="0" w:line="360" w:lineRule="auto"/>
              <w:ind w:left="0" w:leftChars="0" w:firstLine="0" w:firstLineChars="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7</w:t>
            </w:r>
          </w:p>
        </w:tc>
        <w:tc>
          <w:tcPr>
            <w:tcW w:w="2618" w:type="dxa"/>
            <w:noWrap w:val="0"/>
            <w:vAlign w:val="center"/>
          </w:tcPr>
          <w:p w14:paraId="643CA57B">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工程竣工验收备案资料</w:t>
            </w:r>
          </w:p>
        </w:tc>
        <w:tc>
          <w:tcPr>
            <w:tcW w:w="1698" w:type="dxa"/>
            <w:noWrap w:val="0"/>
            <w:vAlign w:val="center"/>
          </w:tcPr>
          <w:p w14:paraId="08C14907">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纸质版一式四套，可编辑电子版一份</w:t>
            </w:r>
          </w:p>
        </w:tc>
        <w:tc>
          <w:tcPr>
            <w:tcW w:w="2723" w:type="dxa"/>
            <w:noWrap w:val="0"/>
            <w:vAlign w:val="center"/>
          </w:tcPr>
          <w:p w14:paraId="3CCDA7EF">
            <w:pPr>
              <w:pStyle w:val="19"/>
              <w:pageBreakBefore w:val="0"/>
              <w:kinsoku/>
              <w:overflowPunct/>
              <w:bidi w:val="0"/>
              <w:adjustRightInd w:val="0"/>
              <w:snapToGrid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验收合格后30个日历日</w:t>
            </w:r>
          </w:p>
        </w:tc>
        <w:tc>
          <w:tcPr>
            <w:tcW w:w="1211" w:type="dxa"/>
            <w:vMerge w:val="continue"/>
            <w:noWrap w:val="0"/>
            <w:vAlign w:val="top"/>
          </w:tcPr>
          <w:p w14:paraId="721F0182">
            <w:pPr>
              <w:pStyle w:val="19"/>
              <w:pageBreakBefore w:val="0"/>
              <w:kinsoku/>
              <w:overflowPunct/>
              <w:bidi w:val="0"/>
              <w:adjustRightInd w:val="0"/>
              <w:snapToGrid w:val="0"/>
              <w:spacing w:after="0" w:afterLines="0" w:line="360" w:lineRule="auto"/>
              <w:jc w:val="center"/>
              <w:textAlignment w:val="auto"/>
              <w:rPr>
                <w:rFonts w:hint="eastAsia" w:ascii="宋体" w:hAnsi="宋体" w:eastAsia="宋体" w:cs="宋体"/>
                <w:color w:val="auto"/>
                <w:sz w:val="21"/>
                <w:szCs w:val="21"/>
                <w:highlight w:val="none"/>
              </w:rPr>
            </w:pPr>
          </w:p>
        </w:tc>
      </w:tr>
    </w:tbl>
    <w:p w14:paraId="33A7E4A8">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1.6.5 现场图纸准备</w:t>
      </w:r>
    </w:p>
    <w:p w14:paraId="186B6565">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关于现场图纸准备的约定：</w:t>
      </w:r>
      <w:r>
        <w:rPr>
          <w:rFonts w:hint="eastAsia" w:ascii="宋体" w:hAnsi="宋体" w:eastAsia="宋体" w:cs="宋体"/>
          <w:color w:val="auto"/>
          <w:sz w:val="21"/>
          <w:szCs w:val="21"/>
          <w:highlight w:val="none"/>
          <w:u w:val="single"/>
        </w:rPr>
        <w:t xml:space="preserve">承包人负责向发包人提供三套施工图，含电子版及CAD图纸 </w:t>
      </w:r>
      <w:r>
        <w:rPr>
          <w:rFonts w:hint="eastAsia" w:ascii="宋体" w:hAnsi="宋体" w:eastAsia="宋体" w:cs="宋体"/>
          <w:color w:val="auto"/>
          <w:sz w:val="21"/>
          <w:szCs w:val="21"/>
          <w:highlight w:val="none"/>
        </w:rPr>
        <w:t>。</w:t>
      </w:r>
    </w:p>
    <w:p w14:paraId="71401B6E">
      <w:pPr>
        <w:pStyle w:val="5"/>
        <w:keepNext/>
        <w:keepLines/>
        <w:pageBreakBefore w:val="0"/>
        <w:widowControl w:val="0"/>
        <w:kinsoku/>
        <w:wordWrap/>
        <w:overflowPunct/>
        <w:topLinePunct w:val="0"/>
        <w:autoSpaceDE/>
        <w:autoSpaceDN/>
        <w:bidi w:val="0"/>
        <w:adjustRightInd/>
        <w:snapToGrid/>
        <w:spacing w:after="0" w:afterLines="0" w:line="360" w:lineRule="auto"/>
        <w:ind w:left="0" w:leftChars="0" w:firstLine="210" w:firstLineChars="100"/>
        <w:textAlignment w:val="auto"/>
        <w:rPr>
          <w:rFonts w:hint="eastAsia" w:ascii="宋体" w:hAnsi="宋体" w:eastAsia="宋体" w:cs="宋体"/>
          <w:b w:val="0"/>
          <w:bCs/>
          <w:color w:val="auto"/>
          <w:kern w:val="2"/>
          <w:sz w:val="21"/>
          <w:szCs w:val="21"/>
          <w:highlight w:val="none"/>
          <w:lang w:val="en-US" w:eastAsia="zh-CN" w:bidi="ar-SA"/>
        </w:rPr>
      </w:pPr>
      <w:bookmarkStart w:id="136" w:name="_Toc21700"/>
      <w:bookmarkStart w:id="137" w:name="_Toc25319"/>
      <w:r>
        <w:rPr>
          <w:rFonts w:hint="eastAsia" w:ascii="宋体" w:hAnsi="宋体" w:eastAsia="宋体" w:cs="宋体"/>
          <w:b w:val="0"/>
          <w:bCs/>
          <w:color w:val="auto"/>
          <w:kern w:val="2"/>
          <w:sz w:val="21"/>
          <w:szCs w:val="21"/>
          <w:highlight w:val="none"/>
          <w:lang w:val="en-US" w:eastAsia="zh-CN" w:bidi="ar-SA"/>
        </w:rPr>
        <w:t>1.7 联络</w:t>
      </w:r>
      <w:bookmarkEnd w:id="136"/>
      <w:bookmarkEnd w:id="137"/>
    </w:p>
    <w:p w14:paraId="454B4F0F">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1.7.1发包人和承包人应当在事件发生后</w:t>
      </w:r>
      <w:r>
        <w:rPr>
          <w:rFonts w:hint="eastAsia" w:ascii="宋体" w:hAnsi="宋体" w:eastAsia="宋体" w:cs="宋体"/>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lang w:val="en-US" w:eastAsia="zh-CN" w:bidi="ar"/>
        </w:rPr>
        <w:t>天内将与合同有关的通知、批准、证明、证书、指示、指令、要求、请求、同意、意见、确定和决定等书面函件送达对方当事人。</w:t>
      </w:r>
    </w:p>
    <w:p w14:paraId="3DC8737F">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1.7.2 发包人接收文件的地点：</w:t>
      </w:r>
      <w:r>
        <w:rPr>
          <w:rFonts w:hint="eastAsia" w:ascii="宋体" w:hAnsi="宋体" w:eastAsia="宋体" w:cs="宋体"/>
          <w:color w:val="auto"/>
          <w:sz w:val="21"/>
          <w:szCs w:val="21"/>
          <w:highlight w:val="none"/>
          <w:u w:val="single"/>
        </w:rPr>
        <w:t xml:space="preserve">   项目所在地发包人</w:t>
      </w:r>
      <w:r>
        <w:rPr>
          <w:rFonts w:hint="eastAsia" w:ascii="宋体" w:hAnsi="宋体" w:eastAsia="宋体" w:cs="宋体"/>
          <w:color w:val="auto"/>
          <w:sz w:val="21"/>
          <w:szCs w:val="21"/>
          <w:highlight w:val="none"/>
          <w:u w:val="single"/>
          <w:lang w:val="en-US" w:eastAsia="zh-CN"/>
        </w:rPr>
        <w:t>办公地点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0"/>
          <w:sz w:val="21"/>
          <w:szCs w:val="21"/>
          <w:highlight w:val="none"/>
        </w:rPr>
        <w:t>。</w:t>
      </w:r>
    </w:p>
    <w:p w14:paraId="613DE837">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发包人指定的接收人为：</w:t>
      </w:r>
      <w:r>
        <w:rPr>
          <w:rFonts w:hint="eastAsia" w:ascii="宋体" w:hAnsi="宋体" w:eastAsia="宋体" w:cs="宋体"/>
          <w:color w:val="auto"/>
          <w:kern w:val="0"/>
          <w:sz w:val="21"/>
          <w:szCs w:val="21"/>
          <w:highlight w:val="none"/>
          <w:u w:val="single"/>
        </w:rPr>
        <w:t xml:space="preserve">    发包人项目经理    </w:t>
      </w:r>
      <w:r>
        <w:rPr>
          <w:rFonts w:hint="eastAsia" w:ascii="宋体" w:hAnsi="宋体" w:eastAsia="宋体" w:cs="宋体"/>
          <w:color w:val="auto"/>
          <w:kern w:val="0"/>
          <w:sz w:val="21"/>
          <w:szCs w:val="21"/>
          <w:highlight w:val="none"/>
        </w:rPr>
        <w:t>。</w:t>
      </w:r>
    </w:p>
    <w:p w14:paraId="60010880">
      <w:pPr>
        <w:pageBreakBefore w:val="0"/>
        <w:kinsoku/>
        <w:wordWrap/>
        <w:overflowPunct/>
        <w:topLinePunct w:val="0"/>
        <w:bidi w:val="0"/>
        <w:snapToGrid/>
        <w:spacing w:after="0" w:afterLines="0" w:line="360" w:lineRule="auto"/>
        <w:ind w:left="0" w:leftChars="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承包人接收文件的地点：</w:t>
      </w:r>
      <w:r>
        <w:rPr>
          <w:rFonts w:hint="eastAsia" w:ascii="宋体" w:hAnsi="宋体" w:eastAsia="宋体" w:cs="宋体"/>
          <w:color w:val="auto"/>
          <w:sz w:val="21"/>
          <w:szCs w:val="21"/>
          <w:highlight w:val="none"/>
          <w:u w:val="single"/>
        </w:rPr>
        <w:t xml:space="preserve">    项目所在地承包人项目部   </w:t>
      </w:r>
      <w:r>
        <w:rPr>
          <w:rFonts w:hint="eastAsia" w:ascii="宋体" w:hAnsi="宋体" w:eastAsia="宋体" w:cs="宋体"/>
          <w:color w:val="auto"/>
          <w:kern w:val="0"/>
          <w:sz w:val="21"/>
          <w:szCs w:val="21"/>
          <w:highlight w:val="none"/>
        </w:rPr>
        <w:t>。</w:t>
      </w:r>
    </w:p>
    <w:p w14:paraId="7A409077">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承包人指定的接收人为：</w:t>
      </w:r>
      <w:r>
        <w:rPr>
          <w:rFonts w:hint="eastAsia" w:ascii="宋体" w:hAnsi="宋体" w:eastAsia="宋体" w:cs="宋体"/>
          <w:color w:val="auto"/>
          <w:kern w:val="0"/>
          <w:sz w:val="21"/>
          <w:szCs w:val="21"/>
          <w:highlight w:val="none"/>
          <w:u w:val="single"/>
        </w:rPr>
        <w:t xml:space="preserve">    承包人项目经理或项目经理授权代表 </w:t>
      </w:r>
      <w:r>
        <w:rPr>
          <w:rFonts w:hint="eastAsia" w:ascii="宋体" w:hAnsi="宋体" w:eastAsia="宋体" w:cs="宋体"/>
          <w:color w:val="auto"/>
          <w:kern w:val="0"/>
          <w:sz w:val="21"/>
          <w:szCs w:val="21"/>
          <w:highlight w:val="none"/>
        </w:rPr>
        <w:t>。</w:t>
      </w:r>
    </w:p>
    <w:p w14:paraId="0290FBA8">
      <w:pPr>
        <w:pageBreakBefore w:val="0"/>
        <w:kinsoku/>
        <w:wordWrap/>
        <w:overflowPunct/>
        <w:topLinePunct w:val="0"/>
        <w:bidi w:val="0"/>
        <w:snapToGrid/>
        <w:spacing w:after="0" w:afterLines="0" w:line="360" w:lineRule="auto"/>
        <w:ind w:left="0" w:leftChars="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监理人接收文件的地点：</w:t>
      </w:r>
      <w:r>
        <w:rPr>
          <w:rFonts w:hint="eastAsia" w:ascii="宋体" w:hAnsi="宋体" w:eastAsia="宋体" w:cs="宋体"/>
          <w:color w:val="auto"/>
          <w:sz w:val="21"/>
          <w:szCs w:val="21"/>
          <w:highlight w:val="none"/>
          <w:u w:val="single"/>
        </w:rPr>
        <w:t xml:space="preserve">    项目所在地监理人办公</w:t>
      </w:r>
      <w:r>
        <w:rPr>
          <w:rFonts w:hint="eastAsia" w:ascii="宋体" w:hAnsi="宋体" w:eastAsia="宋体" w:cs="宋体"/>
          <w:color w:val="auto"/>
          <w:sz w:val="21"/>
          <w:szCs w:val="21"/>
          <w:highlight w:val="none"/>
          <w:u w:val="single"/>
          <w:lang w:val="en-US" w:eastAsia="zh-CN"/>
        </w:rPr>
        <w:t>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0"/>
          <w:sz w:val="21"/>
          <w:szCs w:val="21"/>
          <w:highlight w:val="none"/>
        </w:rPr>
        <w:t>。</w:t>
      </w:r>
    </w:p>
    <w:p w14:paraId="1B58EE4F">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监理人指定的接收人为：</w:t>
      </w:r>
      <w:r>
        <w:rPr>
          <w:rFonts w:hint="eastAsia" w:ascii="宋体" w:hAnsi="宋体" w:eastAsia="宋体" w:cs="宋体"/>
          <w:color w:val="auto"/>
          <w:kern w:val="0"/>
          <w:sz w:val="21"/>
          <w:szCs w:val="21"/>
          <w:highlight w:val="none"/>
          <w:u w:val="single"/>
        </w:rPr>
        <w:t xml:space="preserve">    项目总监理工程师 </w:t>
      </w:r>
      <w:r>
        <w:rPr>
          <w:rFonts w:hint="eastAsia" w:ascii="宋体" w:hAnsi="宋体" w:eastAsia="宋体" w:cs="宋体"/>
          <w:color w:val="auto"/>
          <w:kern w:val="0"/>
          <w:sz w:val="21"/>
          <w:szCs w:val="21"/>
          <w:highlight w:val="none"/>
        </w:rPr>
        <w:t>。</w:t>
      </w:r>
    </w:p>
    <w:p w14:paraId="61B877A9">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138" w:name="_Toc14939"/>
      <w:bookmarkStart w:id="139" w:name="_Toc25432"/>
      <w:bookmarkStart w:id="140" w:name="_Toc51829104"/>
      <w:r>
        <w:rPr>
          <w:rFonts w:hint="eastAsia" w:ascii="宋体" w:hAnsi="宋体" w:eastAsia="宋体" w:cs="宋体"/>
          <w:bCs w:val="0"/>
          <w:color w:val="auto"/>
          <w:kern w:val="2"/>
          <w:sz w:val="21"/>
          <w:szCs w:val="21"/>
          <w:highlight w:val="none"/>
          <w:lang w:val="en-US" w:eastAsia="zh-CN" w:bidi="ar-SA"/>
        </w:rPr>
        <w:t>1.10 交通运输</w:t>
      </w:r>
      <w:bookmarkEnd w:id="138"/>
      <w:bookmarkEnd w:id="139"/>
      <w:bookmarkEnd w:id="140"/>
    </w:p>
    <w:p w14:paraId="3CB342BE">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1.10.1 出入现场的权利</w:t>
      </w:r>
    </w:p>
    <w:p w14:paraId="71EB159F">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关于出入现场的权利的约定：</w:t>
      </w:r>
      <w:r>
        <w:rPr>
          <w:rFonts w:hint="eastAsia" w:ascii="宋体" w:hAnsi="宋体" w:eastAsia="宋体" w:cs="宋体"/>
          <w:color w:val="auto"/>
          <w:kern w:val="2"/>
          <w:sz w:val="21"/>
          <w:szCs w:val="21"/>
          <w:highlight w:val="none"/>
          <w:u w:val="single"/>
          <w:lang w:val="en-US" w:eastAsia="zh-CN" w:bidi="ar"/>
        </w:rPr>
        <w:t xml:space="preserve">承包人应根据施工需要，负责取得出入施工现场所需的批准手续和全部权利  </w:t>
      </w:r>
      <w:r>
        <w:rPr>
          <w:rFonts w:hint="eastAsia" w:ascii="宋体" w:hAnsi="宋体" w:eastAsia="宋体" w:cs="宋体"/>
          <w:color w:val="auto"/>
          <w:kern w:val="2"/>
          <w:sz w:val="21"/>
          <w:szCs w:val="21"/>
          <w:highlight w:val="none"/>
          <w:lang w:val="en-US" w:eastAsia="zh-CN" w:bidi="ar"/>
        </w:rPr>
        <w:t>。</w:t>
      </w:r>
    </w:p>
    <w:p w14:paraId="6BE8002F">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1.10.3 场内交通</w:t>
      </w:r>
    </w:p>
    <w:p w14:paraId="033A8DF0">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关于场外交通和场内交通的边界的约定：</w:t>
      </w:r>
      <w:r>
        <w:rPr>
          <w:rFonts w:hint="eastAsia" w:ascii="宋体" w:hAnsi="宋体" w:eastAsia="宋体" w:cs="宋体"/>
          <w:color w:val="auto"/>
          <w:kern w:val="2"/>
          <w:sz w:val="21"/>
          <w:szCs w:val="21"/>
          <w:highlight w:val="none"/>
          <w:u w:val="single"/>
          <w:lang w:val="en-US" w:eastAsia="zh-CN" w:bidi="ar"/>
        </w:rPr>
        <w:t>承包范围用地红线</w:t>
      </w:r>
      <w:r>
        <w:rPr>
          <w:rFonts w:hint="eastAsia" w:ascii="宋体" w:hAnsi="宋体" w:eastAsia="宋体" w:cs="宋体"/>
          <w:color w:val="auto"/>
          <w:kern w:val="2"/>
          <w:sz w:val="21"/>
          <w:szCs w:val="21"/>
          <w:highlight w:val="none"/>
          <w:lang w:val="en-US" w:eastAsia="zh-CN" w:bidi="ar"/>
        </w:rPr>
        <w:t>。</w:t>
      </w:r>
    </w:p>
    <w:p w14:paraId="1EA01E17">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关于发包人向承包人免费提供满足工程施工需要的场内道路和交通设施的约定：</w:t>
      </w:r>
      <w:r>
        <w:rPr>
          <w:rFonts w:hint="eastAsia" w:ascii="宋体" w:hAnsi="宋体" w:eastAsia="宋体" w:cs="宋体"/>
          <w:color w:val="auto"/>
          <w:kern w:val="2"/>
          <w:sz w:val="21"/>
          <w:szCs w:val="21"/>
          <w:highlight w:val="none"/>
          <w:u w:val="single"/>
          <w:lang w:val="en-US" w:eastAsia="zh-CN" w:bidi="ar"/>
        </w:rPr>
        <w:t>不提供</w:t>
      </w:r>
      <w:r>
        <w:rPr>
          <w:rFonts w:hint="eastAsia" w:ascii="宋体" w:hAnsi="宋体" w:eastAsia="宋体" w:cs="宋体"/>
          <w:color w:val="auto"/>
          <w:kern w:val="2"/>
          <w:sz w:val="21"/>
          <w:szCs w:val="21"/>
          <w:highlight w:val="none"/>
          <w:lang w:val="en-US" w:eastAsia="zh-CN" w:bidi="ar"/>
        </w:rPr>
        <w:t xml:space="preserve">。  </w:t>
      </w:r>
    </w:p>
    <w:p w14:paraId="2C66F988">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1.10.4超大件和超重件的运输</w:t>
      </w:r>
    </w:p>
    <w:p w14:paraId="04706703">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运输超大件或超重件所需的道路和桥梁临时加固改造费用和其他有关费用由</w:t>
      </w:r>
      <w:r>
        <w:rPr>
          <w:rFonts w:hint="eastAsia" w:ascii="宋体" w:hAnsi="宋体" w:eastAsia="宋体" w:cs="宋体"/>
          <w:color w:val="auto"/>
          <w:kern w:val="2"/>
          <w:sz w:val="21"/>
          <w:szCs w:val="21"/>
          <w:highlight w:val="none"/>
          <w:u w:val="single"/>
          <w:lang w:val="en-US" w:eastAsia="zh-CN" w:bidi="ar"/>
        </w:rPr>
        <w:t>承包人</w:t>
      </w:r>
      <w:r>
        <w:rPr>
          <w:rFonts w:hint="eastAsia" w:ascii="宋体" w:hAnsi="宋体" w:eastAsia="宋体" w:cs="宋体"/>
          <w:color w:val="auto"/>
          <w:kern w:val="2"/>
          <w:sz w:val="21"/>
          <w:szCs w:val="21"/>
          <w:highlight w:val="none"/>
          <w:lang w:val="en-US" w:eastAsia="zh-CN" w:bidi="ar"/>
        </w:rPr>
        <w:t>承担。</w:t>
      </w:r>
    </w:p>
    <w:p w14:paraId="73B3E8C5">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141" w:name="_Toc51829105"/>
      <w:bookmarkStart w:id="142" w:name="_Toc4997"/>
      <w:bookmarkStart w:id="143" w:name="_Toc24487"/>
      <w:r>
        <w:rPr>
          <w:rFonts w:hint="eastAsia" w:ascii="宋体" w:hAnsi="宋体" w:eastAsia="宋体" w:cs="宋体"/>
          <w:bCs w:val="0"/>
          <w:color w:val="auto"/>
          <w:kern w:val="2"/>
          <w:sz w:val="21"/>
          <w:szCs w:val="21"/>
          <w:highlight w:val="none"/>
          <w:lang w:val="en-US" w:eastAsia="zh-CN" w:bidi="ar-SA"/>
        </w:rPr>
        <w:t>1.11 知识产权</w:t>
      </w:r>
      <w:bookmarkEnd w:id="141"/>
      <w:bookmarkEnd w:id="142"/>
      <w:bookmarkEnd w:id="143"/>
    </w:p>
    <w:p w14:paraId="323DB99A">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kern w:val="2"/>
          <w:sz w:val="21"/>
          <w:szCs w:val="21"/>
          <w:highlight w:val="none"/>
          <w:u w:val="single"/>
          <w:lang w:val="en-US" w:eastAsia="zh-CN" w:bidi="ar"/>
        </w:rPr>
        <w:t xml:space="preserve">归发包人所有  </w:t>
      </w:r>
      <w:r>
        <w:rPr>
          <w:rFonts w:hint="eastAsia" w:ascii="宋体" w:hAnsi="宋体" w:eastAsia="宋体" w:cs="宋体"/>
          <w:color w:val="auto"/>
          <w:kern w:val="2"/>
          <w:sz w:val="21"/>
          <w:szCs w:val="21"/>
          <w:highlight w:val="none"/>
          <w:lang w:val="en-US" w:eastAsia="zh-CN" w:bidi="ar"/>
        </w:rPr>
        <w:t>。</w:t>
      </w:r>
    </w:p>
    <w:p w14:paraId="14864731">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关于发包人提供的上述文件的使用限制的要求：</w:t>
      </w:r>
      <w:r>
        <w:rPr>
          <w:rFonts w:hint="eastAsia" w:ascii="宋体" w:hAnsi="宋体" w:eastAsia="宋体" w:cs="宋体"/>
          <w:color w:val="auto"/>
          <w:kern w:val="2"/>
          <w:sz w:val="21"/>
          <w:szCs w:val="21"/>
          <w:highlight w:val="none"/>
          <w:u w:val="single"/>
          <w:lang w:val="en-US" w:eastAsia="zh-CN" w:bidi="ar"/>
        </w:rPr>
        <w:t>仅限于本项目</w:t>
      </w:r>
      <w:r>
        <w:rPr>
          <w:rFonts w:hint="eastAsia" w:ascii="宋体" w:hAnsi="宋体" w:eastAsia="宋体" w:cs="宋体"/>
          <w:color w:val="auto"/>
          <w:kern w:val="2"/>
          <w:sz w:val="21"/>
          <w:szCs w:val="21"/>
          <w:highlight w:val="none"/>
          <w:lang w:val="en-US" w:eastAsia="zh-CN" w:bidi="ar"/>
        </w:rPr>
        <w:t>。</w:t>
      </w:r>
    </w:p>
    <w:p w14:paraId="1C69CFD5">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17" w:leftChars="7" w:right="0" w:firstLine="405" w:firstLineChars="193"/>
        <w:jc w:val="both"/>
        <w:textAlignment w:val="auto"/>
        <w:rPr>
          <w:rFonts w:hint="eastAsia" w:ascii="宋体" w:hAnsi="宋体" w:eastAsia="宋体" w:cs="宋体"/>
          <w:color w:val="auto"/>
          <w:sz w:val="21"/>
          <w:szCs w:val="21"/>
          <w:highlight w:val="none"/>
          <w:u w:val="single"/>
          <w:lang w:val="en-US"/>
        </w:rPr>
      </w:pPr>
      <w:r>
        <w:rPr>
          <w:rFonts w:hint="eastAsia" w:ascii="宋体" w:hAnsi="宋体" w:eastAsia="宋体" w:cs="宋体"/>
          <w:color w:val="auto"/>
          <w:kern w:val="2"/>
          <w:sz w:val="21"/>
          <w:szCs w:val="21"/>
          <w:highlight w:val="none"/>
          <w:lang w:val="en-US" w:eastAsia="zh-CN" w:bidi="ar"/>
        </w:rPr>
        <w:t>1.11.2 关于承包人为实施工程所编制文件的著作权的归属：</w:t>
      </w:r>
      <w:r>
        <w:rPr>
          <w:rFonts w:hint="eastAsia" w:ascii="宋体" w:hAnsi="宋体" w:eastAsia="宋体" w:cs="宋体"/>
          <w:color w:val="auto"/>
          <w:kern w:val="2"/>
          <w:sz w:val="21"/>
          <w:szCs w:val="21"/>
          <w:highlight w:val="none"/>
          <w:u w:val="single"/>
          <w:lang w:val="en-US" w:eastAsia="zh-CN" w:bidi="ar"/>
        </w:rPr>
        <w:t>按通用条款执行</w:t>
      </w:r>
      <w:r>
        <w:rPr>
          <w:rFonts w:hint="eastAsia" w:ascii="宋体" w:hAnsi="宋体" w:eastAsia="宋体" w:cs="宋体"/>
          <w:color w:val="auto"/>
          <w:kern w:val="2"/>
          <w:sz w:val="21"/>
          <w:szCs w:val="21"/>
          <w:highlight w:val="none"/>
          <w:lang w:val="en-US" w:eastAsia="zh-CN" w:bidi="ar"/>
        </w:rPr>
        <w:t>。</w:t>
      </w:r>
    </w:p>
    <w:p w14:paraId="6BB3D5A7">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关于承包人提供的上述文件的使用限制的要求：</w:t>
      </w:r>
      <w:r>
        <w:rPr>
          <w:rFonts w:hint="eastAsia" w:ascii="宋体" w:hAnsi="宋体" w:eastAsia="宋体" w:cs="宋体"/>
          <w:color w:val="auto"/>
          <w:kern w:val="2"/>
          <w:sz w:val="21"/>
          <w:szCs w:val="21"/>
          <w:highlight w:val="none"/>
          <w:u w:val="single"/>
          <w:lang w:val="en-US" w:eastAsia="zh-CN" w:bidi="ar"/>
        </w:rPr>
        <w:t>按通用条款执行</w:t>
      </w:r>
      <w:r>
        <w:rPr>
          <w:rFonts w:hint="eastAsia" w:ascii="宋体" w:hAnsi="宋体" w:eastAsia="宋体" w:cs="宋体"/>
          <w:color w:val="auto"/>
          <w:kern w:val="2"/>
          <w:sz w:val="21"/>
          <w:szCs w:val="21"/>
          <w:highlight w:val="none"/>
          <w:lang w:val="en-US" w:eastAsia="zh-CN" w:bidi="ar"/>
        </w:rPr>
        <w:t>。</w:t>
      </w:r>
    </w:p>
    <w:p w14:paraId="7146FC2E">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1.11.4 承包人在施工过程中所采用的专利、专有技术、技术秘密的使用费的承担方式：</w:t>
      </w:r>
      <w:r>
        <w:rPr>
          <w:rFonts w:hint="eastAsia" w:ascii="宋体" w:hAnsi="宋体" w:eastAsia="宋体" w:cs="宋体"/>
          <w:color w:val="auto"/>
          <w:kern w:val="2"/>
          <w:sz w:val="21"/>
          <w:szCs w:val="21"/>
          <w:highlight w:val="none"/>
          <w:u w:val="single"/>
          <w:lang w:val="en-US" w:eastAsia="zh-CN" w:bidi="ar"/>
        </w:rPr>
        <w:t>由承包人承担</w:t>
      </w:r>
      <w:r>
        <w:rPr>
          <w:rFonts w:hint="eastAsia" w:ascii="宋体" w:hAnsi="宋体" w:eastAsia="宋体" w:cs="宋体"/>
          <w:color w:val="auto"/>
          <w:kern w:val="2"/>
          <w:sz w:val="21"/>
          <w:szCs w:val="21"/>
          <w:highlight w:val="none"/>
          <w:lang w:val="en-US" w:eastAsia="zh-CN" w:bidi="ar"/>
        </w:rPr>
        <w:t>。</w:t>
      </w:r>
    </w:p>
    <w:p w14:paraId="7230E5CB">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144" w:name="_Toc8361"/>
      <w:bookmarkStart w:id="145" w:name="_Toc24202"/>
      <w:bookmarkStart w:id="146" w:name="_Toc51829106"/>
      <w:r>
        <w:rPr>
          <w:rFonts w:hint="eastAsia" w:ascii="宋体" w:hAnsi="宋体" w:eastAsia="宋体" w:cs="宋体"/>
          <w:bCs w:val="0"/>
          <w:color w:val="auto"/>
          <w:kern w:val="2"/>
          <w:sz w:val="21"/>
          <w:szCs w:val="21"/>
          <w:highlight w:val="none"/>
          <w:lang w:val="en-US" w:eastAsia="zh-CN" w:bidi="ar-SA"/>
        </w:rPr>
        <w:t>1.13 工程量清单错误的修正</w:t>
      </w:r>
      <w:bookmarkEnd w:id="144"/>
      <w:bookmarkEnd w:id="145"/>
      <w:bookmarkEnd w:id="146"/>
    </w:p>
    <w:p w14:paraId="58D5125F">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出现工程量清单错误时，是否调整合同价格：</w:t>
      </w:r>
      <w:r>
        <w:rPr>
          <w:rFonts w:hint="eastAsia" w:ascii="宋体" w:hAnsi="宋体" w:eastAsia="宋体" w:cs="宋体"/>
          <w:color w:val="auto"/>
          <w:kern w:val="2"/>
          <w:sz w:val="21"/>
          <w:szCs w:val="21"/>
          <w:highlight w:val="none"/>
          <w:u w:val="single"/>
          <w:lang w:val="en-US" w:eastAsia="zh-CN" w:bidi="ar"/>
        </w:rPr>
        <w:t xml:space="preserve">按专用合同条款第10条及第11条相关约定执行 </w:t>
      </w:r>
      <w:r>
        <w:rPr>
          <w:rFonts w:hint="eastAsia" w:ascii="宋体" w:hAnsi="宋体" w:eastAsia="宋体" w:cs="宋体"/>
          <w:color w:val="auto"/>
          <w:kern w:val="0"/>
          <w:sz w:val="21"/>
          <w:szCs w:val="21"/>
          <w:highlight w:val="none"/>
          <w:lang w:val="en-US" w:eastAsia="zh-CN" w:bidi="ar"/>
        </w:rPr>
        <w:t>。</w:t>
      </w:r>
    </w:p>
    <w:p w14:paraId="2163930F">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允许调整合同价格的工程量偏差范围：</w:t>
      </w:r>
      <w:r>
        <w:rPr>
          <w:rFonts w:hint="eastAsia" w:ascii="宋体" w:hAnsi="宋体" w:eastAsia="宋体" w:cs="宋体"/>
          <w:color w:val="auto"/>
          <w:kern w:val="2"/>
          <w:sz w:val="21"/>
          <w:szCs w:val="21"/>
          <w:highlight w:val="none"/>
          <w:u w:val="single"/>
          <w:lang w:val="en-US" w:eastAsia="zh-CN" w:bidi="ar"/>
        </w:rPr>
        <w:t xml:space="preserve">按专用合同条款第10条及第11条相关约定执行 </w:t>
      </w:r>
      <w:r>
        <w:rPr>
          <w:rFonts w:hint="eastAsia" w:ascii="宋体" w:hAnsi="宋体" w:eastAsia="宋体" w:cs="宋体"/>
          <w:color w:val="auto"/>
          <w:kern w:val="0"/>
          <w:sz w:val="21"/>
          <w:szCs w:val="21"/>
          <w:highlight w:val="none"/>
          <w:lang w:val="en-US" w:eastAsia="zh-CN" w:bidi="ar"/>
        </w:rPr>
        <w:t>。</w:t>
      </w:r>
    </w:p>
    <w:p w14:paraId="6FCEE12D">
      <w:pPr>
        <w:pageBreakBefore w:val="0"/>
        <w:widowControl w:val="0"/>
        <w:numPr>
          <w:ilvl w:val="0"/>
          <w:numId w:val="14"/>
        </w:numPr>
        <w:kinsoku/>
        <w:wordWrap/>
        <w:overflowPunct/>
        <w:topLinePunct w:val="0"/>
        <w:autoSpaceDE/>
        <w:autoSpaceDN/>
        <w:bidi w:val="0"/>
        <w:adjustRightInd/>
        <w:snapToGrid/>
        <w:spacing w:after="0" w:afterLines="0" w:line="360" w:lineRule="auto"/>
        <w:textAlignment w:val="auto"/>
        <w:outlineLvl w:val="1"/>
        <w:rPr>
          <w:rFonts w:hint="eastAsia" w:ascii="宋体" w:hAnsi="宋体" w:eastAsia="宋体" w:cs="宋体"/>
          <w:color w:val="auto"/>
          <w:sz w:val="21"/>
          <w:szCs w:val="21"/>
          <w:highlight w:val="none"/>
          <w:lang w:val="en-US"/>
        </w:rPr>
      </w:pPr>
      <w:bookmarkStart w:id="147" w:name="_Toc29201"/>
      <w:bookmarkStart w:id="148" w:name="_Toc30717"/>
      <w:bookmarkStart w:id="149" w:name="_Toc668"/>
      <w:bookmarkStart w:id="150" w:name="_Toc18504"/>
      <w:bookmarkStart w:id="151" w:name="_Toc54768805"/>
      <w:bookmarkStart w:id="152" w:name="_Toc51829107"/>
      <w:bookmarkStart w:id="153" w:name="_Toc304"/>
      <w:r>
        <w:rPr>
          <w:rFonts w:hint="eastAsia" w:ascii="宋体" w:hAnsi="宋体" w:eastAsia="宋体" w:cs="宋体"/>
          <w:color w:val="auto"/>
          <w:sz w:val="21"/>
          <w:szCs w:val="21"/>
          <w:highlight w:val="none"/>
          <w:lang w:val="en-US" w:eastAsia="zh-CN"/>
        </w:rPr>
        <w:t>发包人</w:t>
      </w:r>
      <w:bookmarkEnd w:id="147"/>
      <w:bookmarkEnd w:id="148"/>
      <w:bookmarkEnd w:id="149"/>
      <w:bookmarkEnd w:id="150"/>
      <w:bookmarkEnd w:id="151"/>
      <w:bookmarkEnd w:id="152"/>
      <w:bookmarkEnd w:id="153"/>
    </w:p>
    <w:p w14:paraId="2A874BE7">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154" w:name="_Toc18882"/>
      <w:bookmarkStart w:id="155" w:name="_Toc51829108"/>
      <w:bookmarkStart w:id="156" w:name="_Toc32674"/>
      <w:r>
        <w:rPr>
          <w:rFonts w:hint="eastAsia" w:ascii="宋体" w:hAnsi="宋体" w:eastAsia="宋体" w:cs="宋体"/>
          <w:bCs w:val="0"/>
          <w:color w:val="auto"/>
          <w:kern w:val="2"/>
          <w:sz w:val="21"/>
          <w:szCs w:val="21"/>
          <w:highlight w:val="none"/>
          <w:lang w:val="en-US" w:eastAsia="zh-CN" w:bidi="ar-SA"/>
        </w:rPr>
        <w:t>2.2 发包人代表</w:t>
      </w:r>
      <w:bookmarkEnd w:id="154"/>
      <w:bookmarkEnd w:id="155"/>
      <w:bookmarkEnd w:id="156"/>
    </w:p>
    <w:p w14:paraId="61BF11CD">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u w:val="single"/>
          <w:lang w:val="en-US"/>
        </w:rPr>
      </w:pPr>
      <w:r>
        <w:rPr>
          <w:rFonts w:hint="eastAsia" w:ascii="宋体" w:hAnsi="宋体" w:eastAsia="宋体" w:cs="宋体"/>
          <w:color w:val="auto"/>
          <w:kern w:val="2"/>
          <w:sz w:val="21"/>
          <w:szCs w:val="21"/>
          <w:highlight w:val="none"/>
          <w:lang w:val="en-US" w:eastAsia="zh-CN" w:bidi="ar"/>
        </w:rPr>
        <w:t>发包人代表：</w:t>
      </w:r>
    </w:p>
    <w:p w14:paraId="7588CC57">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姓    名：</w:t>
      </w:r>
      <w:r>
        <w:rPr>
          <w:rFonts w:hint="eastAsia" w:ascii="宋体" w:hAnsi="宋体" w:eastAsia="宋体" w:cs="宋体"/>
          <w:color w:val="auto"/>
          <w:sz w:val="21"/>
          <w:szCs w:val="21"/>
          <w:highlight w:val="none"/>
          <w:u w:val="single"/>
        </w:rPr>
        <w:t></w:t>
      </w:r>
      <w:r>
        <w:rPr>
          <w:rFonts w:hint="eastAsia" w:ascii="宋体" w:hAnsi="宋体" w:eastAsia="宋体" w:cs="宋体"/>
          <w:color w:val="auto"/>
          <w:kern w:val="2"/>
          <w:sz w:val="21"/>
          <w:szCs w:val="21"/>
          <w:highlight w:val="none"/>
          <w:lang w:val="en-US" w:eastAsia="zh-CN" w:bidi="ar"/>
        </w:rPr>
        <w:t>；</w:t>
      </w:r>
    </w:p>
    <w:p w14:paraId="79C26EBB">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身份证号：</w:t>
      </w:r>
      <w:r>
        <w:rPr>
          <w:rFonts w:hint="eastAsia" w:ascii="宋体" w:hAnsi="宋体" w:eastAsia="宋体" w:cs="宋体"/>
          <w:color w:val="auto"/>
          <w:sz w:val="21"/>
          <w:szCs w:val="21"/>
          <w:highlight w:val="none"/>
          <w:u w:val="single"/>
        </w:rPr>
        <w:t></w:t>
      </w:r>
      <w:r>
        <w:rPr>
          <w:rFonts w:hint="eastAsia" w:ascii="宋体" w:hAnsi="宋体" w:eastAsia="宋体" w:cs="宋体"/>
          <w:color w:val="auto"/>
          <w:kern w:val="2"/>
          <w:sz w:val="21"/>
          <w:szCs w:val="21"/>
          <w:highlight w:val="none"/>
          <w:lang w:val="en-US" w:eastAsia="zh-CN" w:bidi="ar"/>
        </w:rPr>
        <w:t>；</w:t>
      </w:r>
    </w:p>
    <w:p w14:paraId="2B9A3331">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职    务：</w:t>
      </w:r>
      <w:r>
        <w:rPr>
          <w:rFonts w:hint="eastAsia" w:ascii="宋体" w:hAnsi="宋体" w:eastAsia="宋体" w:cs="宋体"/>
          <w:color w:val="auto"/>
          <w:sz w:val="21"/>
          <w:szCs w:val="21"/>
          <w:highlight w:val="none"/>
          <w:u w:val="single"/>
        </w:rPr>
        <w:t></w:t>
      </w:r>
      <w:r>
        <w:rPr>
          <w:rFonts w:hint="eastAsia" w:ascii="宋体" w:hAnsi="宋体" w:eastAsia="宋体" w:cs="宋体"/>
          <w:color w:val="auto"/>
          <w:kern w:val="2"/>
          <w:sz w:val="21"/>
          <w:szCs w:val="21"/>
          <w:highlight w:val="none"/>
          <w:lang w:val="en-US" w:eastAsia="zh-CN" w:bidi="ar"/>
        </w:rPr>
        <w:t>；</w:t>
      </w:r>
    </w:p>
    <w:p w14:paraId="49894B9F">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联系电话：</w:t>
      </w:r>
      <w:r>
        <w:rPr>
          <w:rFonts w:hint="eastAsia" w:ascii="宋体" w:hAnsi="宋体" w:eastAsia="宋体" w:cs="宋体"/>
          <w:color w:val="auto"/>
          <w:sz w:val="21"/>
          <w:szCs w:val="21"/>
          <w:highlight w:val="none"/>
          <w:u w:val="single"/>
        </w:rPr>
        <w:t></w:t>
      </w:r>
      <w:r>
        <w:rPr>
          <w:rFonts w:hint="eastAsia" w:ascii="宋体" w:hAnsi="宋体" w:eastAsia="宋体" w:cs="宋体"/>
          <w:color w:val="auto"/>
          <w:kern w:val="2"/>
          <w:sz w:val="21"/>
          <w:szCs w:val="21"/>
          <w:highlight w:val="none"/>
          <w:lang w:val="en-US" w:eastAsia="zh-CN" w:bidi="ar"/>
        </w:rPr>
        <w:t>；</w:t>
      </w:r>
    </w:p>
    <w:p w14:paraId="4EF84987">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电子信箱：</w:t>
      </w:r>
      <w:r>
        <w:rPr>
          <w:rFonts w:hint="eastAsia" w:ascii="宋体" w:hAnsi="宋体" w:eastAsia="宋体" w:cs="宋体"/>
          <w:color w:val="auto"/>
          <w:sz w:val="21"/>
          <w:szCs w:val="21"/>
          <w:highlight w:val="none"/>
          <w:u w:val="single"/>
        </w:rPr>
        <w:t></w:t>
      </w:r>
      <w:r>
        <w:rPr>
          <w:rFonts w:hint="eastAsia" w:ascii="宋体" w:hAnsi="宋体" w:eastAsia="宋体" w:cs="宋体"/>
          <w:color w:val="auto"/>
          <w:kern w:val="2"/>
          <w:sz w:val="21"/>
          <w:szCs w:val="21"/>
          <w:highlight w:val="none"/>
          <w:lang w:val="en-US" w:eastAsia="zh-CN" w:bidi="ar"/>
        </w:rPr>
        <w:t>；</w:t>
      </w:r>
    </w:p>
    <w:p w14:paraId="554C683E">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通信地址：</w:t>
      </w:r>
      <w:r>
        <w:rPr>
          <w:rFonts w:hint="eastAsia" w:ascii="宋体" w:hAnsi="宋体" w:eastAsia="宋体" w:cs="宋体"/>
          <w:color w:val="auto"/>
          <w:sz w:val="21"/>
          <w:szCs w:val="21"/>
          <w:highlight w:val="none"/>
          <w:u w:val="single"/>
        </w:rPr>
        <w:t></w:t>
      </w:r>
      <w:r>
        <w:rPr>
          <w:rFonts w:hint="eastAsia" w:ascii="宋体" w:hAnsi="宋体" w:eastAsia="宋体" w:cs="宋体"/>
          <w:color w:val="auto"/>
          <w:kern w:val="2"/>
          <w:sz w:val="21"/>
          <w:szCs w:val="21"/>
          <w:highlight w:val="none"/>
          <w:lang w:val="en-US" w:eastAsia="zh-CN" w:bidi="ar"/>
        </w:rPr>
        <w:t>。</w:t>
      </w:r>
    </w:p>
    <w:p w14:paraId="53790FED">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b/>
          <w:bCs w:val="0"/>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发包人对发包人代表的授权范围如下：</w:t>
      </w:r>
      <w:r>
        <w:rPr>
          <w:rFonts w:hint="eastAsia" w:ascii="宋体" w:hAnsi="宋体" w:eastAsia="宋体" w:cs="宋体"/>
          <w:color w:val="auto"/>
          <w:kern w:val="2"/>
          <w:sz w:val="21"/>
          <w:szCs w:val="21"/>
          <w:highlight w:val="none"/>
          <w:u w:val="single"/>
          <w:lang w:val="en-US" w:eastAsia="zh-CN" w:bidi="ar"/>
        </w:rPr>
        <w:t>负责工程建设的内外部关系协调，管理工程质量、进度和安全文明施工以及协调解决存在的问题。承包人须确知“发包人代表没有修改本合同任何内容的权利，仅有发包人代表签署但未经发包人内部审核或审批程序确认的文件均无效，包括但不限于增加或减少合同中任何工作、合同款项支付、设计变更、工程签证、合同价款调整等”。</w:t>
      </w:r>
    </w:p>
    <w:p w14:paraId="18C512C5">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157" w:name="_Toc10893"/>
      <w:bookmarkStart w:id="158" w:name="_Toc51829109"/>
      <w:bookmarkStart w:id="159" w:name="_Toc19864"/>
      <w:r>
        <w:rPr>
          <w:rFonts w:hint="eastAsia" w:ascii="宋体" w:hAnsi="宋体" w:eastAsia="宋体" w:cs="宋体"/>
          <w:bCs w:val="0"/>
          <w:color w:val="auto"/>
          <w:kern w:val="2"/>
          <w:sz w:val="21"/>
          <w:szCs w:val="21"/>
          <w:highlight w:val="none"/>
          <w:lang w:val="en-US" w:eastAsia="zh-CN" w:bidi="ar-SA"/>
        </w:rPr>
        <w:t>2.4 施工现场、施工条件和基础资料的提供</w:t>
      </w:r>
      <w:bookmarkEnd w:id="157"/>
      <w:bookmarkEnd w:id="158"/>
      <w:bookmarkEnd w:id="159"/>
    </w:p>
    <w:p w14:paraId="69BFF375">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2.4.1 提供施工现场</w:t>
      </w:r>
    </w:p>
    <w:p w14:paraId="28AD41E6">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关于发包人移交施工现场的期限要求：</w:t>
      </w:r>
      <w:r>
        <w:rPr>
          <w:rFonts w:hint="eastAsia" w:ascii="宋体" w:hAnsi="宋体" w:eastAsia="宋体" w:cs="宋体"/>
          <w:color w:val="auto"/>
          <w:kern w:val="2"/>
          <w:sz w:val="21"/>
          <w:szCs w:val="21"/>
          <w:highlight w:val="none"/>
          <w:u w:val="single"/>
          <w:lang w:val="en-US" w:eastAsia="zh-CN" w:bidi="ar"/>
        </w:rPr>
        <w:t xml:space="preserve"> 正式开工前 </w:t>
      </w:r>
      <w:r>
        <w:rPr>
          <w:rFonts w:hint="eastAsia" w:ascii="宋体" w:hAnsi="宋体" w:eastAsia="宋体" w:cs="宋体"/>
          <w:color w:val="auto"/>
          <w:kern w:val="2"/>
          <w:sz w:val="21"/>
          <w:szCs w:val="21"/>
          <w:highlight w:val="none"/>
          <w:lang w:val="en-US" w:eastAsia="zh-CN" w:bidi="ar"/>
        </w:rPr>
        <w:t>。</w:t>
      </w:r>
    </w:p>
    <w:p w14:paraId="143A6C55">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2.4.2 提供施工条件</w:t>
      </w:r>
    </w:p>
    <w:p w14:paraId="3C6411D6">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2"/>
          <w:sz w:val="21"/>
          <w:szCs w:val="21"/>
          <w:highlight w:val="none"/>
          <w:u w:val="single"/>
          <w:lang w:val="en-US" w:eastAsia="zh-CN" w:bidi="ar"/>
        </w:rPr>
      </w:pPr>
      <w:r>
        <w:rPr>
          <w:rFonts w:hint="eastAsia" w:ascii="宋体" w:hAnsi="宋体" w:eastAsia="宋体" w:cs="宋体"/>
          <w:color w:val="auto"/>
          <w:kern w:val="2"/>
          <w:sz w:val="21"/>
          <w:szCs w:val="21"/>
          <w:highlight w:val="none"/>
          <w:lang w:val="en-US" w:eastAsia="zh-CN" w:bidi="ar"/>
        </w:rPr>
        <w:t>关于发包人应负责提供施工所需要的条件，包括：</w:t>
      </w:r>
      <w:r>
        <w:rPr>
          <w:rFonts w:hint="eastAsia" w:ascii="宋体" w:hAnsi="宋体" w:eastAsia="宋体" w:cs="宋体"/>
          <w:color w:val="auto"/>
          <w:kern w:val="2"/>
          <w:sz w:val="21"/>
          <w:szCs w:val="21"/>
          <w:highlight w:val="none"/>
          <w:u w:val="single"/>
          <w:lang w:val="en-US" w:eastAsia="zh-CN" w:bidi="ar"/>
        </w:rPr>
        <w:t>发包人将临时用电用水接至项目用地红线周边。承包人负责将临时用电用水由接入点接至施工现场，费用由承包人自行承担，费用已包含在承包人的签约合同价中。其他均由承包人自行承担，相关费用已包含在承包人的签约合同价中。</w:t>
      </w:r>
    </w:p>
    <w:p w14:paraId="3BF978A0">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160" w:name="_Toc51829110"/>
      <w:bookmarkStart w:id="161" w:name="_Toc27333"/>
      <w:bookmarkStart w:id="162" w:name="_Toc12958"/>
      <w:r>
        <w:rPr>
          <w:rFonts w:hint="eastAsia" w:ascii="宋体" w:hAnsi="宋体" w:eastAsia="宋体" w:cs="宋体"/>
          <w:bCs w:val="0"/>
          <w:color w:val="auto"/>
          <w:kern w:val="2"/>
          <w:sz w:val="21"/>
          <w:szCs w:val="21"/>
          <w:highlight w:val="none"/>
          <w:lang w:val="en-US" w:eastAsia="zh-CN" w:bidi="ar-SA"/>
        </w:rPr>
        <w:t>2.5 资金来源证明及支付担保</w:t>
      </w:r>
      <w:bookmarkEnd w:id="160"/>
      <w:bookmarkEnd w:id="161"/>
      <w:bookmarkEnd w:id="162"/>
    </w:p>
    <w:p w14:paraId="7CB6153F">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发包人提供资金来源证明的期限要求：</w:t>
      </w:r>
      <w:r>
        <w:rPr>
          <w:rFonts w:hint="eastAsia" w:ascii="宋体" w:hAnsi="宋体" w:eastAsia="宋体" w:cs="宋体"/>
          <w:color w:val="auto"/>
          <w:kern w:val="2"/>
          <w:sz w:val="21"/>
          <w:szCs w:val="21"/>
          <w:highlight w:val="none"/>
          <w:u w:val="single"/>
          <w:lang w:val="en-US" w:eastAsia="zh-CN" w:bidi="ar"/>
        </w:rPr>
        <w:t xml:space="preserve"> / </w:t>
      </w:r>
      <w:r>
        <w:rPr>
          <w:rFonts w:hint="eastAsia" w:ascii="宋体" w:hAnsi="宋体" w:eastAsia="宋体" w:cs="宋体"/>
          <w:color w:val="auto"/>
          <w:kern w:val="2"/>
          <w:sz w:val="21"/>
          <w:szCs w:val="21"/>
          <w:highlight w:val="none"/>
          <w:lang w:val="en-US" w:eastAsia="zh-CN" w:bidi="ar"/>
        </w:rPr>
        <w:t>。</w:t>
      </w:r>
    </w:p>
    <w:p w14:paraId="11381B9D">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发包人是否提供支付担保：</w:t>
      </w:r>
      <w:r>
        <w:rPr>
          <w:rFonts w:hint="eastAsia" w:ascii="宋体" w:hAnsi="宋体" w:eastAsia="宋体" w:cs="宋体"/>
          <w:color w:val="auto"/>
          <w:kern w:val="2"/>
          <w:sz w:val="21"/>
          <w:szCs w:val="21"/>
          <w:highlight w:val="none"/>
          <w:u w:val="single"/>
          <w:lang w:val="en-US" w:eastAsia="zh-CN" w:bidi="ar"/>
        </w:rPr>
        <w:t>      否</w:t>
      </w:r>
      <w:r>
        <w:rPr>
          <w:rFonts w:hint="eastAsia" w:ascii="宋体" w:hAnsi="宋体" w:eastAsia="宋体" w:cs="宋体"/>
          <w:color w:val="auto"/>
          <w:kern w:val="2"/>
          <w:sz w:val="21"/>
          <w:szCs w:val="21"/>
          <w:highlight w:val="none"/>
          <w:lang w:val="en-US" w:eastAsia="zh-CN" w:bidi="ar"/>
        </w:rPr>
        <w:t>。</w:t>
      </w:r>
    </w:p>
    <w:p w14:paraId="20183BCA">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发包人提供支付担保的形式：</w:t>
      </w:r>
      <w:r>
        <w:rPr>
          <w:rFonts w:hint="eastAsia" w:ascii="宋体" w:hAnsi="宋体" w:eastAsia="宋体" w:cs="宋体"/>
          <w:color w:val="auto"/>
          <w:kern w:val="2"/>
          <w:sz w:val="21"/>
          <w:szCs w:val="21"/>
          <w:highlight w:val="none"/>
          <w:u w:val="single"/>
          <w:lang w:val="en-US" w:eastAsia="zh-CN" w:bidi="ar"/>
        </w:rPr>
        <w:t xml:space="preserve">  /        </w:t>
      </w:r>
      <w:r>
        <w:rPr>
          <w:rFonts w:hint="eastAsia" w:ascii="宋体" w:hAnsi="宋体" w:eastAsia="宋体" w:cs="宋体"/>
          <w:color w:val="auto"/>
          <w:kern w:val="2"/>
          <w:sz w:val="21"/>
          <w:szCs w:val="21"/>
          <w:highlight w:val="none"/>
          <w:lang w:val="en-US" w:eastAsia="zh-CN" w:bidi="ar"/>
        </w:rPr>
        <w:t>。</w:t>
      </w:r>
    </w:p>
    <w:p w14:paraId="1B383E8F">
      <w:pPr>
        <w:pStyle w:val="4"/>
        <w:pageBreakBefore w:val="0"/>
        <w:widowControl/>
        <w:numPr>
          <w:ilvl w:val="0"/>
          <w:numId w:val="14"/>
        </w:numPr>
        <w:kinsoku/>
        <w:wordWrap/>
        <w:overflowPunct/>
        <w:topLinePunct w:val="0"/>
        <w:bidi w:val="0"/>
        <w:snapToGrid/>
        <w:spacing w:after="0" w:afterLines="0" w:line="360" w:lineRule="auto"/>
        <w:ind w:left="0" w:leftChars="0" w:firstLine="0" w:firstLineChars="0"/>
        <w:textAlignment w:val="auto"/>
        <w:rPr>
          <w:rFonts w:hint="eastAsia" w:ascii="宋体" w:hAnsi="宋体" w:eastAsia="宋体" w:cs="宋体"/>
          <w:b w:val="0"/>
          <w:bCs w:val="0"/>
          <w:color w:val="auto"/>
          <w:kern w:val="2"/>
          <w:sz w:val="21"/>
          <w:szCs w:val="21"/>
          <w:highlight w:val="none"/>
          <w:lang w:val="en-US" w:eastAsia="zh-CN" w:bidi="ar-SA"/>
        </w:rPr>
      </w:pPr>
      <w:bookmarkStart w:id="163" w:name="_Toc12898"/>
      <w:bookmarkStart w:id="164" w:name="_Toc4679"/>
      <w:bookmarkStart w:id="165" w:name="_Toc12410"/>
      <w:bookmarkStart w:id="166" w:name="_Toc3423"/>
      <w:bookmarkStart w:id="167" w:name="_Toc2813"/>
      <w:bookmarkStart w:id="168" w:name="_Toc54768806"/>
      <w:bookmarkStart w:id="169" w:name="_Toc10278"/>
      <w:bookmarkStart w:id="170" w:name="_Toc51829111"/>
      <w:r>
        <w:rPr>
          <w:rFonts w:hint="eastAsia" w:ascii="宋体" w:hAnsi="宋体" w:eastAsia="宋体" w:cs="宋体"/>
          <w:b w:val="0"/>
          <w:bCs w:val="0"/>
          <w:color w:val="auto"/>
          <w:kern w:val="2"/>
          <w:sz w:val="21"/>
          <w:szCs w:val="21"/>
          <w:highlight w:val="none"/>
          <w:lang w:val="en-US" w:eastAsia="zh-CN" w:bidi="ar-SA"/>
        </w:rPr>
        <w:t>承包人</w:t>
      </w:r>
      <w:bookmarkEnd w:id="163"/>
      <w:bookmarkEnd w:id="164"/>
      <w:bookmarkEnd w:id="165"/>
      <w:bookmarkEnd w:id="166"/>
      <w:bookmarkEnd w:id="167"/>
      <w:bookmarkEnd w:id="168"/>
      <w:bookmarkEnd w:id="169"/>
      <w:bookmarkEnd w:id="170"/>
    </w:p>
    <w:p w14:paraId="45FA2B75">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171" w:name="_Toc14133"/>
      <w:bookmarkStart w:id="172" w:name="_Toc51829112"/>
      <w:bookmarkStart w:id="173" w:name="_Toc8494"/>
      <w:r>
        <w:rPr>
          <w:rFonts w:hint="eastAsia" w:ascii="宋体" w:hAnsi="宋体" w:eastAsia="宋体" w:cs="宋体"/>
          <w:bCs w:val="0"/>
          <w:color w:val="auto"/>
          <w:kern w:val="2"/>
          <w:sz w:val="21"/>
          <w:szCs w:val="21"/>
          <w:highlight w:val="none"/>
          <w:lang w:val="en-US" w:eastAsia="zh-CN" w:bidi="ar-SA"/>
        </w:rPr>
        <w:t>3.1 承包人的一般义务</w:t>
      </w:r>
      <w:bookmarkEnd w:id="171"/>
      <w:bookmarkEnd w:id="172"/>
      <w:bookmarkEnd w:id="173"/>
    </w:p>
    <w:p w14:paraId="570E6419">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0"/>
          <w:sz w:val="21"/>
          <w:szCs w:val="21"/>
          <w:highlight w:val="none"/>
          <w:lang w:val="en-US" w:eastAsia="zh-CN" w:bidi="ar"/>
        </w:rPr>
        <w:t>（9）</w:t>
      </w:r>
      <w:r>
        <w:rPr>
          <w:rFonts w:hint="eastAsia" w:ascii="宋体" w:hAnsi="宋体" w:eastAsia="宋体" w:cs="宋体"/>
          <w:color w:val="auto"/>
          <w:kern w:val="2"/>
          <w:sz w:val="21"/>
          <w:szCs w:val="21"/>
          <w:highlight w:val="none"/>
          <w:lang w:val="en-US" w:eastAsia="zh-CN" w:bidi="ar"/>
        </w:rPr>
        <w:t>承包人提交的竣工资料的内容：</w:t>
      </w:r>
      <w:r>
        <w:rPr>
          <w:rFonts w:hint="eastAsia" w:ascii="宋体" w:hAnsi="宋体" w:eastAsia="宋体" w:cs="宋体"/>
          <w:color w:val="auto"/>
          <w:kern w:val="2"/>
          <w:sz w:val="21"/>
          <w:szCs w:val="21"/>
          <w:highlight w:val="none"/>
          <w:u w:val="single"/>
          <w:lang w:val="en-US" w:eastAsia="zh-CN" w:bidi="ar"/>
        </w:rPr>
        <w:t>按建设行政档案管理部门及发包人要求（包括但不限于：工程施工技术资料、工程资料、工程检验评定资料、竣工图、设计变更单、签证单、竣工结算书等，按照项目所属省、地方的相关竣工资料内容格式及要求进行整理）</w:t>
      </w:r>
      <w:r>
        <w:rPr>
          <w:rFonts w:hint="eastAsia" w:ascii="宋体" w:hAnsi="宋体" w:eastAsia="宋体" w:cs="宋体"/>
          <w:color w:val="auto"/>
          <w:kern w:val="2"/>
          <w:sz w:val="21"/>
          <w:szCs w:val="21"/>
          <w:highlight w:val="none"/>
          <w:lang w:val="en-US" w:eastAsia="zh-CN" w:bidi="ar"/>
        </w:rPr>
        <w:t>。</w:t>
      </w:r>
    </w:p>
    <w:p w14:paraId="24016C9C">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承包人需要提交的竣工资料套数：</w:t>
      </w:r>
      <w:r>
        <w:rPr>
          <w:rFonts w:hint="eastAsia" w:ascii="宋体" w:hAnsi="宋体" w:eastAsia="宋体" w:cs="宋体"/>
          <w:color w:val="auto"/>
          <w:kern w:val="2"/>
          <w:sz w:val="21"/>
          <w:szCs w:val="21"/>
          <w:highlight w:val="none"/>
          <w:u w:val="single"/>
          <w:lang w:val="en-US" w:eastAsia="zh-CN" w:bidi="ar"/>
        </w:rPr>
        <w:t>向发包人提供一式肆套，并另按档案部门要求将其档案资料向档案馆移交备案（如另需增加套数，由承包人免费提供）</w:t>
      </w:r>
      <w:r>
        <w:rPr>
          <w:rFonts w:hint="eastAsia" w:ascii="宋体" w:hAnsi="宋体" w:eastAsia="宋体" w:cs="宋体"/>
          <w:color w:val="auto"/>
          <w:kern w:val="2"/>
          <w:sz w:val="21"/>
          <w:szCs w:val="21"/>
          <w:highlight w:val="none"/>
          <w:lang w:val="en-US" w:eastAsia="zh-CN" w:bidi="ar"/>
        </w:rPr>
        <w:t>。</w:t>
      </w:r>
    </w:p>
    <w:p w14:paraId="44F46DCD">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420" w:firstLineChars="2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承包人提交的竣工资料的费用承担：</w:t>
      </w:r>
      <w:r>
        <w:rPr>
          <w:rFonts w:hint="eastAsia" w:ascii="宋体" w:hAnsi="宋体" w:eastAsia="宋体" w:cs="宋体"/>
          <w:color w:val="auto"/>
          <w:kern w:val="2"/>
          <w:sz w:val="21"/>
          <w:szCs w:val="21"/>
          <w:highlight w:val="none"/>
          <w:u w:val="single"/>
          <w:lang w:val="en-US" w:eastAsia="zh-CN" w:bidi="ar"/>
        </w:rPr>
        <w:t xml:space="preserve">承包人自行承担 </w:t>
      </w:r>
      <w:r>
        <w:rPr>
          <w:rFonts w:hint="eastAsia" w:ascii="宋体" w:hAnsi="宋体" w:eastAsia="宋体" w:cs="宋体"/>
          <w:color w:val="auto"/>
          <w:kern w:val="2"/>
          <w:sz w:val="21"/>
          <w:szCs w:val="21"/>
          <w:highlight w:val="none"/>
          <w:lang w:val="en-US" w:eastAsia="zh-CN" w:bidi="ar"/>
        </w:rPr>
        <w:t>。</w:t>
      </w:r>
    </w:p>
    <w:p w14:paraId="560CE5AF">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承包人提交的竣工资料移交时间：</w:t>
      </w:r>
      <w:r>
        <w:rPr>
          <w:rFonts w:hint="eastAsia" w:ascii="宋体" w:hAnsi="宋体" w:eastAsia="宋体" w:cs="宋体"/>
          <w:color w:val="auto"/>
          <w:kern w:val="2"/>
          <w:sz w:val="21"/>
          <w:szCs w:val="21"/>
          <w:highlight w:val="none"/>
          <w:u w:val="single"/>
          <w:lang w:val="en-US" w:eastAsia="zh-CN" w:bidi="ar"/>
        </w:rPr>
        <w:t>竣工验收合格之日起30天内</w:t>
      </w:r>
      <w:r>
        <w:rPr>
          <w:rFonts w:hint="eastAsia" w:ascii="宋体" w:hAnsi="宋体" w:eastAsia="宋体" w:cs="宋体"/>
          <w:color w:val="auto"/>
          <w:kern w:val="2"/>
          <w:sz w:val="21"/>
          <w:szCs w:val="21"/>
          <w:highlight w:val="none"/>
          <w:lang w:val="en-US" w:eastAsia="zh-CN" w:bidi="ar"/>
        </w:rPr>
        <w:t>。</w:t>
      </w:r>
    </w:p>
    <w:p w14:paraId="3F0639B4">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承包人提交的竣工资料形式要求：</w:t>
      </w:r>
      <w:r>
        <w:rPr>
          <w:rFonts w:hint="eastAsia" w:ascii="宋体" w:hAnsi="宋体" w:eastAsia="宋体" w:cs="宋体"/>
          <w:color w:val="auto"/>
          <w:kern w:val="2"/>
          <w:sz w:val="21"/>
          <w:szCs w:val="21"/>
          <w:highlight w:val="none"/>
          <w:u w:val="single"/>
          <w:lang w:val="en-US" w:eastAsia="zh-CN" w:bidi="ar"/>
        </w:rPr>
        <w:t>按建设行政档案管理部门及发包人要求按时提供装订成册的纸质材料以及电子文档等（费用已在承包人的签约合同价中，发包人不另行支付）</w:t>
      </w:r>
      <w:r>
        <w:rPr>
          <w:rFonts w:hint="eastAsia" w:ascii="宋体" w:hAnsi="宋体" w:eastAsia="宋体" w:cs="宋体"/>
          <w:color w:val="auto"/>
          <w:kern w:val="2"/>
          <w:sz w:val="21"/>
          <w:szCs w:val="21"/>
          <w:highlight w:val="none"/>
          <w:lang w:val="en-US" w:eastAsia="zh-CN" w:bidi="ar"/>
        </w:rPr>
        <w:t>。</w:t>
      </w:r>
    </w:p>
    <w:p w14:paraId="3C3B16FA">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（10）承包人应履行的其他义务：</w:t>
      </w:r>
    </w:p>
    <w:p w14:paraId="16EC5E77">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承包人应完成的各项承包工作包括但不仅限于以下内容：</w:t>
      </w:r>
    </w:p>
    <w:p w14:paraId="59006B1A">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eastAsia="宋体" w:cs="宋体"/>
          <w:color w:val="auto"/>
          <w:sz w:val="21"/>
          <w:szCs w:val="21"/>
          <w:highlight w:val="none"/>
          <w:lang w:val="en-US" w:eastAsia="zh-CN"/>
        </w:rPr>
        <w:t>①</w:t>
      </w:r>
      <w:r>
        <w:rPr>
          <w:rFonts w:hint="eastAsia" w:ascii="宋体" w:hAnsi="宋体" w:eastAsia="宋体" w:cs="宋体"/>
          <w:color w:val="auto"/>
          <w:sz w:val="21"/>
          <w:szCs w:val="21"/>
          <w:highlight w:val="none"/>
        </w:rPr>
        <w:t>根据项目总体实施方案中的进度计划，按时按质完成设计、采购、施工各项承包工作。</w:t>
      </w:r>
    </w:p>
    <w:p w14:paraId="4AFF0DDB">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eastAsia="宋体" w:cs="宋体"/>
          <w:color w:val="auto"/>
          <w:sz w:val="21"/>
          <w:szCs w:val="21"/>
          <w:highlight w:val="none"/>
          <w:lang w:val="en-US" w:eastAsia="zh-CN"/>
        </w:rPr>
        <w:t>②</w:t>
      </w:r>
      <w:r>
        <w:rPr>
          <w:rFonts w:hint="eastAsia" w:ascii="宋体" w:hAnsi="宋体" w:eastAsia="宋体" w:cs="宋体"/>
          <w:color w:val="auto"/>
          <w:sz w:val="21"/>
          <w:szCs w:val="21"/>
          <w:highlight w:val="none"/>
        </w:rPr>
        <w:t>每月25日提供当月工程统计报表及下月计划报表。</w:t>
      </w:r>
    </w:p>
    <w:p w14:paraId="159C2F9C">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eastAsia="宋体" w:cs="宋体"/>
          <w:color w:val="auto"/>
          <w:sz w:val="21"/>
          <w:szCs w:val="21"/>
          <w:highlight w:val="none"/>
          <w:lang w:val="en-US" w:eastAsia="zh-CN"/>
        </w:rPr>
        <w:t>③</w:t>
      </w:r>
      <w:r>
        <w:rPr>
          <w:rFonts w:hint="eastAsia" w:ascii="宋体" w:hAnsi="宋体" w:eastAsia="宋体" w:cs="宋体"/>
          <w:color w:val="auto"/>
          <w:sz w:val="21"/>
          <w:szCs w:val="21"/>
          <w:highlight w:val="none"/>
        </w:rPr>
        <w:t>承包人应按法律规定和合同约定完成工程，并在保修期内承担保修义务：如果承包人不按合同约定或监理工程师依据合同发出的指令组织施工，且在监理工程师书面整改要求后的7个工作日内仍未采取补救措施的，则发包人可自行或者指派第三方进行补救，因此发生的费用和损失由承包人承担。该笔款项经监理工程师核实后，由发包人从应付或将付给承包人的款项中扣除。</w:t>
      </w:r>
    </w:p>
    <w:p w14:paraId="3AD09F34">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eastAsia="宋体" w:cs="宋体"/>
          <w:color w:val="auto"/>
          <w:sz w:val="21"/>
          <w:szCs w:val="21"/>
          <w:highlight w:val="none"/>
          <w:lang w:val="en-US" w:eastAsia="zh-CN"/>
        </w:rPr>
        <w:t>④</w:t>
      </w:r>
      <w:r>
        <w:rPr>
          <w:rFonts w:hint="eastAsia" w:ascii="宋体" w:hAnsi="宋体" w:eastAsia="宋体" w:cs="宋体"/>
          <w:color w:val="auto"/>
          <w:sz w:val="21"/>
          <w:szCs w:val="21"/>
          <w:highlight w:val="none"/>
        </w:rPr>
        <w:t>提供和维修夜间及非夜间施工照明、围栏设施，负责安全保卫工作，并采取相关措施保护所有入场施工材料及设备安全，承担因该部分工作不力而引起的相关责任。</w:t>
      </w:r>
    </w:p>
    <w:p w14:paraId="7AB7F666">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eastAsia="宋体" w:cs="宋体"/>
          <w:color w:val="auto"/>
          <w:sz w:val="21"/>
          <w:szCs w:val="21"/>
          <w:highlight w:val="none"/>
          <w:lang w:val="en-US" w:eastAsia="zh-CN"/>
        </w:rPr>
        <w:t>⑤</w:t>
      </w:r>
      <w:r>
        <w:rPr>
          <w:rFonts w:hint="eastAsia" w:ascii="宋体" w:hAnsi="宋体" w:eastAsia="宋体" w:cs="宋体"/>
          <w:color w:val="auto"/>
          <w:sz w:val="21"/>
          <w:szCs w:val="21"/>
          <w:highlight w:val="none"/>
        </w:rPr>
        <w:t>负责办理有关施工场地交通、环卫和施工噪音管理等手续并自行承担相关费用。</w:t>
      </w:r>
    </w:p>
    <w:p w14:paraId="1BC822D3">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eastAsia="宋体" w:cs="宋体"/>
          <w:color w:val="auto"/>
          <w:sz w:val="21"/>
          <w:szCs w:val="21"/>
          <w:highlight w:val="none"/>
          <w:lang w:val="en-US" w:eastAsia="zh-CN"/>
        </w:rPr>
        <w:t>⑥</w:t>
      </w:r>
      <w:r>
        <w:rPr>
          <w:rFonts w:hint="eastAsia" w:ascii="宋体" w:hAnsi="宋体" w:eastAsia="宋体" w:cs="宋体"/>
          <w:color w:val="auto"/>
          <w:sz w:val="21"/>
          <w:szCs w:val="21"/>
          <w:highlight w:val="none"/>
        </w:rPr>
        <w:t>保证施工场地清洁卫生符合当地有关政府部门规定。</w:t>
      </w:r>
    </w:p>
    <w:p w14:paraId="29CCE6C3">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eastAsia="宋体" w:cs="宋体"/>
          <w:color w:val="auto"/>
          <w:sz w:val="21"/>
          <w:szCs w:val="21"/>
          <w:highlight w:val="none"/>
          <w:lang w:val="en-US" w:eastAsia="zh-CN"/>
        </w:rPr>
        <w:t>⑦</w:t>
      </w:r>
      <w:r>
        <w:rPr>
          <w:rFonts w:hint="eastAsia" w:ascii="宋体" w:hAnsi="宋体" w:eastAsia="宋体" w:cs="宋体"/>
          <w:color w:val="auto"/>
          <w:sz w:val="21"/>
          <w:szCs w:val="21"/>
          <w:highlight w:val="none"/>
        </w:rPr>
        <w:t>在工程办理正式移交手续移交发包人之前已完工工程成品保护由承包人负责，在工程办理正式移交时必须进行清洁清理，并自行承担相关费用。</w:t>
      </w:r>
    </w:p>
    <w:p w14:paraId="4F962470">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eastAsia="宋体" w:cs="宋体"/>
          <w:color w:val="auto"/>
          <w:sz w:val="21"/>
          <w:szCs w:val="21"/>
          <w:highlight w:val="none"/>
          <w:lang w:val="en-US" w:eastAsia="zh-CN"/>
        </w:rPr>
        <w:t>⑧</w:t>
      </w:r>
      <w:r>
        <w:rPr>
          <w:rFonts w:hint="eastAsia" w:ascii="宋体" w:hAnsi="宋体" w:eastAsia="宋体" w:cs="宋体"/>
          <w:color w:val="auto"/>
          <w:sz w:val="21"/>
          <w:szCs w:val="21"/>
          <w:highlight w:val="none"/>
        </w:rPr>
        <w:t>施工及生活垃圾应按发包人及监理人要求，定点集中堆放并及时清运出场，自行承担相关费用。</w:t>
      </w:r>
    </w:p>
    <w:p w14:paraId="051C49C4">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eastAsia="宋体" w:cs="宋体"/>
          <w:color w:val="auto"/>
          <w:sz w:val="21"/>
          <w:szCs w:val="21"/>
          <w:highlight w:val="none"/>
          <w:lang w:val="en-US" w:eastAsia="zh-CN"/>
        </w:rPr>
        <w:t>⑨</w:t>
      </w:r>
      <w:r>
        <w:rPr>
          <w:rFonts w:hint="eastAsia" w:ascii="宋体" w:hAnsi="宋体" w:eastAsia="宋体" w:cs="宋体"/>
          <w:color w:val="auto"/>
          <w:sz w:val="21"/>
          <w:szCs w:val="21"/>
          <w:highlight w:val="none"/>
        </w:rPr>
        <w:t>承包人知道（或应该知道）监理人指示有误应及时采取防止和减少发包人损失的措施，并应立刻通知监理人和发包人；承包人在知道（或应该知道）监理人指示有误的情况下不采取防止和减少发包人损失的措施所导致的全部损失应由承包人负责。承包人未能履行各项义务，造成发包人及/或第三方损失的，该等损失（包括直接损失和间接损失）均由承包人负责赔偿，并且发包人有权直接从保证金或工程款中抵扣。</w:t>
      </w:r>
    </w:p>
    <w:p w14:paraId="21DB314C">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lang w:val="en-US" w:eastAsia="zh-CN"/>
        </w:rPr>
        <w:t>⑩</w:t>
      </w:r>
      <w:r>
        <w:rPr>
          <w:rFonts w:hint="eastAsia" w:cs="宋体"/>
          <w:color w:val="auto"/>
          <w:sz w:val="21"/>
          <w:szCs w:val="21"/>
          <w:highlight w:val="none"/>
          <w:u w:val="single"/>
        </w:rPr>
        <w:t>承包人应协助发包人委托的相关方踏勘项目施工现场，勘察因征地拆迁遗留的垃圾、房屋地基、清表、水塘、平整等及场外周边道路、雨污口等施工条件、调查项目所在地环境保护、水文、气象、地质条件；</w:t>
      </w:r>
    </w:p>
    <w:p w14:paraId="63287BC1">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fldChar w:fldCharType="begin"/>
      </w:r>
      <w:r>
        <w:rPr>
          <w:rFonts w:hint="eastAsia" w:cs="宋体"/>
          <w:color w:val="auto"/>
          <w:sz w:val="21"/>
          <w:szCs w:val="21"/>
          <w:highlight w:val="none"/>
          <w:u w:val="single"/>
        </w:rPr>
        <w:instrText xml:space="preserve"> EQ \o\ac(</w:instrText>
      </w:r>
      <w:r>
        <w:rPr>
          <w:rFonts w:hint="eastAsia" w:cs="宋体"/>
          <w:color w:val="auto"/>
          <w:position w:val="-4"/>
          <w:sz w:val="31"/>
          <w:szCs w:val="21"/>
          <w:highlight w:val="none"/>
          <w:u w:val="single"/>
        </w:rPr>
        <w:instrText xml:space="preserve">○</w:instrText>
      </w:r>
      <w:r>
        <w:rPr>
          <w:rFonts w:hint="eastAsia" w:cs="宋体"/>
          <w:color w:val="auto"/>
          <w:sz w:val="21"/>
          <w:szCs w:val="21"/>
          <w:highlight w:val="none"/>
          <w:u w:val="single"/>
        </w:rPr>
        <w:instrText xml:space="preserve">,</w:instrText>
      </w:r>
      <w:r>
        <w:rPr>
          <w:rFonts w:hint="eastAsia" w:cs="宋体"/>
          <w:color w:val="auto"/>
          <w:position w:val="0"/>
          <w:sz w:val="21"/>
          <w:szCs w:val="21"/>
          <w:highlight w:val="none"/>
          <w:u w:val="single"/>
        </w:rPr>
        <w:instrText xml:space="preserve">11</w:instrText>
      </w:r>
      <w:r>
        <w:rPr>
          <w:rFonts w:hint="eastAsia" w:cs="宋体"/>
          <w:color w:val="auto"/>
          <w:sz w:val="21"/>
          <w:szCs w:val="21"/>
          <w:highlight w:val="none"/>
          <w:u w:val="single"/>
        </w:rPr>
        <w:instrText xml:space="preserve">)</w:instrText>
      </w:r>
      <w:r>
        <w:rPr>
          <w:rFonts w:hint="eastAsia" w:cs="宋体"/>
          <w:color w:val="auto"/>
          <w:sz w:val="21"/>
          <w:szCs w:val="21"/>
          <w:highlight w:val="none"/>
          <w:u w:val="single"/>
        </w:rPr>
        <w:fldChar w:fldCharType="end"/>
      </w:r>
      <w:r>
        <w:rPr>
          <w:rFonts w:hint="eastAsia" w:cs="宋体"/>
          <w:color w:val="auto"/>
          <w:sz w:val="21"/>
          <w:szCs w:val="21"/>
          <w:highlight w:val="none"/>
          <w:u w:val="single"/>
        </w:rPr>
        <w:t>承包人应积极主动对其分包进行管理，承担对分包管理不利的连带责任；</w:t>
      </w:r>
    </w:p>
    <w:p w14:paraId="6161745B">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fldChar w:fldCharType="begin"/>
      </w:r>
      <w:r>
        <w:rPr>
          <w:rFonts w:hint="eastAsia" w:cs="宋体"/>
          <w:color w:val="auto"/>
          <w:sz w:val="21"/>
          <w:szCs w:val="21"/>
          <w:highlight w:val="none"/>
          <w:u w:val="single"/>
        </w:rPr>
        <w:instrText xml:space="preserve"> EQ \o\ac(</w:instrText>
      </w:r>
      <w:r>
        <w:rPr>
          <w:rFonts w:hint="eastAsia" w:cs="宋体"/>
          <w:color w:val="auto"/>
          <w:position w:val="-4"/>
          <w:sz w:val="31"/>
          <w:szCs w:val="21"/>
          <w:highlight w:val="none"/>
          <w:u w:val="single"/>
        </w:rPr>
        <w:instrText xml:space="preserve">○</w:instrText>
      </w:r>
      <w:r>
        <w:rPr>
          <w:rFonts w:hint="eastAsia" w:cs="宋体"/>
          <w:color w:val="auto"/>
          <w:sz w:val="21"/>
          <w:szCs w:val="21"/>
          <w:highlight w:val="none"/>
          <w:u w:val="single"/>
        </w:rPr>
        <w:instrText xml:space="preserve">,</w:instrText>
      </w:r>
      <w:r>
        <w:rPr>
          <w:rFonts w:hint="eastAsia" w:cs="宋体"/>
          <w:color w:val="auto"/>
          <w:position w:val="0"/>
          <w:sz w:val="21"/>
          <w:szCs w:val="21"/>
          <w:highlight w:val="none"/>
          <w:u w:val="single"/>
        </w:rPr>
        <w:instrText xml:space="preserve">12</w:instrText>
      </w:r>
      <w:r>
        <w:rPr>
          <w:rFonts w:hint="eastAsia" w:cs="宋体"/>
          <w:color w:val="auto"/>
          <w:sz w:val="21"/>
          <w:szCs w:val="21"/>
          <w:highlight w:val="none"/>
          <w:u w:val="single"/>
        </w:rPr>
        <w:instrText xml:space="preserve">)</w:instrText>
      </w:r>
      <w:r>
        <w:rPr>
          <w:rFonts w:hint="eastAsia" w:cs="宋体"/>
          <w:color w:val="auto"/>
          <w:sz w:val="21"/>
          <w:szCs w:val="21"/>
          <w:highlight w:val="none"/>
          <w:u w:val="single"/>
        </w:rPr>
        <w:fldChar w:fldCharType="end"/>
      </w:r>
      <w:r>
        <w:rPr>
          <w:rFonts w:hint="eastAsia" w:cs="宋体"/>
          <w:color w:val="auto"/>
          <w:sz w:val="21"/>
          <w:szCs w:val="21"/>
          <w:highlight w:val="none"/>
          <w:u w:val="single"/>
        </w:rPr>
        <w:t>承包人应认真核查图纸和技术资料，当图纸和技术资料出现明显错漏、与现场施工条件不符、各专业之间互相矛盾时应及时报告发包人代表，故意瞒而不报或盲目施工引起的损失由承包人承担；</w:t>
      </w:r>
    </w:p>
    <w:p w14:paraId="44D122F7">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fldChar w:fldCharType="begin"/>
      </w:r>
      <w:r>
        <w:rPr>
          <w:rFonts w:hint="eastAsia" w:cs="宋体"/>
          <w:color w:val="auto"/>
          <w:sz w:val="21"/>
          <w:szCs w:val="21"/>
          <w:highlight w:val="none"/>
          <w:u w:val="single"/>
        </w:rPr>
        <w:instrText xml:space="preserve"> EQ \o\ac(</w:instrText>
      </w:r>
      <w:r>
        <w:rPr>
          <w:rFonts w:hint="eastAsia" w:cs="宋体"/>
          <w:color w:val="auto"/>
          <w:position w:val="-4"/>
          <w:sz w:val="31"/>
          <w:szCs w:val="21"/>
          <w:highlight w:val="none"/>
          <w:u w:val="single"/>
        </w:rPr>
        <w:instrText xml:space="preserve">○</w:instrText>
      </w:r>
      <w:r>
        <w:rPr>
          <w:rFonts w:hint="eastAsia" w:cs="宋体"/>
          <w:color w:val="auto"/>
          <w:sz w:val="21"/>
          <w:szCs w:val="21"/>
          <w:highlight w:val="none"/>
          <w:u w:val="single"/>
        </w:rPr>
        <w:instrText xml:space="preserve">,</w:instrText>
      </w:r>
      <w:r>
        <w:rPr>
          <w:rFonts w:hint="eastAsia" w:cs="宋体"/>
          <w:color w:val="auto"/>
          <w:position w:val="0"/>
          <w:sz w:val="21"/>
          <w:szCs w:val="21"/>
          <w:highlight w:val="none"/>
          <w:u w:val="single"/>
        </w:rPr>
        <w:instrText xml:space="preserve">13</w:instrText>
      </w:r>
      <w:r>
        <w:rPr>
          <w:rFonts w:hint="eastAsia" w:cs="宋体"/>
          <w:color w:val="auto"/>
          <w:sz w:val="21"/>
          <w:szCs w:val="21"/>
          <w:highlight w:val="none"/>
          <w:u w:val="single"/>
        </w:rPr>
        <w:instrText xml:space="preserve">)</w:instrText>
      </w:r>
      <w:r>
        <w:rPr>
          <w:rFonts w:hint="eastAsia" w:cs="宋体"/>
          <w:color w:val="auto"/>
          <w:sz w:val="21"/>
          <w:szCs w:val="21"/>
          <w:highlight w:val="none"/>
          <w:u w:val="single"/>
        </w:rPr>
        <w:fldChar w:fldCharType="end"/>
      </w:r>
      <w:r>
        <w:rPr>
          <w:rFonts w:hint="eastAsia" w:cs="宋体"/>
          <w:color w:val="auto"/>
          <w:sz w:val="21"/>
          <w:szCs w:val="21"/>
          <w:highlight w:val="none"/>
          <w:u w:val="single"/>
        </w:rPr>
        <w:t>承包人应确保安全文明施工措施费的使用，安全文明施工、规范管理、认真进行环境保护，树立良好的形象；</w:t>
      </w:r>
    </w:p>
    <w:p w14:paraId="74FC93FD">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fldChar w:fldCharType="begin"/>
      </w:r>
      <w:r>
        <w:rPr>
          <w:rFonts w:hint="eastAsia" w:cs="宋体"/>
          <w:color w:val="auto"/>
          <w:sz w:val="21"/>
          <w:szCs w:val="21"/>
          <w:highlight w:val="none"/>
          <w:u w:val="single"/>
        </w:rPr>
        <w:instrText xml:space="preserve"> EQ \o\ac(</w:instrText>
      </w:r>
      <w:r>
        <w:rPr>
          <w:rFonts w:hint="eastAsia" w:cs="宋体"/>
          <w:color w:val="auto"/>
          <w:position w:val="-4"/>
          <w:sz w:val="31"/>
          <w:szCs w:val="21"/>
          <w:highlight w:val="none"/>
          <w:u w:val="single"/>
        </w:rPr>
        <w:instrText xml:space="preserve">○</w:instrText>
      </w:r>
      <w:r>
        <w:rPr>
          <w:rFonts w:hint="eastAsia" w:cs="宋体"/>
          <w:color w:val="auto"/>
          <w:sz w:val="21"/>
          <w:szCs w:val="21"/>
          <w:highlight w:val="none"/>
          <w:u w:val="single"/>
        </w:rPr>
        <w:instrText xml:space="preserve">,</w:instrText>
      </w:r>
      <w:r>
        <w:rPr>
          <w:rFonts w:hint="eastAsia" w:cs="宋体"/>
          <w:color w:val="auto"/>
          <w:position w:val="0"/>
          <w:sz w:val="21"/>
          <w:szCs w:val="21"/>
          <w:highlight w:val="none"/>
          <w:u w:val="single"/>
        </w:rPr>
        <w:instrText xml:space="preserve">14</w:instrText>
      </w:r>
      <w:r>
        <w:rPr>
          <w:rFonts w:hint="eastAsia" w:cs="宋体"/>
          <w:color w:val="auto"/>
          <w:sz w:val="21"/>
          <w:szCs w:val="21"/>
          <w:highlight w:val="none"/>
          <w:u w:val="single"/>
        </w:rPr>
        <w:instrText xml:space="preserve">)</w:instrText>
      </w:r>
      <w:r>
        <w:rPr>
          <w:rFonts w:hint="eastAsia" w:cs="宋体"/>
          <w:color w:val="auto"/>
          <w:sz w:val="21"/>
          <w:szCs w:val="21"/>
          <w:highlight w:val="none"/>
          <w:u w:val="single"/>
        </w:rPr>
        <w:fldChar w:fldCharType="end"/>
      </w:r>
      <w:r>
        <w:rPr>
          <w:rFonts w:hint="eastAsia" w:cs="宋体"/>
          <w:color w:val="auto"/>
          <w:sz w:val="21"/>
          <w:szCs w:val="21"/>
          <w:highlight w:val="none"/>
          <w:u w:val="single"/>
        </w:rPr>
        <w:t>承包人应负责出具工程承包范围内需深化设计的专业工程设计方案及图纸，并报发包人审核通过后进行施工；深化设计及出图费用由承包人承担，图纸套数以发包人要求为准。</w:t>
      </w:r>
    </w:p>
    <w:p w14:paraId="6305A437">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fldChar w:fldCharType="begin"/>
      </w:r>
      <w:r>
        <w:rPr>
          <w:rFonts w:hint="eastAsia" w:cs="宋体"/>
          <w:color w:val="auto"/>
          <w:sz w:val="21"/>
          <w:szCs w:val="21"/>
          <w:highlight w:val="none"/>
          <w:u w:val="single"/>
        </w:rPr>
        <w:instrText xml:space="preserve"> EQ \o\ac(</w:instrText>
      </w:r>
      <w:r>
        <w:rPr>
          <w:rFonts w:hint="eastAsia" w:cs="宋体"/>
          <w:color w:val="auto"/>
          <w:position w:val="-4"/>
          <w:sz w:val="31"/>
          <w:szCs w:val="21"/>
          <w:highlight w:val="none"/>
          <w:u w:val="single"/>
        </w:rPr>
        <w:instrText xml:space="preserve">○</w:instrText>
      </w:r>
      <w:r>
        <w:rPr>
          <w:rFonts w:hint="eastAsia" w:cs="宋体"/>
          <w:color w:val="auto"/>
          <w:sz w:val="21"/>
          <w:szCs w:val="21"/>
          <w:highlight w:val="none"/>
          <w:u w:val="single"/>
        </w:rPr>
        <w:instrText xml:space="preserve">,</w:instrText>
      </w:r>
      <w:r>
        <w:rPr>
          <w:rFonts w:hint="eastAsia" w:cs="宋体"/>
          <w:color w:val="auto"/>
          <w:position w:val="0"/>
          <w:sz w:val="21"/>
          <w:szCs w:val="21"/>
          <w:highlight w:val="none"/>
          <w:u w:val="single"/>
        </w:rPr>
        <w:instrText xml:space="preserve">15</w:instrText>
      </w:r>
      <w:r>
        <w:rPr>
          <w:rFonts w:hint="eastAsia" w:cs="宋体"/>
          <w:color w:val="auto"/>
          <w:sz w:val="21"/>
          <w:szCs w:val="21"/>
          <w:highlight w:val="none"/>
          <w:u w:val="single"/>
        </w:rPr>
        <w:instrText xml:space="preserve">)</w:instrText>
      </w:r>
      <w:r>
        <w:rPr>
          <w:rFonts w:hint="eastAsia" w:cs="宋体"/>
          <w:color w:val="auto"/>
          <w:sz w:val="21"/>
          <w:szCs w:val="21"/>
          <w:highlight w:val="none"/>
          <w:u w:val="single"/>
        </w:rPr>
        <w:fldChar w:fldCharType="end"/>
      </w:r>
      <w:r>
        <w:rPr>
          <w:rFonts w:hint="eastAsia" w:cs="宋体"/>
          <w:color w:val="auto"/>
          <w:sz w:val="21"/>
          <w:szCs w:val="21"/>
          <w:highlight w:val="none"/>
          <w:u w:val="single"/>
        </w:rPr>
        <w:t>承包人应配合发包人委托的桩基检测及结构检测等检测单位，完成相应的检测工作。</w:t>
      </w:r>
    </w:p>
    <w:p w14:paraId="6783822D">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fldChar w:fldCharType="begin"/>
      </w:r>
      <w:r>
        <w:rPr>
          <w:rFonts w:hint="eastAsia" w:cs="宋体"/>
          <w:color w:val="auto"/>
          <w:sz w:val="21"/>
          <w:szCs w:val="21"/>
          <w:highlight w:val="none"/>
          <w:u w:val="single"/>
        </w:rPr>
        <w:instrText xml:space="preserve"> EQ \o\ac(</w:instrText>
      </w:r>
      <w:r>
        <w:rPr>
          <w:rFonts w:hint="eastAsia" w:cs="宋体"/>
          <w:color w:val="auto"/>
          <w:position w:val="-4"/>
          <w:sz w:val="31"/>
          <w:szCs w:val="21"/>
          <w:highlight w:val="none"/>
          <w:u w:val="single"/>
        </w:rPr>
        <w:instrText xml:space="preserve">○</w:instrText>
      </w:r>
      <w:r>
        <w:rPr>
          <w:rFonts w:hint="eastAsia" w:cs="宋体"/>
          <w:color w:val="auto"/>
          <w:sz w:val="21"/>
          <w:szCs w:val="21"/>
          <w:highlight w:val="none"/>
          <w:u w:val="single"/>
        </w:rPr>
        <w:instrText xml:space="preserve">,</w:instrText>
      </w:r>
      <w:r>
        <w:rPr>
          <w:rFonts w:hint="eastAsia" w:cs="宋体"/>
          <w:color w:val="auto"/>
          <w:position w:val="0"/>
          <w:sz w:val="21"/>
          <w:szCs w:val="21"/>
          <w:highlight w:val="none"/>
          <w:u w:val="single"/>
        </w:rPr>
        <w:instrText xml:space="preserve">16</w:instrText>
      </w:r>
      <w:r>
        <w:rPr>
          <w:rFonts w:hint="eastAsia" w:cs="宋体"/>
          <w:color w:val="auto"/>
          <w:sz w:val="21"/>
          <w:szCs w:val="21"/>
          <w:highlight w:val="none"/>
          <w:u w:val="single"/>
        </w:rPr>
        <w:instrText xml:space="preserve">)</w:instrText>
      </w:r>
      <w:r>
        <w:rPr>
          <w:rFonts w:hint="eastAsia" w:cs="宋体"/>
          <w:color w:val="auto"/>
          <w:sz w:val="21"/>
          <w:szCs w:val="21"/>
          <w:highlight w:val="none"/>
          <w:u w:val="single"/>
        </w:rPr>
        <w:fldChar w:fldCharType="end"/>
      </w:r>
      <w:r>
        <w:rPr>
          <w:rFonts w:hint="eastAsia" w:cs="宋体"/>
          <w:color w:val="auto"/>
          <w:sz w:val="21"/>
          <w:szCs w:val="21"/>
          <w:highlight w:val="none"/>
          <w:u w:val="single"/>
        </w:rPr>
        <w:t>发包人按合同约定支付承包人的各项价款应专用于合同工程。承包人须在发包人指定的银行开户，并与发包人、银行共同签订《工程资金监管协议》，接受发包人对资金的监管。承包人应向发包人授权进行本合同工程开户银行工程资金的查询。发包人支付的工程进度款系本工程的专款专用资金，承包人不得转移或用于其他工程。发包人支付的工程进度款项将转入在该银行所设的专门账户，发包人及上级主管部门有权定期对承包人工程资金使用情况进行检查，发现问题时承包人应在发包人要求的期限内改正，否则发包人有权停止支付工程进度款，直至承包人完成整改为止。具体权利义务以三方签订的《工程资金监管协议》约定内容为准。</w:t>
      </w:r>
    </w:p>
    <w:p w14:paraId="407DB61F">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fldChar w:fldCharType="begin"/>
      </w:r>
      <w:r>
        <w:rPr>
          <w:rFonts w:hint="eastAsia" w:cs="宋体"/>
          <w:color w:val="auto"/>
          <w:sz w:val="21"/>
          <w:szCs w:val="21"/>
          <w:highlight w:val="none"/>
          <w:u w:val="single"/>
        </w:rPr>
        <w:instrText xml:space="preserve"> EQ \o\ac(</w:instrText>
      </w:r>
      <w:r>
        <w:rPr>
          <w:rFonts w:hint="eastAsia" w:cs="宋体"/>
          <w:color w:val="auto"/>
          <w:position w:val="-4"/>
          <w:sz w:val="31"/>
          <w:szCs w:val="21"/>
          <w:highlight w:val="none"/>
          <w:u w:val="single"/>
        </w:rPr>
        <w:instrText xml:space="preserve">○</w:instrText>
      </w:r>
      <w:r>
        <w:rPr>
          <w:rFonts w:hint="eastAsia" w:cs="宋体"/>
          <w:color w:val="auto"/>
          <w:sz w:val="21"/>
          <w:szCs w:val="21"/>
          <w:highlight w:val="none"/>
          <w:u w:val="single"/>
        </w:rPr>
        <w:instrText xml:space="preserve">,</w:instrText>
      </w:r>
      <w:r>
        <w:rPr>
          <w:rFonts w:hint="eastAsia" w:cs="宋体"/>
          <w:color w:val="auto"/>
          <w:position w:val="0"/>
          <w:sz w:val="21"/>
          <w:szCs w:val="21"/>
          <w:highlight w:val="none"/>
          <w:u w:val="single"/>
        </w:rPr>
        <w:instrText xml:space="preserve">17</w:instrText>
      </w:r>
      <w:r>
        <w:rPr>
          <w:rFonts w:hint="eastAsia" w:cs="宋体"/>
          <w:color w:val="auto"/>
          <w:sz w:val="21"/>
          <w:szCs w:val="21"/>
          <w:highlight w:val="none"/>
          <w:u w:val="single"/>
        </w:rPr>
        <w:instrText xml:space="preserve">)</w:instrText>
      </w:r>
      <w:r>
        <w:rPr>
          <w:rFonts w:hint="eastAsia" w:cs="宋体"/>
          <w:color w:val="auto"/>
          <w:sz w:val="21"/>
          <w:szCs w:val="21"/>
          <w:highlight w:val="none"/>
          <w:u w:val="single"/>
        </w:rPr>
        <w:fldChar w:fldCharType="end"/>
      </w:r>
      <w:r>
        <w:rPr>
          <w:rFonts w:hint="eastAsia" w:cs="宋体"/>
          <w:color w:val="auto"/>
          <w:sz w:val="21"/>
          <w:szCs w:val="21"/>
          <w:highlight w:val="none"/>
          <w:u w:val="single"/>
        </w:rPr>
        <w:t>承包人应以人为本，打造和谐农民工劳动环境。应建立农民工工资发放的制度保障；建立农民工身体健康的卫生保障；建立维护农民工权益的组织保障。</w:t>
      </w:r>
    </w:p>
    <w:p w14:paraId="1651D215">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t>1）承包人应当按照有关规定开设农民工工资专用账户，专项用于支付该工程建设项目农民工工资。承包人应当保障农民工工资按时足额支付，人工费用拨付周期按照《保障农民工工资支付条例》（国令第724号）的相关规定执行。</w:t>
      </w:r>
    </w:p>
    <w:p w14:paraId="2D1AEEFB">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t>2）承包人或劳务分包人必须与农民工依法签订合同，并将合同报监理人备案。承包人和劳务分包人必须按照有关法律、法规规定落实各项劳动保护措施。</w:t>
      </w:r>
    </w:p>
    <w:p w14:paraId="400E5AFF">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t>3）发包人和监理人有权监督承包人使用农民工的管理，对不签订合同、非法使用农民工的，或者拖延和克扣农民工工资的，及时予以纠正。若因上述原因造成农民工上访、纠纷等情况，承包人须承担一切经济和法律责任。</w:t>
      </w:r>
    </w:p>
    <w:p w14:paraId="0D9998B1">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fldChar w:fldCharType="begin"/>
      </w:r>
      <w:r>
        <w:rPr>
          <w:rFonts w:hint="eastAsia" w:cs="宋体"/>
          <w:color w:val="auto"/>
          <w:sz w:val="21"/>
          <w:szCs w:val="21"/>
          <w:highlight w:val="none"/>
          <w:u w:val="single"/>
        </w:rPr>
        <w:instrText xml:space="preserve"> EQ \o\ac(</w:instrText>
      </w:r>
      <w:r>
        <w:rPr>
          <w:rFonts w:hint="eastAsia" w:cs="宋体"/>
          <w:color w:val="auto"/>
          <w:position w:val="-4"/>
          <w:sz w:val="31"/>
          <w:szCs w:val="21"/>
          <w:highlight w:val="none"/>
          <w:u w:val="single"/>
        </w:rPr>
        <w:instrText xml:space="preserve">○</w:instrText>
      </w:r>
      <w:r>
        <w:rPr>
          <w:rFonts w:hint="eastAsia" w:cs="宋体"/>
          <w:color w:val="auto"/>
          <w:sz w:val="21"/>
          <w:szCs w:val="21"/>
          <w:highlight w:val="none"/>
          <w:u w:val="single"/>
        </w:rPr>
        <w:instrText xml:space="preserve">,</w:instrText>
      </w:r>
      <w:r>
        <w:rPr>
          <w:rFonts w:hint="eastAsia" w:cs="宋体"/>
          <w:color w:val="auto"/>
          <w:position w:val="0"/>
          <w:sz w:val="21"/>
          <w:szCs w:val="21"/>
          <w:highlight w:val="none"/>
          <w:u w:val="single"/>
        </w:rPr>
        <w:instrText xml:space="preserve">18</w:instrText>
      </w:r>
      <w:r>
        <w:rPr>
          <w:rFonts w:hint="eastAsia" w:cs="宋体"/>
          <w:color w:val="auto"/>
          <w:sz w:val="21"/>
          <w:szCs w:val="21"/>
          <w:highlight w:val="none"/>
          <w:u w:val="single"/>
        </w:rPr>
        <w:instrText xml:space="preserve">)</w:instrText>
      </w:r>
      <w:r>
        <w:rPr>
          <w:rFonts w:hint="eastAsia" w:cs="宋体"/>
          <w:color w:val="auto"/>
          <w:sz w:val="21"/>
          <w:szCs w:val="21"/>
          <w:highlight w:val="none"/>
          <w:u w:val="single"/>
        </w:rPr>
        <w:fldChar w:fldCharType="end"/>
      </w:r>
      <w:r>
        <w:rPr>
          <w:rFonts w:hint="eastAsia" w:cs="宋体"/>
          <w:color w:val="auto"/>
          <w:sz w:val="21"/>
          <w:szCs w:val="21"/>
          <w:highlight w:val="none"/>
          <w:u w:val="single"/>
        </w:rPr>
        <w:t>承包人应当按照有关规定存储工资保证金，专项用于支付为所承包工程提供劳动的农民工被拖欠的工资。</w:t>
      </w:r>
    </w:p>
    <w:p w14:paraId="2E6A1FD0">
      <w:pPr>
        <w:pStyle w:val="2"/>
        <w:pageBreakBefore w:val="0"/>
        <w:kinsoku/>
        <w:overflowPunct/>
        <w:bidi w:val="0"/>
        <w:spacing w:after="0" w:afterLines="0" w:line="360" w:lineRule="auto"/>
        <w:textAlignment w:val="auto"/>
        <w:rPr>
          <w:rFonts w:hint="eastAsia"/>
          <w:color w:val="auto"/>
          <w:sz w:val="21"/>
          <w:szCs w:val="21"/>
          <w:highlight w:val="none"/>
        </w:rPr>
      </w:pPr>
      <w:r>
        <w:rPr>
          <w:rFonts w:hint="eastAsia" w:ascii="宋体" w:hAnsi="宋体"/>
          <w:color w:val="auto"/>
          <w:sz w:val="21"/>
          <w:szCs w:val="21"/>
          <w:highlight w:val="none"/>
          <w:u w:val="single" w:color="000000"/>
        </w:rPr>
        <w:fldChar w:fldCharType="begin"/>
      </w:r>
      <w:r>
        <w:rPr>
          <w:rFonts w:hint="eastAsia" w:ascii="宋体" w:hAnsi="宋体"/>
          <w:color w:val="auto"/>
          <w:sz w:val="21"/>
          <w:szCs w:val="21"/>
          <w:highlight w:val="none"/>
          <w:u w:val="single" w:color="000000"/>
        </w:rPr>
        <w:instrText xml:space="preserve"> EQ \o\ac(</w:instrText>
      </w:r>
      <w:r>
        <w:rPr>
          <w:rFonts w:hint="eastAsia" w:ascii="宋体" w:hAnsi="宋体"/>
          <w:color w:val="auto"/>
          <w:position w:val="-4"/>
          <w:sz w:val="31"/>
          <w:szCs w:val="21"/>
          <w:highlight w:val="none"/>
          <w:u w:val="single" w:color="000000"/>
        </w:rPr>
        <w:instrText xml:space="preserve">○</w:instrText>
      </w:r>
      <w:r>
        <w:rPr>
          <w:rFonts w:hint="eastAsia" w:ascii="宋体" w:hAnsi="宋体"/>
          <w:color w:val="auto"/>
          <w:sz w:val="21"/>
          <w:szCs w:val="21"/>
          <w:highlight w:val="none"/>
          <w:u w:val="single" w:color="000000"/>
        </w:rPr>
        <w:instrText xml:space="preserve">,</w:instrText>
      </w:r>
      <w:r>
        <w:rPr>
          <w:rFonts w:hint="eastAsia" w:ascii="宋体" w:hAnsi="宋体"/>
          <w:color w:val="auto"/>
          <w:position w:val="0"/>
          <w:sz w:val="21"/>
          <w:szCs w:val="21"/>
          <w:highlight w:val="none"/>
          <w:u w:val="single" w:color="000000"/>
        </w:rPr>
        <w:instrText xml:space="preserve">19</w:instrText>
      </w:r>
      <w:r>
        <w:rPr>
          <w:rFonts w:hint="eastAsia" w:ascii="宋体" w:hAnsi="宋体"/>
          <w:color w:val="auto"/>
          <w:sz w:val="21"/>
          <w:szCs w:val="21"/>
          <w:highlight w:val="none"/>
          <w:u w:val="single" w:color="000000"/>
        </w:rPr>
        <w:instrText xml:space="preserve">)</w:instrText>
      </w:r>
      <w:r>
        <w:rPr>
          <w:rFonts w:hint="eastAsia" w:ascii="宋体" w:hAnsi="宋体"/>
          <w:color w:val="auto"/>
          <w:sz w:val="21"/>
          <w:szCs w:val="21"/>
          <w:highlight w:val="none"/>
          <w:u w:val="single" w:color="000000"/>
        </w:rPr>
        <w:fldChar w:fldCharType="end"/>
      </w:r>
      <w:r>
        <w:rPr>
          <w:rFonts w:hint="eastAsia" w:ascii="宋体" w:hAnsi="宋体"/>
          <w:color w:val="auto"/>
          <w:sz w:val="21"/>
          <w:szCs w:val="21"/>
          <w:highlight w:val="none"/>
          <w:u w:val="single" w:color="000000"/>
        </w:rPr>
        <w:t>承包人应当</w:t>
      </w:r>
      <w:r>
        <w:rPr>
          <w:rFonts w:ascii="宋体" w:hAnsi="宋体"/>
          <w:color w:val="auto"/>
          <w:sz w:val="21"/>
          <w:szCs w:val="21"/>
          <w:highlight w:val="none"/>
          <w:u w:val="single" w:color="000000"/>
        </w:rPr>
        <w:t>执行海南省、</w:t>
      </w:r>
      <w:r>
        <w:rPr>
          <w:rFonts w:hint="eastAsia"/>
          <w:color w:val="auto"/>
          <w:sz w:val="21"/>
          <w:szCs w:val="21"/>
          <w:highlight w:val="none"/>
          <w:u w:val="single" w:color="000000"/>
          <w:lang w:eastAsia="zh-CN"/>
        </w:rPr>
        <w:t>三亚市</w:t>
      </w:r>
      <w:r>
        <w:rPr>
          <w:rFonts w:ascii="宋体" w:hAnsi="宋体"/>
          <w:color w:val="auto"/>
          <w:sz w:val="21"/>
          <w:szCs w:val="21"/>
          <w:highlight w:val="none"/>
          <w:u w:val="single" w:color="000000"/>
        </w:rPr>
        <w:t>关于本地农民工及贫困劳动力</w:t>
      </w:r>
      <w:r>
        <w:rPr>
          <w:rFonts w:hint="eastAsia" w:ascii="宋体" w:hAnsi="宋体"/>
          <w:color w:val="auto"/>
          <w:sz w:val="21"/>
          <w:szCs w:val="21"/>
          <w:highlight w:val="none"/>
          <w:u w:val="single" w:color="000000"/>
        </w:rPr>
        <w:t>务工</w:t>
      </w:r>
      <w:r>
        <w:rPr>
          <w:rFonts w:ascii="宋体" w:hAnsi="宋体"/>
          <w:color w:val="auto"/>
          <w:sz w:val="21"/>
          <w:szCs w:val="21"/>
          <w:highlight w:val="none"/>
          <w:u w:val="single" w:color="000000"/>
        </w:rPr>
        <w:t>要求的相关政策。</w:t>
      </w:r>
    </w:p>
    <w:p w14:paraId="04BE9DAC">
      <w:pPr>
        <w:pStyle w:val="2"/>
        <w:pageBreakBefore w:val="0"/>
        <w:kinsoku/>
        <w:overflowPunct/>
        <w:bidi w:val="0"/>
        <w:spacing w:after="0" w:afterLines="0" w:line="360" w:lineRule="auto"/>
        <w:textAlignment w:val="auto"/>
        <w:rPr>
          <w:rFonts w:hint="eastAsia" w:ascii="宋体" w:hAnsi="宋体" w:eastAsia="宋体" w:cs="宋体"/>
          <w:color w:val="auto"/>
          <w:sz w:val="21"/>
          <w:szCs w:val="21"/>
          <w:highlight w:val="none"/>
        </w:rPr>
      </w:pPr>
      <w:r>
        <w:rPr>
          <w:rFonts w:hint="eastAsia" w:cs="宋体"/>
          <w:color w:val="auto"/>
          <w:sz w:val="21"/>
          <w:szCs w:val="21"/>
          <w:highlight w:val="none"/>
          <w:u w:val="single"/>
        </w:rPr>
        <w:fldChar w:fldCharType="begin"/>
      </w:r>
      <w:r>
        <w:rPr>
          <w:rFonts w:hint="eastAsia" w:cs="宋体"/>
          <w:color w:val="auto"/>
          <w:sz w:val="21"/>
          <w:szCs w:val="21"/>
          <w:highlight w:val="none"/>
          <w:u w:val="single"/>
        </w:rPr>
        <w:instrText xml:space="preserve"> EQ \o\ac(</w:instrText>
      </w:r>
      <w:r>
        <w:rPr>
          <w:rFonts w:hint="eastAsia" w:cs="宋体"/>
          <w:color w:val="auto"/>
          <w:position w:val="-4"/>
          <w:sz w:val="31"/>
          <w:szCs w:val="21"/>
          <w:highlight w:val="none"/>
          <w:u w:val="single"/>
        </w:rPr>
        <w:instrText xml:space="preserve">○</w:instrText>
      </w:r>
      <w:r>
        <w:rPr>
          <w:rFonts w:hint="eastAsia" w:cs="宋体"/>
          <w:color w:val="auto"/>
          <w:sz w:val="21"/>
          <w:szCs w:val="21"/>
          <w:highlight w:val="none"/>
          <w:u w:val="single"/>
        </w:rPr>
        <w:instrText xml:space="preserve">,</w:instrText>
      </w:r>
      <w:r>
        <w:rPr>
          <w:rFonts w:hint="eastAsia" w:cs="宋体"/>
          <w:color w:val="auto"/>
          <w:position w:val="0"/>
          <w:sz w:val="21"/>
          <w:szCs w:val="21"/>
          <w:highlight w:val="none"/>
          <w:u w:val="single"/>
        </w:rPr>
        <w:instrText xml:space="preserve">20</w:instrText>
      </w:r>
      <w:r>
        <w:rPr>
          <w:rFonts w:hint="eastAsia" w:cs="宋体"/>
          <w:color w:val="auto"/>
          <w:sz w:val="21"/>
          <w:szCs w:val="21"/>
          <w:highlight w:val="none"/>
          <w:u w:val="single"/>
        </w:rPr>
        <w:instrText xml:space="preserve">)</w:instrText>
      </w:r>
      <w:r>
        <w:rPr>
          <w:rFonts w:hint="eastAsia" w:cs="宋体"/>
          <w:color w:val="auto"/>
          <w:sz w:val="21"/>
          <w:szCs w:val="21"/>
          <w:highlight w:val="none"/>
          <w:u w:val="single"/>
        </w:rPr>
        <w:fldChar w:fldCharType="end"/>
      </w:r>
      <w:r>
        <w:rPr>
          <w:rFonts w:hint="eastAsia" w:ascii="宋体" w:hAnsi="宋体" w:cs="宋体"/>
          <w:color w:val="auto"/>
          <w:sz w:val="21"/>
          <w:szCs w:val="21"/>
          <w:highlight w:val="none"/>
          <w:u w:val="single"/>
        </w:rPr>
        <w:t>在项目相关手续未完善前，承包人不得擅自进场施工。</w:t>
      </w:r>
    </w:p>
    <w:p w14:paraId="0D310EA6">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174" w:name="_Toc10388"/>
      <w:bookmarkStart w:id="175" w:name="_Toc25284"/>
      <w:bookmarkStart w:id="176" w:name="_Toc51829113"/>
      <w:r>
        <w:rPr>
          <w:rFonts w:hint="eastAsia" w:ascii="宋体" w:hAnsi="宋体" w:eastAsia="宋体" w:cs="宋体"/>
          <w:bCs w:val="0"/>
          <w:color w:val="auto"/>
          <w:kern w:val="2"/>
          <w:sz w:val="21"/>
          <w:szCs w:val="21"/>
          <w:highlight w:val="none"/>
          <w:lang w:val="en-US" w:eastAsia="zh-CN" w:bidi="ar-SA"/>
        </w:rPr>
        <w:t>3.2 项目经理</w:t>
      </w:r>
      <w:bookmarkEnd w:id="174"/>
      <w:bookmarkEnd w:id="175"/>
      <w:bookmarkEnd w:id="176"/>
    </w:p>
    <w:p w14:paraId="436941E1">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0"/>
          <w:sz w:val="21"/>
          <w:szCs w:val="21"/>
          <w:highlight w:val="none"/>
          <w:lang w:val="en-US" w:eastAsia="zh-CN" w:bidi="ar"/>
        </w:rPr>
        <w:t xml:space="preserve">3.2.1 </w:t>
      </w:r>
      <w:r>
        <w:rPr>
          <w:rFonts w:hint="eastAsia" w:ascii="宋体" w:hAnsi="宋体" w:eastAsia="宋体" w:cs="宋体"/>
          <w:color w:val="auto"/>
          <w:kern w:val="2"/>
          <w:sz w:val="21"/>
          <w:szCs w:val="21"/>
          <w:highlight w:val="none"/>
          <w:lang w:val="en-US" w:eastAsia="zh-CN" w:bidi="ar"/>
        </w:rPr>
        <w:t>项目经理：</w:t>
      </w:r>
    </w:p>
    <w:p w14:paraId="17D38783">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4.3.1 工程</w:t>
      </w:r>
      <w:r>
        <w:rPr>
          <w:rFonts w:hint="eastAsia" w:eastAsia="宋体" w:cs="宋体"/>
          <w:color w:val="auto"/>
          <w:sz w:val="21"/>
          <w:szCs w:val="21"/>
          <w:lang w:eastAsia="zh-CN"/>
        </w:rPr>
        <w:t>施工</w:t>
      </w:r>
      <w:r>
        <w:rPr>
          <w:rFonts w:hint="eastAsia" w:ascii="宋体" w:hAnsi="宋体" w:eastAsia="宋体" w:cs="宋体"/>
          <w:color w:val="auto"/>
          <w:sz w:val="21"/>
          <w:szCs w:val="21"/>
        </w:rPr>
        <w:t>项目经理姓名：</w:t>
      </w:r>
      <w:r>
        <w:rPr>
          <w:rFonts w:hint="eastAsia" w:ascii="宋体" w:hAnsi="宋体" w:eastAsia="宋体" w:cs="宋体"/>
          <w:color w:val="auto"/>
          <w:sz w:val="21"/>
          <w:szCs w:val="21"/>
          <w:u w:val="single"/>
        </w:rPr>
        <w:t xml:space="preserve">        </w:t>
      </w:r>
      <w:r>
        <w:rPr>
          <w:rFonts w:hint="eastAsia" w:eastAsia="宋体" w:cs="宋体"/>
          <w:color w:val="auto"/>
          <w:sz w:val="21"/>
          <w:szCs w:val="21"/>
          <w:u w:val="single"/>
          <w:lang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1DC29460">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执业资格或职称类型：</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3DF7D793">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执业资格证或职称证号码：</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2D91F54F">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联系电话：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32223135">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电子邮箱：</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49EBF8D0">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rPr>
        <w:t>通信地址：</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11B6CCA7">
      <w:pPr>
        <w:pageBreakBefore w:val="0"/>
        <w:kinsoku/>
        <w:overflowPunct/>
        <w:bidi w:val="0"/>
        <w:spacing w:after="0" w:afterLines="0" w:line="360" w:lineRule="auto"/>
        <w:ind w:firstLine="420" w:firstLineChars="200"/>
        <w:textAlignment w:val="auto"/>
        <w:rPr>
          <w:rFonts w:hint="eastAsia" w:cs="宋体"/>
          <w:color w:val="auto"/>
          <w:sz w:val="21"/>
          <w:szCs w:val="21"/>
          <w:highlight w:val="none"/>
        </w:rPr>
      </w:pPr>
      <w:r>
        <w:rPr>
          <w:rFonts w:hint="eastAsia" w:cs="宋体"/>
          <w:color w:val="auto"/>
          <w:sz w:val="21"/>
          <w:szCs w:val="21"/>
          <w:highlight w:val="none"/>
        </w:rPr>
        <w:t>承包人对项目经理的授权范围如下：</w:t>
      </w:r>
      <w:r>
        <w:rPr>
          <w:rFonts w:hint="eastAsia" w:cs="宋体"/>
          <w:color w:val="auto"/>
          <w:sz w:val="21"/>
          <w:szCs w:val="21"/>
          <w:highlight w:val="none"/>
          <w:u w:val="single"/>
        </w:rPr>
        <w:t>负责处理合同履行过程中与发、承包双方有关的具体事宜</w:t>
      </w:r>
      <w:r>
        <w:rPr>
          <w:rFonts w:hint="eastAsia" w:cs="宋体"/>
          <w:color w:val="auto"/>
          <w:sz w:val="21"/>
          <w:szCs w:val="21"/>
          <w:highlight w:val="none"/>
        </w:rPr>
        <w:t>。</w:t>
      </w:r>
    </w:p>
    <w:p w14:paraId="29F51654">
      <w:pPr>
        <w:pageBreakBefore w:val="0"/>
        <w:kinsoku/>
        <w:overflowPunct/>
        <w:bidi w:val="0"/>
        <w:spacing w:after="0" w:afterLines="0" w:line="360" w:lineRule="auto"/>
        <w:ind w:firstLine="420" w:firstLineChars="200"/>
        <w:jc w:val="left"/>
        <w:textAlignment w:val="auto"/>
        <w:rPr>
          <w:rFonts w:hint="eastAsia" w:cs="宋体"/>
          <w:color w:val="auto"/>
          <w:sz w:val="21"/>
          <w:szCs w:val="21"/>
          <w:highlight w:val="none"/>
        </w:rPr>
      </w:pPr>
      <w:r>
        <w:rPr>
          <w:rFonts w:hint="eastAsia" w:cs="宋体"/>
          <w:color w:val="auto"/>
          <w:kern w:val="0"/>
          <w:sz w:val="21"/>
          <w:szCs w:val="21"/>
          <w:highlight w:val="none"/>
        </w:rPr>
        <w:t>关于项目经理每月在施工现场的时间要求：</w:t>
      </w:r>
      <w:r>
        <w:rPr>
          <w:rFonts w:hint="eastAsia" w:cs="宋体"/>
          <w:color w:val="auto"/>
          <w:sz w:val="21"/>
          <w:szCs w:val="21"/>
          <w:highlight w:val="none"/>
          <w:u w:val="single"/>
        </w:rPr>
        <w:t>常驻施工现场不少于22日历天</w:t>
      </w:r>
      <w:r>
        <w:rPr>
          <w:rFonts w:hint="eastAsia" w:cs="宋体"/>
          <w:color w:val="auto"/>
          <w:sz w:val="21"/>
          <w:szCs w:val="21"/>
          <w:highlight w:val="none"/>
        </w:rPr>
        <w:t>。</w:t>
      </w:r>
    </w:p>
    <w:p w14:paraId="15C4EF63">
      <w:pPr>
        <w:pageBreakBefore w:val="0"/>
        <w:kinsoku/>
        <w:overflowPunct/>
        <w:bidi w:val="0"/>
        <w:spacing w:after="0" w:afterLines="0" w:line="360" w:lineRule="auto"/>
        <w:ind w:firstLine="420" w:firstLineChars="200"/>
        <w:textAlignment w:val="auto"/>
        <w:rPr>
          <w:rFonts w:hint="eastAsia" w:cs="宋体"/>
          <w:color w:val="auto"/>
          <w:kern w:val="0"/>
          <w:sz w:val="21"/>
          <w:szCs w:val="21"/>
          <w:highlight w:val="none"/>
        </w:rPr>
      </w:pPr>
      <w:r>
        <w:rPr>
          <w:rFonts w:hint="eastAsia" w:cs="宋体"/>
          <w:color w:val="auto"/>
          <w:kern w:val="0"/>
          <w:sz w:val="21"/>
          <w:szCs w:val="21"/>
          <w:highlight w:val="none"/>
        </w:rPr>
        <w:t>承包人未提交劳动合同，以及没有为项目经理缴纳社会保险证明的违约责任：</w:t>
      </w:r>
      <w:r>
        <w:rPr>
          <w:rFonts w:hint="eastAsia" w:cs="宋体"/>
          <w:color w:val="auto"/>
          <w:sz w:val="21"/>
          <w:szCs w:val="21"/>
          <w:highlight w:val="none"/>
          <w:u w:val="single"/>
        </w:rPr>
        <w:t xml:space="preserve">  发包人有权要求更换项目经理，并由承包人向发包人支付2万元/人次的违约金，发包人有权从工程款中直接扣除  </w:t>
      </w:r>
      <w:r>
        <w:rPr>
          <w:rFonts w:hint="eastAsia" w:cs="宋体"/>
          <w:color w:val="auto"/>
          <w:sz w:val="21"/>
          <w:szCs w:val="21"/>
          <w:highlight w:val="none"/>
        </w:rPr>
        <w:t>。</w:t>
      </w:r>
    </w:p>
    <w:p w14:paraId="22FC7E82">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kern w:val="0"/>
          <w:sz w:val="21"/>
          <w:szCs w:val="21"/>
          <w:highlight w:val="none"/>
        </w:rPr>
        <w:t>项目经理未经批准，擅自离开施工现场的违约责任：</w:t>
      </w:r>
      <w:r>
        <w:rPr>
          <w:rFonts w:hint="eastAsia" w:cs="宋体"/>
          <w:color w:val="auto"/>
          <w:sz w:val="21"/>
          <w:szCs w:val="21"/>
          <w:highlight w:val="none"/>
          <w:u w:val="single"/>
        </w:rPr>
        <w:t>按每天次交纳2000元违约金，发包人有权从工程款中直接扣除；项目经理每月擅自离开施工现场累计超过5日历天的，发包人有权要求更换项目经理，并由承包人向发包人另支付2万元/人次的违约金，发包人有权从工程款中直接扣除。</w:t>
      </w:r>
    </w:p>
    <w:p w14:paraId="20526FD2">
      <w:pPr>
        <w:pageBreakBefore w:val="0"/>
        <w:kinsoku/>
        <w:overflowPunct/>
        <w:bidi w:val="0"/>
        <w:spacing w:after="0" w:afterLines="0" w:line="360" w:lineRule="auto"/>
        <w:textAlignment w:val="auto"/>
        <w:rPr>
          <w:color w:val="auto"/>
          <w:sz w:val="21"/>
          <w:szCs w:val="21"/>
          <w:highlight w:val="none"/>
        </w:rPr>
      </w:pPr>
      <w:r>
        <w:rPr>
          <w:rFonts w:hint="eastAsia" w:cs="宋体"/>
          <w:color w:val="auto"/>
          <w:sz w:val="21"/>
          <w:szCs w:val="21"/>
          <w:highlight w:val="none"/>
        </w:rPr>
        <w:t>3.2.3 承包人擅自更换项目经理的违约责任：除符合</w:t>
      </w:r>
      <w:r>
        <w:rPr>
          <w:rFonts w:hint="eastAsia" w:cs="宋体"/>
          <w:b/>
          <w:bCs/>
          <w:color w:val="auto"/>
          <w:sz w:val="21"/>
          <w:szCs w:val="21"/>
          <w:highlight w:val="none"/>
        </w:rPr>
        <w:t>海南省住房和城乡建设厅关于印发《海南省建筑工程施工现场关键岗位人员配备和在岗履职管理办法》的通知（琼建管〔2021〕281号）</w:t>
      </w:r>
      <w:r>
        <w:rPr>
          <w:rFonts w:hint="eastAsia" w:cs="宋体"/>
          <w:color w:val="auto"/>
          <w:sz w:val="21"/>
          <w:szCs w:val="21"/>
          <w:highlight w:val="none"/>
        </w:rPr>
        <w:t>中允许承包人依法更换项目经理的情况并经发包人书面同意外，承包人擅自更换项目经理的，按每人次交纳2万元违约金，发包人有权从工程款中直接扣除。</w:t>
      </w:r>
    </w:p>
    <w:p w14:paraId="32AA6E0A">
      <w:pPr>
        <w:pStyle w:val="2"/>
        <w:pageBreakBefore w:val="0"/>
        <w:kinsoku/>
        <w:overflowPunct/>
        <w:bidi w:val="0"/>
        <w:spacing w:after="0" w:afterLines="0" w:line="360" w:lineRule="auto"/>
        <w:textAlignment w:val="auto"/>
        <w:rPr>
          <w:rFonts w:hint="eastAsia"/>
          <w:color w:val="auto"/>
          <w:sz w:val="21"/>
          <w:szCs w:val="21"/>
          <w:highlight w:val="none"/>
        </w:rPr>
      </w:pPr>
      <w:r>
        <w:rPr>
          <w:rFonts w:hint="eastAsia"/>
          <w:color w:val="auto"/>
          <w:sz w:val="21"/>
          <w:szCs w:val="21"/>
          <w:highlight w:val="none"/>
        </w:rPr>
        <w:t>超出更换次数的违约责任：承包人在合同履行过程中，更换项目经理的次数不能超过1次，否则，无论是否符合专用条款第3.2.3款前述约定，更换次数每超出1次，向发包人另支付2万元/人次违约金。</w:t>
      </w:r>
    </w:p>
    <w:p w14:paraId="5BB1FA63">
      <w:pPr>
        <w:pageBreakBefore w:val="0"/>
        <w:kinsoku/>
        <w:overflowPunct/>
        <w:bidi w:val="0"/>
        <w:spacing w:after="0" w:afterLines="0" w:line="360" w:lineRule="auto"/>
        <w:ind w:firstLine="600"/>
        <w:textAlignment w:val="auto"/>
        <w:rPr>
          <w:rFonts w:hint="eastAsia" w:cs="宋体"/>
          <w:color w:val="auto"/>
          <w:kern w:val="0"/>
          <w:sz w:val="21"/>
          <w:szCs w:val="21"/>
          <w:highlight w:val="none"/>
        </w:rPr>
      </w:pPr>
      <w:r>
        <w:rPr>
          <w:rFonts w:hint="eastAsia" w:cs="宋体"/>
          <w:color w:val="auto"/>
          <w:sz w:val="21"/>
          <w:szCs w:val="21"/>
          <w:highlight w:val="none"/>
        </w:rPr>
        <w:t>3.2.4 如发包人发现担任本项目的项目经理存在行贿、受贿犯罪记录或其他不适该工程的管理工作的，发包人有权要求承包人更换项目经理。承包人无正当理由拒绝更换项目经理的违约责任：</w:t>
      </w:r>
      <w:r>
        <w:rPr>
          <w:rFonts w:hint="eastAsia" w:cs="宋体"/>
          <w:color w:val="auto"/>
          <w:sz w:val="21"/>
          <w:szCs w:val="21"/>
          <w:highlight w:val="none"/>
          <w:u w:val="single"/>
        </w:rPr>
        <w:t xml:space="preserve">  在通知规定期限内承包人不进行更换的，每逾期1天按天交纳2000元违约金，逾期天数计算至承包人更换项目经理之日止，发包人有权从工程款直接扣除。逾期超过30天仍拒不更换的，发包人有权单方面解除合同，由此造成的损失由承包人承担</w:t>
      </w:r>
      <w:r>
        <w:rPr>
          <w:rFonts w:hint="eastAsia" w:cs="宋体"/>
          <w:color w:val="auto"/>
          <w:sz w:val="21"/>
          <w:szCs w:val="21"/>
          <w:highlight w:val="none"/>
        </w:rPr>
        <w:t>。</w:t>
      </w:r>
    </w:p>
    <w:p w14:paraId="2F0B3E5F">
      <w:pPr>
        <w:pStyle w:val="8"/>
        <w:pageBreakBefore w:val="0"/>
        <w:kinsoku/>
        <w:overflowPunct/>
        <w:bidi w:val="0"/>
        <w:spacing w:before="0" w:after="0" w:afterLines="0" w:line="360" w:lineRule="auto"/>
        <w:ind w:left="0" w:firstLine="422" w:firstLineChars="200"/>
        <w:textAlignment w:val="auto"/>
        <w:rPr>
          <w:rFonts w:hint="eastAsia"/>
          <w:color w:val="auto"/>
          <w:sz w:val="21"/>
          <w:szCs w:val="21"/>
          <w:highlight w:val="none"/>
        </w:rPr>
      </w:pPr>
      <w:r>
        <w:rPr>
          <w:rFonts w:hint="eastAsia"/>
          <w:color w:val="auto"/>
          <w:sz w:val="21"/>
          <w:szCs w:val="21"/>
          <w:highlight w:val="none"/>
        </w:rPr>
        <w:t>3.3 承包人人员</w:t>
      </w:r>
    </w:p>
    <w:p w14:paraId="46050273">
      <w:pPr>
        <w:pageBreakBefore w:val="0"/>
        <w:kinsoku/>
        <w:overflowPunct/>
        <w:bidi w:val="0"/>
        <w:spacing w:after="0" w:afterLines="0" w:line="360" w:lineRule="auto"/>
        <w:ind w:firstLine="420" w:firstLineChars="200"/>
        <w:textAlignment w:val="auto"/>
        <w:rPr>
          <w:rFonts w:hint="eastAsia" w:cs="宋体"/>
          <w:color w:val="auto"/>
          <w:sz w:val="21"/>
          <w:szCs w:val="21"/>
          <w:highlight w:val="none"/>
        </w:rPr>
      </w:pPr>
      <w:r>
        <w:rPr>
          <w:rFonts w:hint="eastAsia" w:cs="宋体"/>
          <w:color w:val="auto"/>
          <w:sz w:val="21"/>
          <w:szCs w:val="21"/>
          <w:highlight w:val="none"/>
        </w:rPr>
        <w:t>3.3.1 承包人提交项目管理机构及施工现场管理人员安排报告的期限：</w:t>
      </w:r>
      <w:r>
        <w:rPr>
          <w:rFonts w:hint="eastAsia" w:cs="宋体"/>
          <w:color w:val="auto"/>
          <w:sz w:val="21"/>
          <w:szCs w:val="21"/>
          <w:highlight w:val="none"/>
          <w:u w:val="single"/>
        </w:rPr>
        <w:t xml:space="preserve"> 正式开工前7天内   </w:t>
      </w:r>
      <w:r>
        <w:rPr>
          <w:rFonts w:hint="eastAsia" w:cs="宋体"/>
          <w:color w:val="auto"/>
          <w:sz w:val="21"/>
          <w:szCs w:val="21"/>
          <w:highlight w:val="none"/>
        </w:rPr>
        <w:t>。</w:t>
      </w:r>
    </w:p>
    <w:p w14:paraId="00E35E57">
      <w:pPr>
        <w:pageBreakBefore w:val="0"/>
        <w:kinsoku/>
        <w:overflowPunct/>
        <w:bidi w:val="0"/>
        <w:spacing w:after="0" w:afterLines="0" w:line="360" w:lineRule="auto"/>
        <w:ind w:firstLine="420" w:firstLineChars="200"/>
        <w:textAlignment w:val="auto"/>
        <w:rPr>
          <w:rFonts w:hint="eastAsia" w:cs="宋体"/>
          <w:color w:val="auto"/>
          <w:sz w:val="21"/>
          <w:szCs w:val="21"/>
          <w:highlight w:val="none"/>
        </w:rPr>
      </w:pPr>
      <w:r>
        <w:rPr>
          <w:rFonts w:hint="eastAsia" w:cs="宋体"/>
          <w:color w:val="auto"/>
          <w:sz w:val="21"/>
          <w:szCs w:val="21"/>
          <w:highlight w:val="none"/>
        </w:rPr>
        <w:t>3.3.3 承包人无正当理由拒绝撤换主要施工管理人员的违约责任：（1）</w:t>
      </w:r>
      <w:r>
        <w:rPr>
          <w:rFonts w:hint="eastAsia" w:cs="宋体"/>
          <w:color w:val="auto"/>
          <w:sz w:val="21"/>
          <w:szCs w:val="21"/>
          <w:highlight w:val="none"/>
          <w:u w:val="single"/>
        </w:rPr>
        <w:t xml:space="preserve">在通知规定期限内承包人不进行更换项目经理的，每逾期1天按天交纳2000元违约金；（2）在通知规定期限内承包人不进行更换技术负责人的，每逾期1天按天交纳1000元违约金；（3）在通知规定期限内承包人不进行更换其他施工管理人员的：每逾期1天按天交纳500元违约金。逾期天数计算至承包人撤换主要施工管理人员之日止，发包人有权从工程款直接扣除。逾期超过30天仍拒不更换的，发包人有权要求撤换承包人项目经理及单方面解除合同，由此造成的损失由承包人承担 </w:t>
      </w:r>
      <w:r>
        <w:rPr>
          <w:rFonts w:hint="eastAsia" w:cs="宋体"/>
          <w:color w:val="auto"/>
          <w:sz w:val="21"/>
          <w:szCs w:val="21"/>
          <w:highlight w:val="none"/>
        </w:rPr>
        <w:t>。</w:t>
      </w:r>
    </w:p>
    <w:p w14:paraId="7BA46D25">
      <w:pPr>
        <w:pageBreakBefore w:val="0"/>
        <w:kinsoku/>
        <w:overflowPunct/>
        <w:bidi w:val="0"/>
        <w:spacing w:after="0" w:afterLines="0" w:line="360" w:lineRule="auto"/>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rPr>
        <w:t>3.3.4 承包人主要施工管理人员离开施工现场的批准要求</w:t>
      </w:r>
      <w:r>
        <w:rPr>
          <w:rFonts w:hint="eastAsia" w:cs="宋体"/>
          <w:color w:val="auto"/>
          <w:sz w:val="21"/>
          <w:szCs w:val="21"/>
          <w:highlight w:val="none"/>
          <w:u w:val="single"/>
        </w:rPr>
        <w:t xml:space="preserve"> /  </w:t>
      </w:r>
      <w:r>
        <w:rPr>
          <w:rFonts w:hint="eastAsia" w:cs="宋体"/>
          <w:color w:val="auto"/>
          <w:sz w:val="21"/>
          <w:szCs w:val="21"/>
          <w:highlight w:val="none"/>
        </w:rPr>
        <w:t>。</w:t>
      </w:r>
    </w:p>
    <w:p w14:paraId="5674C7F0">
      <w:pPr>
        <w:pageBreakBefore w:val="0"/>
        <w:kinsoku/>
        <w:overflowPunct/>
        <w:bidi w:val="0"/>
        <w:spacing w:after="0" w:afterLines="0" w:line="360" w:lineRule="auto"/>
        <w:ind w:firstLine="420" w:firstLineChars="200"/>
        <w:textAlignment w:val="auto"/>
        <w:rPr>
          <w:color w:val="auto"/>
          <w:sz w:val="21"/>
          <w:szCs w:val="21"/>
          <w:highlight w:val="none"/>
        </w:rPr>
      </w:pPr>
      <w:r>
        <w:rPr>
          <w:rFonts w:hint="eastAsia" w:cs="宋体"/>
          <w:color w:val="auto"/>
          <w:sz w:val="21"/>
          <w:szCs w:val="21"/>
          <w:highlight w:val="none"/>
        </w:rPr>
        <w:t>3.3.5承包人擅自更换主要施工管理人员的违约责任：</w:t>
      </w:r>
      <w:r>
        <w:rPr>
          <w:rFonts w:hint="eastAsia" w:cs="宋体"/>
          <w:color w:val="auto"/>
          <w:sz w:val="21"/>
          <w:szCs w:val="21"/>
          <w:highlight w:val="none"/>
          <w:u w:val="single"/>
        </w:rPr>
        <w:t>除</w:t>
      </w:r>
      <w:r>
        <w:rPr>
          <w:rFonts w:hint="eastAsia" w:cs="宋体"/>
          <w:color w:val="auto"/>
          <w:sz w:val="21"/>
          <w:szCs w:val="21"/>
          <w:highlight w:val="none"/>
        </w:rPr>
        <w:t>符合</w:t>
      </w:r>
      <w:r>
        <w:rPr>
          <w:rFonts w:hint="eastAsia" w:cs="宋体"/>
          <w:b/>
          <w:bCs/>
          <w:color w:val="auto"/>
          <w:sz w:val="21"/>
          <w:szCs w:val="21"/>
          <w:highlight w:val="none"/>
        </w:rPr>
        <w:t>海南省住房和城乡建设厅关于印发《海南省建筑工程施工现场关键岗位人员配备和在岗履职管理办法》的通知（琼建管〔2021〕281号）</w:t>
      </w:r>
      <w:r>
        <w:rPr>
          <w:rFonts w:hint="eastAsia" w:cs="宋体"/>
          <w:color w:val="auto"/>
          <w:sz w:val="21"/>
          <w:szCs w:val="21"/>
          <w:highlight w:val="none"/>
        </w:rPr>
        <w:t>中允许承包人依法更换</w:t>
      </w:r>
      <w:r>
        <w:rPr>
          <w:rFonts w:hint="eastAsia" w:cs="宋体"/>
          <w:color w:val="auto"/>
          <w:sz w:val="21"/>
          <w:szCs w:val="21"/>
          <w:highlight w:val="none"/>
          <w:u w:val="single"/>
        </w:rPr>
        <w:t>主要施工管理人员（不含项目经理）</w:t>
      </w:r>
      <w:r>
        <w:rPr>
          <w:rFonts w:hint="eastAsia" w:cs="宋体"/>
          <w:color w:val="auto"/>
          <w:sz w:val="21"/>
          <w:szCs w:val="21"/>
          <w:highlight w:val="none"/>
        </w:rPr>
        <w:t>的情况并经发包人书面同意外</w:t>
      </w:r>
      <w:r>
        <w:rPr>
          <w:rFonts w:hint="eastAsia" w:cs="宋体"/>
          <w:color w:val="auto"/>
          <w:sz w:val="21"/>
          <w:szCs w:val="21"/>
          <w:highlight w:val="none"/>
          <w:u w:val="single"/>
        </w:rPr>
        <w:t>，承包人擅自更换主要施工管理人员（不含项目经理），按每人次交纳5000元违约金，发包人有权从工程款中直接扣除</w:t>
      </w:r>
      <w:r>
        <w:rPr>
          <w:rFonts w:hint="eastAsia" w:cs="宋体"/>
          <w:color w:val="auto"/>
          <w:sz w:val="21"/>
          <w:szCs w:val="21"/>
          <w:highlight w:val="none"/>
        </w:rPr>
        <w:t>。</w:t>
      </w:r>
    </w:p>
    <w:p w14:paraId="7CE7B4BA">
      <w:pPr>
        <w:pStyle w:val="2"/>
        <w:pageBreakBefore w:val="0"/>
        <w:kinsoku/>
        <w:overflowPunct/>
        <w:bidi w:val="0"/>
        <w:spacing w:after="0" w:afterLines="0" w:line="360" w:lineRule="auto"/>
        <w:textAlignment w:val="auto"/>
        <w:rPr>
          <w:rFonts w:hint="eastAsia"/>
          <w:color w:val="auto"/>
          <w:sz w:val="21"/>
          <w:szCs w:val="21"/>
          <w:highlight w:val="none"/>
        </w:rPr>
      </w:pPr>
      <w:r>
        <w:rPr>
          <w:rFonts w:hint="eastAsia"/>
          <w:color w:val="auto"/>
          <w:sz w:val="21"/>
          <w:szCs w:val="21"/>
          <w:highlight w:val="none"/>
        </w:rPr>
        <w:t>超出更换次数的违约责任：承包人在合同履行过程中，更换主要施工管理人员（不含项目经理）的次数不能超过1次，否则，无论是否符合专用条款第3.3.5款的前述约定，更换次数每超出一人次，向发包人另支付5000元/人次违约金。</w:t>
      </w:r>
    </w:p>
    <w:p w14:paraId="14A56ED0">
      <w:pPr>
        <w:pageBreakBefore w:val="0"/>
        <w:kinsoku/>
        <w:overflowPunct/>
        <w:bidi w:val="0"/>
        <w:spacing w:after="0" w:afterLines="0" w:line="360" w:lineRule="auto"/>
        <w:ind w:firstLine="420" w:firstLineChars="200"/>
        <w:textAlignment w:val="auto"/>
        <w:rPr>
          <w:rFonts w:hint="eastAsia" w:cs="宋体"/>
          <w:color w:val="auto"/>
          <w:sz w:val="21"/>
          <w:szCs w:val="21"/>
          <w:highlight w:val="none"/>
        </w:rPr>
      </w:pPr>
      <w:r>
        <w:rPr>
          <w:rFonts w:hint="eastAsia" w:cs="宋体"/>
          <w:color w:val="auto"/>
          <w:sz w:val="21"/>
          <w:szCs w:val="21"/>
          <w:highlight w:val="none"/>
        </w:rPr>
        <w:t>承包人主要施工管理人员擅自离开施工现场的违约责任：</w:t>
      </w:r>
      <w:r>
        <w:rPr>
          <w:rFonts w:hint="eastAsia" w:cs="宋体"/>
          <w:color w:val="auto"/>
          <w:sz w:val="21"/>
          <w:szCs w:val="21"/>
          <w:highlight w:val="none"/>
          <w:u w:val="single"/>
        </w:rPr>
        <w:t>承包人主要施工管理人员（不含项目经理）未经发包人书面同意，擅自离开施工现场，按每天次交纳1000元违约金，发包人有权从工程款中直接扣除</w:t>
      </w:r>
      <w:r>
        <w:rPr>
          <w:rFonts w:hint="eastAsia" w:cs="宋体"/>
          <w:color w:val="auto"/>
          <w:sz w:val="21"/>
          <w:szCs w:val="21"/>
          <w:highlight w:val="none"/>
        </w:rPr>
        <w:t>。</w:t>
      </w:r>
    </w:p>
    <w:p w14:paraId="1AAC02EA">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u w:val="none"/>
        </w:rPr>
      </w:pPr>
      <w:r>
        <w:rPr>
          <w:rFonts w:hint="eastAsia" w:ascii="宋体" w:hAnsi="宋体" w:cs="宋体"/>
          <w:color w:val="auto"/>
          <w:sz w:val="21"/>
          <w:szCs w:val="21"/>
          <w:highlight w:val="none"/>
        </w:rPr>
        <w:t>因承包人行为违反本合同约定，承包人承担人员履约不到位违约金的上限为：总额不超过签约合同价的10% ，发包人有权从结算款扣除或兑付履约保函。</w:t>
      </w:r>
      <w:bookmarkStart w:id="177" w:name="_Toc51829115"/>
      <w:bookmarkStart w:id="178" w:name="_Toc28263"/>
      <w:bookmarkStart w:id="179" w:name="_Toc5044"/>
    </w:p>
    <w:p w14:paraId="69D11358">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r>
        <w:rPr>
          <w:rFonts w:hint="eastAsia" w:ascii="宋体" w:hAnsi="宋体" w:eastAsia="宋体" w:cs="宋体"/>
          <w:bCs w:val="0"/>
          <w:color w:val="auto"/>
          <w:kern w:val="2"/>
          <w:sz w:val="21"/>
          <w:szCs w:val="21"/>
          <w:highlight w:val="none"/>
          <w:lang w:val="en-US" w:eastAsia="zh-CN" w:bidi="ar-SA"/>
        </w:rPr>
        <w:t>3.5 分包</w:t>
      </w:r>
      <w:bookmarkEnd w:id="177"/>
      <w:bookmarkEnd w:id="178"/>
      <w:bookmarkEnd w:id="179"/>
    </w:p>
    <w:p w14:paraId="4A92AF63">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3.5.1 分包的一般约定</w:t>
      </w:r>
    </w:p>
    <w:p w14:paraId="4CC9F7BA">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禁止分包的工程包括：</w:t>
      </w:r>
      <w:r>
        <w:rPr>
          <w:rFonts w:hint="eastAsia" w:ascii="宋体" w:hAnsi="宋体" w:eastAsia="宋体" w:cs="宋体"/>
          <w:color w:val="auto"/>
          <w:kern w:val="2"/>
          <w:sz w:val="21"/>
          <w:szCs w:val="21"/>
          <w:highlight w:val="none"/>
          <w:u w:val="single"/>
          <w:lang w:val="en-US" w:eastAsia="zh-CN" w:bidi="ar"/>
        </w:rPr>
        <w:t xml:space="preserve">国家规定禁止分包的工程  </w:t>
      </w:r>
      <w:r>
        <w:rPr>
          <w:rFonts w:hint="eastAsia" w:ascii="宋体" w:hAnsi="宋体" w:eastAsia="宋体" w:cs="宋体"/>
          <w:color w:val="auto"/>
          <w:kern w:val="2"/>
          <w:sz w:val="21"/>
          <w:szCs w:val="21"/>
          <w:highlight w:val="none"/>
          <w:lang w:val="en-US" w:eastAsia="zh-CN" w:bidi="ar"/>
        </w:rPr>
        <w:t>。</w:t>
      </w:r>
    </w:p>
    <w:p w14:paraId="648525A0">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jc w:val="left"/>
        <w:textAlignment w:val="auto"/>
        <w:rPr>
          <w:rFonts w:hint="eastAsia" w:ascii="宋体" w:hAnsi="宋体" w:eastAsia="宋体" w:cs="宋体"/>
          <w:color w:val="auto"/>
          <w:sz w:val="21"/>
          <w:szCs w:val="21"/>
          <w:highlight w:val="none"/>
          <w:u w:val="single"/>
          <w:lang w:val="en-US"/>
        </w:rPr>
      </w:pPr>
      <w:r>
        <w:rPr>
          <w:rFonts w:hint="eastAsia" w:ascii="宋体" w:hAnsi="宋体" w:eastAsia="宋体" w:cs="宋体"/>
          <w:color w:val="auto"/>
          <w:kern w:val="2"/>
          <w:sz w:val="21"/>
          <w:szCs w:val="21"/>
          <w:highlight w:val="none"/>
          <w:lang w:val="en-US" w:eastAsia="zh-CN" w:bidi="ar"/>
        </w:rPr>
        <w:t>主体结构、关键性工作的范围：</w:t>
      </w:r>
      <w:r>
        <w:rPr>
          <w:rFonts w:hint="eastAsia" w:ascii="宋体" w:hAnsi="宋体" w:eastAsia="宋体" w:cs="宋体"/>
          <w:color w:val="auto"/>
          <w:kern w:val="2"/>
          <w:sz w:val="21"/>
          <w:szCs w:val="21"/>
          <w:highlight w:val="none"/>
          <w:u w:val="single"/>
          <w:lang w:val="en-US" w:eastAsia="zh-CN" w:bidi="ar"/>
        </w:rPr>
        <w:t>允许分包范围以外的工程</w:t>
      </w:r>
      <w:r>
        <w:rPr>
          <w:rFonts w:hint="eastAsia" w:ascii="宋体" w:hAnsi="宋体" w:eastAsia="宋体" w:cs="宋体"/>
          <w:color w:val="auto"/>
          <w:kern w:val="2"/>
          <w:sz w:val="21"/>
          <w:szCs w:val="21"/>
          <w:highlight w:val="none"/>
          <w:lang w:val="en-US" w:eastAsia="zh-CN" w:bidi="ar"/>
        </w:rPr>
        <w:t>。</w:t>
      </w:r>
    </w:p>
    <w:p w14:paraId="7D9773C0">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 xml:space="preserve">    3.5.2分包的确定</w:t>
      </w:r>
    </w:p>
    <w:p w14:paraId="7A1429B9">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u w:val="single"/>
          <w:lang w:val="en-US"/>
        </w:rPr>
      </w:pPr>
      <w:r>
        <w:rPr>
          <w:rFonts w:hint="eastAsia" w:ascii="宋体" w:hAnsi="宋体" w:eastAsia="宋体" w:cs="宋体"/>
          <w:color w:val="auto"/>
          <w:kern w:val="2"/>
          <w:sz w:val="21"/>
          <w:szCs w:val="21"/>
          <w:highlight w:val="none"/>
          <w:lang w:val="en-US" w:eastAsia="zh-CN" w:bidi="ar"/>
        </w:rPr>
        <w:t>允许分包的专业工程包括：</w:t>
      </w:r>
      <w:r>
        <w:rPr>
          <w:rFonts w:hint="eastAsia" w:ascii="宋体" w:hAnsi="宋体" w:eastAsia="宋体" w:cs="宋体"/>
          <w:color w:val="auto"/>
          <w:kern w:val="2"/>
          <w:sz w:val="21"/>
          <w:szCs w:val="21"/>
          <w:highlight w:val="none"/>
          <w:u w:val="single"/>
          <w:lang w:val="en-US" w:eastAsia="zh-CN" w:bidi="ar"/>
        </w:rPr>
        <w:t>国家规定允许分包的专业工程</w:t>
      </w:r>
      <w:r>
        <w:rPr>
          <w:rFonts w:hint="eastAsia" w:ascii="宋体" w:hAnsi="宋体" w:eastAsia="宋体" w:cs="宋体"/>
          <w:color w:val="auto"/>
          <w:kern w:val="2"/>
          <w:sz w:val="21"/>
          <w:szCs w:val="21"/>
          <w:highlight w:val="none"/>
          <w:lang w:val="en-US" w:eastAsia="zh-CN" w:bidi="ar"/>
        </w:rPr>
        <w:t>。</w:t>
      </w:r>
    </w:p>
    <w:p w14:paraId="631B3848">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 xml:space="preserve">    其他关于分包的约定：</w:t>
      </w:r>
      <w:r>
        <w:rPr>
          <w:rFonts w:hint="eastAsia" w:ascii="宋体" w:hAnsi="宋体" w:eastAsia="宋体" w:cs="宋体"/>
          <w:color w:val="auto"/>
          <w:kern w:val="2"/>
          <w:sz w:val="21"/>
          <w:szCs w:val="21"/>
          <w:highlight w:val="none"/>
          <w:u w:val="single"/>
          <w:lang w:val="en-US" w:eastAsia="zh-CN" w:bidi="ar"/>
        </w:rPr>
        <w:t>专业工程分包单位资质须满足专业分包要求。专业工程在分包前，承包人须报发包人审核批准。未经发包人批准擅自分包的，发包人有权要求拆除已施工的分包工程。由此产生的费用和造成延误的工期由承包人承担。</w:t>
      </w:r>
    </w:p>
    <w:p w14:paraId="2E65523A">
      <w:pPr>
        <w:pageBreakBefore w:val="0"/>
        <w:kinsoku/>
        <w:wordWrap/>
        <w:overflowPunct/>
        <w:topLinePunct w:val="0"/>
        <w:bidi w:val="0"/>
        <w:spacing w:after="0" w:afterLines="0" w:line="360" w:lineRule="auto"/>
        <w:textAlignment w:val="auto"/>
        <w:rPr>
          <w:rFonts w:hint="eastAsia" w:ascii="宋体" w:hAnsi="宋体" w:eastAsia="宋体" w:cs="宋体"/>
          <w:color w:val="auto"/>
          <w:sz w:val="21"/>
          <w:szCs w:val="21"/>
        </w:rPr>
      </w:pPr>
      <w:r>
        <w:rPr>
          <w:rFonts w:hint="eastAsia" w:ascii="宋体" w:hAnsi="宋体" w:eastAsia="宋体" w:cs="宋体"/>
          <w:color w:val="auto"/>
          <w:kern w:val="2"/>
          <w:sz w:val="21"/>
          <w:szCs w:val="21"/>
          <w:highlight w:val="none"/>
          <w:lang w:val="en-US" w:eastAsia="zh-CN" w:bidi="ar"/>
        </w:rPr>
        <w:t xml:space="preserve">3.5.4 </w:t>
      </w:r>
      <w:r>
        <w:rPr>
          <w:rFonts w:hint="eastAsia" w:ascii="宋体" w:hAnsi="宋体" w:eastAsia="宋体" w:cs="宋体"/>
          <w:color w:val="auto"/>
          <w:sz w:val="21"/>
          <w:szCs w:val="21"/>
        </w:rPr>
        <w:t>分包合同价款支付</w:t>
      </w:r>
    </w:p>
    <w:p w14:paraId="3A6F4BD2">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kern w:val="2"/>
          <w:sz w:val="21"/>
          <w:szCs w:val="21"/>
          <w:highlight w:val="none"/>
          <w:u w:val="single"/>
          <w:lang w:val="en-US" w:eastAsia="zh-CN" w:bidi="ar"/>
        </w:rPr>
      </w:pPr>
      <w:r>
        <w:rPr>
          <w:rFonts w:hint="eastAsia" w:ascii="宋体" w:hAnsi="宋体" w:eastAsia="宋体" w:cs="宋体"/>
          <w:color w:val="auto"/>
          <w:sz w:val="21"/>
          <w:szCs w:val="21"/>
        </w:rPr>
        <w:t>关于分包合同价款支付的约定：</w:t>
      </w:r>
      <w:r>
        <w:rPr>
          <w:rFonts w:hint="eastAsia" w:ascii="宋体" w:hAnsi="宋体" w:eastAsia="宋体" w:cs="宋体"/>
          <w:color w:val="auto"/>
          <w:sz w:val="21"/>
          <w:szCs w:val="21"/>
          <w:u w:val="single"/>
        </w:rPr>
        <w:t>发包人按合同约定价款向承包人支付分包工程款，发包人不直接向分包人支付，但承包人未及时向分包人支付工程款，造成分包工程延误或引起分包人投诉、起诉等情形，一经核实，每发生一次，承包人须向发包人支付违约金</w:t>
      </w:r>
      <w:r>
        <w:rPr>
          <w:rFonts w:hint="eastAsia" w:ascii="宋体" w:hAnsi="宋体" w:eastAsia="宋体" w:cs="宋体"/>
          <w:color w:val="auto"/>
          <w:sz w:val="21"/>
          <w:szCs w:val="21"/>
          <w:u w:val="single"/>
          <w:lang w:val="en-US" w:eastAsia="zh-CN"/>
        </w:rPr>
        <w:t>5</w:t>
      </w:r>
      <w:r>
        <w:rPr>
          <w:rFonts w:hint="eastAsia" w:ascii="宋体" w:hAnsi="宋体" w:eastAsia="宋体" w:cs="宋体"/>
          <w:color w:val="auto"/>
          <w:sz w:val="21"/>
          <w:szCs w:val="21"/>
          <w:u w:val="single"/>
        </w:rPr>
        <w:t>万元，发包人有权从应支付给承包人的工程款中直接扣除。</w:t>
      </w:r>
    </w:p>
    <w:p w14:paraId="18593E78">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180" w:name="_Toc27604"/>
      <w:bookmarkStart w:id="181" w:name="_Toc51829116"/>
      <w:bookmarkStart w:id="182" w:name="_Toc19037"/>
      <w:r>
        <w:rPr>
          <w:rFonts w:hint="eastAsia" w:ascii="宋体" w:hAnsi="宋体" w:eastAsia="宋体" w:cs="宋体"/>
          <w:bCs w:val="0"/>
          <w:color w:val="auto"/>
          <w:kern w:val="2"/>
          <w:sz w:val="21"/>
          <w:szCs w:val="21"/>
          <w:highlight w:val="none"/>
          <w:lang w:val="en-US" w:eastAsia="zh-CN" w:bidi="ar-SA"/>
        </w:rPr>
        <w:t>3.6 工程照管与成品、半成品保护</w:t>
      </w:r>
      <w:bookmarkEnd w:id="180"/>
      <w:bookmarkEnd w:id="181"/>
      <w:bookmarkEnd w:id="182"/>
    </w:p>
    <w:p w14:paraId="7432645D">
      <w:pPr>
        <w:keepNext w:val="0"/>
        <w:keepLines w:val="0"/>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kern w:val="2"/>
          <w:sz w:val="21"/>
          <w:szCs w:val="21"/>
          <w:highlight w:val="none"/>
          <w:u w:val="single"/>
          <w:lang w:val="en-US" w:eastAsia="zh-CN" w:bidi="ar"/>
        </w:rPr>
      </w:pPr>
      <w:r>
        <w:rPr>
          <w:rFonts w:hint="eastAsia" w:ascii="宋体" w:hAnsi="宋体" w:eastAsia="宋体" w:cs="宋体"/>
          <w:color w:val="auto"/>
          <w:kern w:val="0"/>
          <w:sz w:val="21"/>
          <w:szCs w:val="21"/>
          <w:highlight w:val="none"/>
          <w:lang w:val="en-US" w:eastAsia="zh-CN" w:bidi="ar"/>
        </w:rPr>
        <w:t>承包人负责照管工程及工程相关的材料、工程设备的起始时间：从设备人员进场至工程竣工验收，由承包人负责，费用由承包人承担。有其它特殊要求的，双方另行商定</w:t>
      </w:r>
      <w:r>
        <w:rPr>
          <w:rFonts w:hint="eastAsia" w:ascii="宋体" w:hAnsi="宋体" w:eastAsia="宋体" w:cs="宋体"/>
          <w:color w:val="auto"/>
          <w:kern w:val="2"/>
          <w:sz w:val="21"/>
          <w:szCs w:val="21"/>
          <w:highlight w:val="none"/>
          <w:u w:val="none"/>
          <w:lang w:val="en-US" w:eastAsia="zh-CN" w:bidi="ar"/>
        </w:rPr>
        <w:t>。</w:t>
      </w:r>
    </w:p>
    <w:p w14:paraId="5FF7CA1C">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183" w:name="_Toc26050"/>
      <w:bookmarkStart w:id="184" w:name="_Toc29974"/>
      <w:bookmarkStart w:id="185" w:name="_Toc51829117"/>
      <w:r>
        <w:rPr>
          <w:rFonts w:hint="eastAsia" w:ascii="宋体" w:hAnsi="宋体" w:eastAsia="宋体" w:cs="宋体"/>
          <w:bCs w:val="0"/>
          <w:color w:val="auto"/>
          <w:kern w:val="2"/>
          <w:sz w:val="21"/>
          <w:szCs w:val="21"/>
          <w:highlight w:val="none"/>
          <w:lang w:val="en-US" w:eastAsia="zh-CN" w:bidi="ar-SA"/>
        </w:rPr>
        <w:t>3.7 履约担保</w:t>
      </w:r>
      <w:bookmarkEnd w:id="183"/>
      <w:bookmarkEnd w:id="184"/>
      <w:bookmarkEnd w:id="185"/>
    </w:p>
    <w:p w14:paraId="7AF997C2">
      <w:pPr>
        <w:pageBreakBefore w:val="0"/>
        <w:kinsoku/>
        <w:overflowPunct/>
        <w:bidi w:val="0"/>
        <w:spacing w:after="0" w:afterLines="0" w:line="360" w:lineRule="auto"/>
        <w:ind w:firstLine="420" w:firstLineChars="200"/>
        <w:jc w:val="left"/>
        <w:textAlignment w:val="auto"/>
        <w:rPr>
          <w:rFonts w:hint="eastAsia" w:cs="宋体"/>
          <w:sz w:val="21"/>
          <w:szCs w:val="21"/>
          <w:highlight w:val="none"/>
        </w:rPr>
      </w:pPr>
      <w:r>
        <w:rPr>
          <w:rFonts w:hint="eastAsia" w:cs="宋体"/>
          <w:sz w:val="21"/>
          <w:szCs w:val="21"/>
          <w:highlight w:val="none"/>
        </w:rPr>
        <w:t>承包人是否提供履约担保：</w:t>
      </w:r>
      <w:r>
        <w:rPr>
          <w:rFonts w:hint="eastAsia" w:cs="宋体"/>
          <w:sz w:val="21"/>
          <w:szCs w:val="21"/>
          <w:highlight w:val="none"/>
          <w:u w:val="single"/>
        </w:rPr>
        <w:t xml:space="preserve">         是          </w:t>
      </w:r>
      <w:r>
        <w:rPr>
          <w:rFonts w:hint="eastAsia" w:cs="宋体"/>
          <w:sz w:val="21"/>
          <w:szCs w:val="21"/>
          <w:highlight w:val="none"/>
        </w:rPr>
        <w:t>。</w:t>
      </w:r>
    </w:p>
    <w:p w14:paraId="015171A7">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承包人提供履约担保的形式、金额及期限的：</w:t>
      </w:r>
      <w:r>
        <w:rPr>
          <w:rFonts w:hint="eastAsia" w:cs="宋体"/>
          <w:sz w:val="21"/>
          <w:szCs w:val="21"/>
          <w:highlight w:val="none"/>
          <w:u w:val="single"/>
        </w:rPr>
        <w:t>履约担保为不可撤销、无条件、见索即付的银行保函，承包人须按签约合同金额的10%提交履约担保。履约担保自合同约定工作全部完成且竣工验收合格后15天自动失效。如实际工期超过合同工期导致履约担保期限不足的，承包人应在履约担保失效前15天向发包人出具满足实际工期需要的履约担保，逾期未提供的，发包人有权从工程款中扣除相应款项做为履约担保</w:t>
      </w:r>
      <w:r>
        <w:rPr>
          <w:rFonts w:hint="eastAsia" w:cs="宋体"/>
          <w:sz w:val="21"/>
          <w:szCs w:val="21"/>
          <w:highlight w:val="none"/>
        </w:rPr>
        <w:t>。</w:t>
      </w:r>
    </w:p>
    <w:p w14:paraId="09ABA188">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jc w:val="both"/>
        <w:textAlignment w:val="auto"/>
        <w:outlineLvl w:val="1"/>
        <w:rPr>
          <w:rFonts w:hint="eastAsia" w:ascii="宋体" w:hAnsi="宋体" w:eastAsia="宋体" w:cs="宋体"/>
          <w:bCs w:val="0"/>
          <w:color w:val="auto"/>
          <w:kern w:val="2"/>
          <w:sz w:val="21"/>
          <w:szCs w:val="21"/>
          <w:highlight w:val="none"/>
          <w:lang w:val="en-US" w:eastAsia="zh-CN" w:bidi="ar-SA"/>
        </w:rPr>
      </w:pPr>
      <w:bookmarkStart w:id="186" w:name="_Toc7360"/>
      <w:bookmarkStart w:id="187" w:name="_Toc51829118"/>
      <w:bookmarkStart w:id="188" w:name="_Toc10904"/>
      <w:bookmarkStart w:id="189" w:name="_Toc24549"/>
      <w:bookmarkStart w:id="190" w:name="_Toc54768807"/>
      <w:bookmarkStart w:id="191" w:name="_Toc11087"/>
      <w:bookmarkStart w:id="192" w:name="_Toc3655"/>
      <w:bookmarkStart w:id="193" w:name="_Toc5359"/>
      <w:r>
        <w:rPr>
          <w:rFonts w:hint="eastAsia" w:ascii="宋体" w:hAnsi="宋体" w:eastAsia="宋体" w:cs="宋体"/>
          <w:bCs w:val="0"/>
          <w:color w:val="auto"/>
          <w:kern w:val="2"/>
          <w:sz w:val="21"/>
          <w:szCs w:val="21"/>
          <w:highlight w:val="none"/>
          <w:lang w:val="en-US" w:eastAsia="zh-CN" w:bidi="ar-SA"/>
        </w:rPr>
        <w:t>4. 监理人</w:t>
      </w:r>
      <w:bookmarkEnd w:id="186"/>
      <w:bookmarkEnd w:id="187"/>
      <w:bookmarkEnd w:id="188"/>
      <w:bookmarkEnd w:id="189"/>
      <w:bookmarkEnd w:id="190"/>
      <w:bookmarkEnd w:id="191"/>
      <w:bookmarkEnd w:id="192"/>
      <w:bookmarkEnd w:id="193"/>
    </w:p>
    <w:p w14:paraId="340B1594">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194" w:name="_Toc51829119"/>
      <w:bookmarkStart w:id="195" w:name="_Toc12919"/>
      <w:bookmarkStart w:id="196" w:name="_Toc19202"/>
      <w:r>
        <w:rPr>
          <w:rFonts w:hint="eastAsia" w:ascii="宋体" w:hAnsi="宋体" w:eastAsia="宋体" w:cs="宋体"/>
          <w:bCs w:val="0"/>
          <w:color w:val="auto"/>
          <w:kern w:val="2"/>
          <w:sz w:val="21"/>
          <w:szCs w:val="21"/>
          <w:highlight w:val="none"/>
          <w:lang w:val="en-US" w:eastAsia="zh-CN" w:bidi="ar-SA"/>
        </w:rPr>
        <w:t>4.1监理人的一般规定</w:t>
      </w:r>
      <w:bookmarkEnd w:id="194"/>
      <w:bookmarkEnd w:id="195"/>
      <w:bookmarkEnd w:id="196"/>
    </w:p>
    <w:p w14:paraId="34246064">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关于监理人的监理内容：</w:t>
      </w:r>
      <w:r>
        <w:rPr>
          <w:rFonts w:hint="eastAsia" w:ascii="宋体" w:hAnsi="宋体" w:eastAsia="宋体" w:cs="宋体"/>
          <w:color w:val="auto"/>
          <w:kern w:val="2"/>
          <w:sz w:val="21"/>
          <w:szCs w:val="21"/>
          <w:highlight w:val="none"/>
          <w:u w:val="single"/>
          <w:lang w:val="en-US" w:eastAsia="zh-CN" w:bidi="ar"/>
        </w:rPr>
        <w:t>按监理合同执行</w:t>
      </w:r>
      <w:r>
        <w:rPr>
          <w:rFonts w:hint="eastAsia" w:ascii="宋体" w:hAnsi="宋体" w:eastAsia="宋体" w:cs="宋体"/>
          <w:color w:val="auto"/>
          <w:kern w:val="2"/>
          <w:sz w:val="21"/>
          <w:szCs w:val="21"/>
          <w:highlight w:val="none"/>
          <w:lang w:val="en-US" w:eastAsia="zh-CN" w:bidi="ar"/>
        </w:rPr>
        <w:t>。</w:t>
      </w:r>
    </w:p>
    <w:p w14:paraId="045B674E">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关于监理人的监理权限：</w:t>
      </w:r>
      <w:r>
        <w:rPr>
          <w:rFonts w:hint="eastAsia" w:ascii="宋体" w:hAnsi="宋体" w:eastAsia="宋体" w:cs="宋体"/>
          <w:color w:val="auto"/>
          <w:kern w:val="2"/>
          <w:sz w:val="21"/>
          <w:szCs w:val="21"/>
          <w:highlight w:val="none"/>
          <w:u w:val="single"/>
          <w:lang w:val="en-US" w:eastAsia="zh-CN" w:bidi="ar"/>
        </w:rPr>
        <w:t>监理人按《建设工程监理规范》和监理合同约定的范围内行使监理权限，超越此范围监理对发、承包双方均无效。监理人在发出涉及费用增减或工期延长的监理指令前，须经发包人书面批准否则无效，包括但不限于工程量增减、议价、索赔、延长工期、改变重大施工技术方案、停复工等。但出现危及施工场地内及其毗邻地带的人员伤亡和财产损失等紧急事件时，监理人有权未经发包人批准及时发出监理指令，承包人应立即遵照执行，执行费用由发包人承担并按专用合同条款第10条执行，事件发生后24小时内监理人须书面报告发包人</w:t>
      </w:r>
      <w:r>
        <w:rPr>
          <w:rFonts w:hint="eastAsia" w:ascii="宋体" w:hAnsi="宋体" w:eastAsia="宋体" w:cs="宋体"/>
          <w:color w:val="auto"/>
          <w:kern w:val="2"/>
          <w:sz w:val="21"/>
          <w:szCs w:val="21"/>
          <w:highlight w:val="none"/>
          <w:lang w:val="en-US" w:eastAsia="zh-CN" w:bidi="ar"/>
        </w:rPr>
        <w:t xml:space="preserve">。 </w:t>
      </w:r>
    </w:p>
    <w:p w14:paraId="0D1D79B4">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 xml:space="preserve">关于监理人在施工现场的办公场所、生活场所的提供和费用承担的约定：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val="en-US" w:eastAsia="zh-CN" w:bidi="ar"/>
        </w:rPr>
        <w:t>。</w:t>
      </w:r>
    </w:p>
    <w:p w14:paraId="4EE9776E">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197" w:name="_Toc32414"/>
      <w:bookmarkStart w:id="198" w:name="_Toc18017"/>
      <w:bookmarkStart w:id="199" w:name="_Toc51829120"/>
      <w:r>
        <w:rPr>
          <w:rFonts w:hint="eastAsia" w:ascii="宋体" w:hAnsi="宋体" w:eastAsia="宋体" w:cs="宋体"/>
          <w:bCs w:val="0"/>
          <w:color w:val="auto"/>
          <w:kern w:val="2"/>
          <w:sz w:val="21"/>
          <w:szCs w:val="21"/>
          <w:highlight w:val="none"/>
          <w:lang w:val="en-US" w:eastAsia="zh-CN" w:bidi="ar-SA"/>
        </w:rPr>
        <w:t>4.2 监理人员</w:t>
      </w:r>
      <w:bookmarkEnd w:id="197"/>
      <w:bookmarkEnd w:id="198"/>
      <w:bookmarkEnd w:id="199"/>
    </w:p>
    <w:p w14:paraId="53514B7A">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总监理工程师：</w:t>
      </w:r>
    </w:p>
    <w:p w14:paraId="69951873">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姓    名：</w:t>
      </w:r>
      <w:r>
        <w:rPr>
          <w:rFonts w:hint="eastAsia" w:ascii="宋体" w:hAnsi="宋体" w:eastAsia="宋体" w:cs="宋体"/>
          <w:color w:val="auto"/>
          <w:sz w:val="21"/>
          <w:szCs w:val="21"/>
          <w:highlight w:val="none"/>
          <w:u w:val="single"/>
        </w:rPr>
        <w:t></w:t>
      </w:r>
      <w:r>
        <w:rPr>
          <w:rFonts w:hint="eastAsia" w:ascii="宋体" w:hAnsi="宋体" w:eastAsia="宋体" w:cs="宋体"/>
          <w:color w:val="auto"/>
          <w:kern w:val="2"/>
          <w:sz w:val="21"/>
          <w:szCs w:val="21"/>
          <w:highlight w:val="none"/>
          <w:lang w:val="en-US" w:eastAsia="zh-CN" w:bidi="ar"/>
        </w:rPr>
        <w:t>；</w:t>
      </w:r>
    </w:p>
    <w:p w14:paraId="139F35FB">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职    务：</w:t>
      </w:r>
      <w:r>
        <w:rPr>
          <w:rFonts w:hint="eastAsia" w:ascii="宋体" w:hAnsi="宋体" w:eastAsia="宋体" w:cs="宋体"/>
          <w:color w:val="auto"/>
          <w:sz w:val="21"/>
          <w:szCs w:val="21"/>
          <w:highlight w:val="none"/>
          <w:u w:val="single"/>
        </w:rPr>
        <w:t></w:t>
      </w:r>
      <w:r>
        <w:rPr>
          <w:rFonts w:hint="eastAsia" w:ascii="宋体" w:hAnsi="宋体" w:eastAsia="宋体" w:cs="宋体"/>
          <w:color w:val="auto"/>
          <w:kern w:val="2"/>
          <w:sz w:val="21"/>
          <w:szCs w:val="21"/>
          <w:highlight w:val="none"/>
          <w:lang w:val="en-US" w:eastAsia="zh-CN" w:bidi="ar"/>
        </w:rPr>
        <w:t>；</w:t>
      </w:r>
    </w:p>
    <w:p w14:paraId="7ACC765B">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监理工程师执业资格证书号：</w:t>
      </w:r>
      <w:r>
        <w:rPr>
          <w:rFonts w:hint="eastAsia" w:ascii="宋体" w:hAnsi="宋体" w:eastAsia="宋体" w:cs="宋体"/>
          <w:color w:val="auto"/>
          <w:sz w:val="21"/>
          <w:szCs w:val="21"/>
          <w:highlight w:val="none"/>
          <w:u w:val="single"/>
        </w:rPr>
        <w:t></w:t>
      </w:r>
      <w:r>
        <w:rPr>
          <w:rFonts w:hint="eastAsia" w:ascii="宋体" w:hAnsi="宋体" w:eastAsia="宋体" w:cs="宋体"/>
          <w:color w:val="auto"/>
          <w:kern w:val="2"/>
          <w:sz w:val="21"/>
          <w:szCs w:val="21"/>
          <w:highlight w:val="none"/>
          <w:lang w:val="en-US" w:eastAsia="zh-CN" w:bidi="ar"/>
        </w:rPr>
        <w:t>；</w:t>
      </w:r>
    </w:p>
    <w:p w14:paraId="51253845">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联系电话：</w:t>
      </w:r>
      <w:r>
        <w:rPr>
          <w:rFonts w:hint="eastAsia" w:ascii="宋体" w:hAnsi="宋体" w:eastAsia="宋体" w:cs="宋体"/>
          <w:color w:val="auto"/>
          <w:sz w:val="21"/>
          <w:szCs w:val="21"/>
          <w:highlight w:val="none"/>
          <w:u w:val="single"/>
        </w:rPr>
        <w:t></w:t>
      </w:r>
      <w:r>
        <w:rPr>
          <w:rFonts w:hint="eastAsia" w:ascii="宋体" w:hAnsi="宋体" w:eastAsia="宋体" w:cs="宋体"/>
          <w:color w:val="auto"/>
          <w:kern w:val="2"/>
          <w:sz w:val="21"/>
          <w:szCs w:val="21"/>
          <w:highlight w:val="none"/>
          <w:lang w:val="en-US" w:eastAsia="zh-CN" w:bidi="ar"/>
        </w:rPr>
        <w:t>；</w:t>
      </w:r>
    </w:p>
    <w:p w14:paraId="32A48D16">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电子信箱：</w:t>
      </w:r>
      <w:r>
        <w:rPr>
          <w:rFonts w:hint="eastAsia" w:ascii="宋体" w:hAnsi="宋体" w:eastAsia="宋体" w:cs="宋体"/>
          <w:color w:val="auto"/>
          <w:sz w:val="21"/>
          <w:szCs w:val="21"/>
          <w:highlight w:val="none"/>
          <w:u w:val="single"/>
        </w:rPr>
        <w:t></w:t>
      </w:r>
      <w:r>
        <w:rPr>
          <w:rFonts w:hint="eastAsia" w:ascii="宋体" w:hAnsi="宋体" w:eastAsia="宋体" w:cs="宋体"/>
          <w:color w:val="auto"/>
          <w:kern w:val="2"/>
          <w:sz w:val="21"/>
          <w:szCs w:val="21"/>
          <w:highlight w:val="none"/>
          <w:lang w:val="en-US" w:eastAsia="zh-CN" w:bidi="ar"/>
        </w:rPr>
        <w:t>；</w:t>
      </w:r>
    </w:p>
    <w:p w14:paraId="0D493E2D">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关于监理人的其他约定：</w:t>
      </w:r>
      <w:r>
        <w:rPr>
          <w:rFonts w:hint="eastAsia" w:ascii="宋体" w:hAnsi="宋体" w:eastAsia="宋体" w:cs="宋体"/>
          <w:color w:val="auto"/>
          <w:kern w:val="2"/>
          <w:sz w:val="21"/>
          <w:szCs w:val="21"/>
          <w:highlight w:val="none"/>
          <w:u w:val="single"/>
          <w:lang w:val="en-US" w:eastAsia="zh-CN" w:bidi="ar"/>
        </w:rPr>
        <w:t>按监理合同执行 </w:t>
      </w:r>
      <w:r>
        <w:rPr>
          <w:rFonts w:hint="eastAsia" w:ascii="宋体" w:hAnsi="宋体" w:eastAsia="宋体" w:cs="宋体"/>
          <w:color w:val="auto"/>
          <w:kern w:val="2"/>
          <w:sz w:val="21"/>
          <w:szCs w:val="21"/>
          <w:highlight w:val="none"/>
          <w:lang w:val="en-US" w:eastAsia="zh-CN" w:bidi="ar"/>
        </w:rPr>
        <w:t>。</w:t>
      </w:r>
    </w:p>
    <w:p w14:paraId="52C7DDA1">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200" w:name="_Toc6130"/>
      <w:bookmarkStart w:id="201" w:name="_Toc578"/>
      <w:r>
        <w:rPr>
          <w:rFonts w:hint="eastAsia" w:ascii="宋体" w:hAnsi="宋体" w:eastAsia="宋体" w:cs="宋体"/>
          <w:bCs w:val="0"/>
          <w:color w:val="auto"/>
          <w:kern w:val="2"/>
          <w:sz w:val="21"/>
          <w:szCs w:val="21"/>
          <w:highlight w:val="none"/>
          <w:lang w:val="en-US" w:eastAsia="zh-CN" w:bidi="ar-SA"/>
        </w:rPr>
        <w:t>4.4 商定或确定</w:t>
      </w:r>
      <w:bookmarkEnd w:id="200"/>
      <w:bookmarkEnd w:id="201"/>
    </w:p>
    <w:p w14:paraId="10073FEF">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在发包人和承包人不能通过协商达成一致意见时，发包人授权监理人对以下事项进行确定：</w:t>
      </w:r>
    </w:p>
    <w:p w14:paraId="1DD21083">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（1）</w:t>
      </w:r>
      <w:r>
        <w:rPr>
          <w:rFonts w:hint="eastAsia" w:ascii="宋体" w:hAnsi="宋体" w:eastAsia="宋体" w:cs="宋体"/>
          <w:color w:val="auto"/>
          <w:sz w:val="21"/>
          <w:szCs w:val="21"/>
          <w:highlight w:val="none"/>
          <w:u w:val="single"/>
        </w:rPr>
        <w:t>按合同通用条款执行</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kern w:val="2"/>
          <w:sz w:val="21"/>
          <w:szCs w:val="21"/>
          <w:highlight w:val="none"/>
          <w:lang w:val="en-US" w:eastAsia="zh-CN" w:bidi="ar"/>
        </w:rPr>
        <w:t>；</w:t>
      </w:r>
    </w:p>
    <w:p w14:paraId="7F39749F">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 xml:space="preserve">（2）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val="en-US" w:eastAsia="zh-CN" w:bidi="ar"/>
        </w:rPr>
        <w:t>；</w:t>
      </w:r>
    </w:p>
    <w:p w14:paraId="6733631F">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（3）</w:t>
      </w:r>
      <w:r>
        <w:rPr>
          <w:rFonts w:hint="eastAsia" w:ascii="宋体" w:hAnsi="宋体" w:eastAsia="宋体" w:cs="宋体"/>
          <w:color w:val="auto"/>
          <w:kern w:val="2"/>
          <w:sz w:val="21"/>
          <w:szCs w:val="21"/>
          <w:highlight w:val="none"/>
          <w:u w:val="single"/>
          <w:lang w:val="en-US" w:eastAsia="zh-CN" w:bidi="ar"/>
        </w:rPr>
        <w:t>/</w:t>
      </w:r>
      <w:r>
        <w:rPr>
          <w:rFonts w:hint="eastAsia" w:ascii="宋体" w:hAnsi="宋体" w:eastAsia="宋体" w:cs="宋体"/>
          <w:color w:val="auto"/>
          <w:kern w:val="2"/>
          <w:sz w:val="21"/>
          <w:szCs w:val="21"/>
          <w:highlight w:val="none"/>
          <w:lang w:val="en-US" w:eastAsia="zh-CN" w:bidi="ar"/>
        </w:rPr>
        <w:t>。</w:t>
      </w:r>
    </w:p>
    <w:p w14:paraId="5BBA0D55">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jc w:val="both"/>
        <w:textAlignment w:val="auto"/>
        <w:outlineLvl w:val="1"/>
        <w:rPr>
          <w:rFonts w:hint="eastAsia" w:ascii="宋体" w:hAnsi="宋体" w:eastAsia="宋体" w:cs="宋体"/>
          <w:bCs w:val="0"/>
          <w:color w:val="auto"/>
          <w:kern w:val="2"/>
          <w:sz w:val="21"/>
          <w:szCs w:val="21"/>
          <w:highlight w:val="none"/>
          <w:lang w:val="en-US" w:eastAsia="zh-CN" w:bidi="ar-SA"/>
        </w:rPr>
      </w:pPr>
      <w:bookmarkStart w:id="202" w:name="_Toc54768808"/>
      <w:bookmarkStart w:id="203" w:name="_Toc5692"/>
      <w:bookmarkStart w:id="204" w:name="_Toc14696"/>
      <w:bookmarkStart w:id="205" w:name="_Toc25508"/>
      <w:bookmarkStart w:id="206" w:name="_Toc14896"/>
      <w:bookmarkStart w:id="207" w:name="_Toc15509"/>
      <w:bookmarkStart w:id="208" w:name="_Toc8593"/>
      <w:bookmarkStart w:id="209" w:name="_Toc51829121"/>
      <w:r>
        <w:rPr>
          <w:rFonts w:hint="eastAsia" w:ascii="宋体" w:hAnsi="宋体" w:eastAsia="宋体" w:cs="宋体"/>
          <w:bCs w:val="0"/>
          <w:color w:val="auto"/>
          <w:kern w:val="2"/>
          <w:sz w:val="21"/>
          <w:szCs w:val="21"/>
          <w:highlight w:val="none"/>
          <w:lang w:val="en-US" w:eastAsia="zh-CN" w:bidi="ar-SA"/>
        </w:rPr>
        <w:t>5. 工程质量</w:t>
      </w:r>
      <w:bookmarkEnd w:id="202"/>
      <w:bookmarkEnd w:id="203"/>
      <w:bookmarkEnd w:id="204"/>
      <w:bookmarkEnd w:id="205"/>
      <w:bookmarkEnd w:id="206"/>
      <w:bookmarkEnd w:id="207"/>
      <w:bookmarkEnd w:id="208"/>
      <w:bookmarkEnd w:id="209"/>
    </w:p>
    <w:p w14:paraId="3E525528">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210" w:name="_Toc22289"/>
      <w:bookmarkStart w:id="211" w:name="_Toc51829122"/>
      <w:bookmarkStart w:id="212" w:name="_Toc7139"/>
      <w:r>
        <w:rPr>
          <w:rFonts w:hint="eastAsia" w:ascii="宋体" w:hAnsi="宋体" w:eastAsia="宋体" w:cs="宋体"/>
          <w:bCs w:val="0"/>
          <w:color w:val="auto"/>
          <w:kern w:val="2"/>
          <w:sz w:val="21"/>
          <w:szCs w:val="21"/>
          <w:highlight w:val="none"/>
          <w:lang w:val="en-US" w:eastAsia="zh-CN" w:bidi="ar-SA"/>
        </w:rPr>
        <w:t>5.1 质量要求</w:t>
      </w:r>
      <w:bookmarkEnd w:id="210"/>
      <w:bookmarkEnd w:id="211"/>
      <w:bookmarkEnd w:id="212"/>
    </w:p>
    <w:p w14:paraId="68941A22">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5.1.1 特殊质量标准和要求：</w:t>
      </w:r>
      <w:r>
        <w:rPr>
          <w:rFonts w:hint="eastAsia" w:ascii="宋体" w:hAnsi="宋体" w:eastAsia="宋体" w:cs="宋体"/>
          <w:color w:val="auto"/>
          <w:kern w:val="2"/>
          <w:sz w:val="21"/>
          <w:szCs w:val="21"/>
          <w:highlight w:val="none"/>
          <w:u w:val="single"/>
          <w:lang w:val="en-US" w:eastAsia="zh-CN" w:bidi="ar"/>
        </w:rPr>
        <w:t xml:space="preserve"> / </w:t>
      </w:r>
      <w:r>
        <w:rPr>
          <w:rFonts w:hint="eastAsia" w:ascii="宋体" w:hAnsi="宋体" w:eastAsia="宋体" w:cs="宋体"/>
          <w:color w:val="auto"/>
          <w:kern w:val="2"/>
          <w:sz w:val="21"/>
          <w:szCs w:val="21"/>
          <w:highlight w:val="none"/>
          <w:lang w:val="en-US" w:eastAsia="zh-CN" w:bidi="ar"/>
        </w:rPr>
        <w:t>。</w:t>
      </w:r>
    </w:p>
    <w:p w14:paraId="4F3392B9">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关于工程奖项的约定：</w:t>
      </w:r>
      <w:r>
        <w:rPr>
          <w:rFonts w:hint="eastAsia" w:ascii="宋体" w:hAnsi="宋体" w:eastAsia="宋体" w:cs="宋体"/>
          <w:color w:val="auto"/>
          <w:kern w:val="2"/>
          <w:sz w:val="21"/>
          <w:szCs w:val="21"/>
          <w:highlight w:val="none"/>
          <w:u w:val="single"/>
          <w:lang w:val="en-US" w:eastAsia="zh-CN" w:bidi="ar"/>
        </w:rPr>
        <w:t>/</w:t>
      </w:r>
      <w:r>
        <w:rPr>
          <w:rFonts w:hint="eastAsia" w:ascii="宋体" w:hAnsi="宋体" w:eastAsia="宋体" w:cs="宋体"/>
          <w:color w:val="auto"/>
          <w:kern w:val="2"/>
          <w:sz w:val="21"/>
          <w:szCs w:val="21"/>
          <w:highlight w:val="none"/>
          <w:lang w:val="en-US" w:eastAsia="zh-CN" w:bidi="ar"/>
        </w:rPr>
        <w:t>。</w:t>
      </w:r>
    </w:p>
    <w:p w14:paraId="41DBB95A">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213" w:name="_Toc1511"/>
      <w:bookmarkStart w:id="214" w:name="_Toc51829123"/>
      <w:r>
        <w:rPr>
          <w:rFonts w:hint="eastAsia" w:ascii="宋体" w:hAnsi="宋体" w:eastAsia="宋体" w:cs="宋体"/>
          <w:bCs w:val="0"/>
          <w:color w:val="auto"/>
          <w:kern w:val="2"/>
          <w:sz w:val="21"/>
          <w:szCs w:val="21"/>
          <w:highlight w:val="none"/>
          <w:lang w:val="en-US" w:eastAsia="zh-CN" w:bidi="ar-SA"/>
        </w:rPr>
        <w:t>5.3 隐蔽工程检查</w:t>
      </w:r>
      <w:bookmarkEnd w:id="213"/>
      <w:bookmarkEnd w:id="214"/>
    </w:p>
    <w:p w14:paraId="42AD3788">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5.3.2承包人提前通知监理人隐蔽工程检查的期限的约定：</w:t>
      </w:r>
      <w:r>
        <w:rPr>
          <w:rFonts w:hint="eastAsia" w:ascii="宋体" w:hAnsi="宋体" w:eastAsia="宋体" w:cs="宋体"/>
          <w:color w:val="auto"/>
          <w:kern w:val="2"/>
          <w:sz w:val="21"/>
          <w:szCs w:val="21"/>
          <w:highlight w:val="none"/>
          <w:u w:val="single"/>
          <w:lang w:val="en-US" w:eastAsia="zh-CN" w:bidi="ar"/>
        </w:rPr>
        <w:t xml:space="preserve"> 48小时 </w:t>
      </w:r>
      <w:r>
        <w:rPr>
          <w:rFonts w:hint="eastAsia" w:ascii="宋体" w:hAnsi="宋体" w:eastAsia="宋体" w:cs="宋体"/>
          <w:color w:val="auto"/>
          <w:kern w:val="2"/>
          <w:sz w:val="21"/>
          <w:szCs w:val="21"/>
          <w:highlight w:val="none"/>
          <w:lang w:val="en-US" w:eastAsia="zh-CN" w:bidi="ar"/>
        </w:rPr>
        <w:t>。</w:t>
      </w:r>
    </w:p>
    <w:p w14:paraId="608917DF">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监理人不能按时进行检查时，应提前</w:t>
      </w:r>
      <w:r>
        <w:rPr>
          <w:rFonts w:hint="eastAsia" w:ascii="宋体" w:hAnsi="宋体" w:eastAsia="宋体" w:cs="宋体"/>
          <w:color w:val="auto"/>
          <w:kern w:val="2"/>
          <w:sz w:val="21"/>
          <w:szCs w:val="21"/>
          <w:highlight w:val="none"/>
          <w:u w:val="single"/>
          <w:lang w:val="en-US" w:eastAsia="zh-CN" w:bidi="ar"/>
        </w:rPr>
        <w:t xml:space="preserve"> 24 </w:t>
      </w:r>
      <w:r>
        <w:rPr>
          <w:rFonts w:hint="eastAsia" w:ascii="宋体" w:hAnsi="宋体" w:eastAsia="宋体" w:cs="宋体"/>
          <w:color w:val="auto"/>
          <w:kern w:val="2"/>
          <w:sz w:val="21"/>
          <w:szCs w:val="21"/>
          <w:highlight w:val="none"/>
          <w:lang w:val="en-US" w:eastAsia="zh-CN" w:bidi="ar"/>
        </w:rPr>
        <w:t>小时提交书面延期要求。</w:t>
      </w:r>
    </w:p>
    <w:p w14:paraId="261EA8ED">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2"/>
          <w:sz w:val="21"/>
          <w:szCs w:val="21"/>
          <w:highlight w:val="none"/>
          <w:lang w:val="en-US" w:eastAsia="zh-CN" w:bidi="ar"/>
        </w:rPr>
        <w:t>关于延期最长不得超过：</w:t>
      </w:r>
      <w:r>
        <w:rPr>
          <w:rFonts w:hint="eastAsia" w:ascii="宋体" w:hAnsi="宋体" w:eastAsia="宋体" w:cs="宋体"/>
          <w:color w:val="auto"/>
          <w:kern w:val="2"/>
          <w:sz w:val="21"/>
          <w:szCs w:val="21"/>
          <w:highlight w:val="none"/>
          <w:u w:val="single"/>
          <w:lang w:val="en-US" w:eastAsia="zh-CN" w:bidi="ar"/>
        </w:rPr>
        <w:t>24</w:t>
      </w:r>
      <w:r>
        <w:rPr>
          <w:rFonts w:hint="eastAsia" w:ascii="宋体" w:hAnsi="宋体" w:eastAsia="宋体" w:cs="宋体"/>
          <w:color w:val="auto"/>
          <w:kern w:val="2"/>
          <w:sz w:val="21"/>
          <w:szCs w:val="21"/>
          <w:highlight w:val="none"/>
          <w:lang w:val="en-US" w:eastAsia="zh-CN" w:bidi="ar"/>
        </w:rPr>
        <w:t>小时。</w:t>
      </w:r>
    </w:p>
    <w:p w14:paraId="7DC863FE">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jc w:val="both"/>
        <w:textAlignment w:val="auto"/>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工程隐蔽部位包括但不限于基坑基槽、地基基础、主体结构、室内外防水、建筑门窗、节能、电气、给排水等工程，须按《建筑工程施工质量验收统一标准》严格进行验收，未经监理人检查确认隐蔽工程质量符合规范要求并在相关验收记录上签字的，不得进入下一道工序，否则发包人可视情节对承包人处以每次1万元违约金，发包人有权从工程款中直接扣除。</w:t>
      </w:r>
    </w:p>
    <w:p w14:paraId="44AA9DB7">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jc w:val="both"/>
        <w:textAlignment w:val="auto"/>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主体结构截面尺寸不符合设计或规范要求的，经发包人、监理及上级行政主管单位检查，每发现一次，可视情节对承包人处以罚款5万元，并按发包人或监理人要求进行整改，费用由承包单位自行承担。</w:t>
      </w:r>
    </w:p>
    <w:p w14:paraId="13400FB1">
      <w:pPr>
        <w:keepNext w:val="0"/>
        <w:keepLines w:val="0"/>
        <w:pageBreakBefore w:val="0"/>
        <w:widowControl w:val="0"/>
        <w:numPr>
          <w:ilvl w:val="0"/>
          <w:numId w:val="15"/>
        </w:numPr>
        <w:suppressLineNumbers w:val="0"/>
        <w:kinsoku/>
        <w:wordWrap/>
        <w:overflowPunct/>
        <w:topLinePunct w:val="0"/>
        <w:bidi w:val="0"/>
        <w:snapToGrid/>
        <w:spacing w:beforeAutospacing="0" w:after="0" w:afterLines="0" w:afterAutospacing="0" w:line="360" w:lineRule="auto"/>
        <w:ind w:right="0"/>
        <w:jc w:val="both"/>
        <w:textAlignment w:val="auto"/>
        <w:outlineLvl w:val="1"/>
        <w:rPr>
          <w:rFonts w:hint="eastAsia" w:ascii="宋体" w:hAnsi="宋体" w:eastAsia="宋体" w:cs="宋体"/>
          <w:bCs w:val="0"/>
          <w:color w:val="auto"/>
          <w:kern w:val="2"/>
          <w:sz w:val="21"/>
          <w:szCs w:val="21"/>
          <w:highlight w:val="none"/>
          <w:lang w:val="en-US" w:eastAsia="zh-CN" w:bidi="ar-SA"/>
        </w:rPr>
      </w:pPr>
      <w:bookmarkStart w:id="215" w:name="_Toc14098"/>
      <w:bookmarkStart w:id="216" w:name="_Toc20492"/>
      <w:bookmarkStart w:id="217" w:name="_Toc14170"/>
      <w:bookmarkStart w:id="218" w:name="_Toc12892"/>
      <w:bookmarkStart w:id="219" w:name="_Toc959"/>
      <w:bookmarkStart w:id="220" w:name="_Toc30746"/>
      <w:bookmarkStart w:id="221" w:name="_Toc351203638"/>
      <w:r>
        <w:rPr>
          <w:rFonts w:hint="eastAsia" w:ascii="宋体" w:hAnsi="宋体" w:eastAsia="宋体" w:cs="宋体"/>
          <w:bCs w:val="0"/>
          <w:color w:val="auto"/>
          <w:kern w:val="2"/>
          <w:sz w:val="21"/>
          <w:szCs w:val="21"/>
          <w:highlight w:val="none"/>
          <w:lang w:val="en-US" w:eastAsia="zh-CN" w:bidi="ar-SA"/>
        </w:rPr>
        <w:t>安全文明施工与环境保护</w:t>
      </w:r>
      <w:bookmarkEnd w:id="215"/>
      <w:bookmarkEnd w:id="216"/>
      <w:bookmarkEnd w:id="217"/>
      <w:bookmarkEnd w:id="218"/>
      <w:bookmarkEnd w:id="219"/>
      <w:bookmarkEnd w:id="220"/>
      <w:bookmarkEnd w:id="221"/>
    </w:p>
    <w:p w14:paraId="3AD9F9F4">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222" w:name="_Toc21081"/>
      <w:bookmarkStart w:id="223" w:name="_Toc8016"/>
      <w:r>
        <w:rPr>
          <w:rFonts w:hint="eastAsia" w:ascii="宋体" w:hAnsi="宋体" w:eastAsia="宋体" w:cs="宋体"/>
          <w:bCs w:val="0"/>
          <w:color w:val="auto"/>
          <w:kern w:val="2"/>
          <w:sz w:val="21"/>
          <w:szCs w:val="21"/>
          <w:highlight w:val="none"/>
          <w:lang w:val="en-US" w:eastAsia="zh-CN" w:bidi="ar-SA"/>
        </w:rPr>
        <w:t>6.1安全文明施工</w:t>
      </w:r>
      <w:bookmarkEnd w:id="222"/>
      <w:bookmarkEnd w:id="223"/>
    </w:p>
    <w:p w14:paraId="1F13FCF0">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6.1.1 项目安全生产的达标目标及相应事项的约定：</w:t>
      </w:r>
      <w:r>
        <w:rPr>
          <w:rFonts w:hint="eastAsia" w:ascii="宋体" w:hAnsi="宋体" w:eastAsia="宋体" w:cs="宋体"/>
          <w:color w:val="auto"/>
          <w:sz w:val="21"/>
          <w:szCs w:val="21"/>
          <w:highlight w:val="none"/>
          <w:u w:val="single"/>
        </w:rPr>
        <w:t xml:space="preserve">  按合同通用条款执行   </w:t>
      </w:r>
      <w:r>
        <w:rPr>
          <w:rFonts w:hint="eastAsia" w:ascii="宋体" w:hAnsi="宋体" w:eastAsia="宋体" w:cs="宋体"/>
          <w:color w:val="auto"/>
          <w:sz w:val="21"/>
          <w:szCs w:val="21"/>
          <w:highlight w:val="none"/>
        </w:rPr>
        <w:t>。</w:t>
      </w:r>
    </w:p>
    <w:p w14:paraId="60C1E891">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 xml:space="preserve"> 关于治安保卫的特别约定：</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76BC7A27">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关于编制施工场地治安管理计划的约定：</w:t>
      </w:r>
      <w:r>
        <w:rPr>
          <w:rFonts w:hint="eastAsia" w:ascii="宋体" w:hAnsi="宋体" w:eastAsia="宋体" w:cs="宋体"/>
          <w:color w:val="auto"/>
          <w:sz w:val="21"/>
          <w:szCs w:val="21"/>
          <w:highlight w:val="none"/>
          <w:u w:val="single"/>
        </w:rPr>
        <w:t xml:space="preserve">   按合同通用条款执行   </w:t>
      </w:r>
      <w:r>
        <w:rPr>
          <w:rFonts w:hint="eastAsia" w:ascii="宋体" w:hAnsi="宋体" w:eastAsia="宋体" w:cs="宋体"/>
          <w:color w:val="auto"/>
          <w:sz w:val="21"/>
          <w:szCs w:val="21"/>
          <w:highlight w:val="none"/>
        </w:rPr>
        <w:t>。</w:t>
      </w:r>
    </w:p>
    <w:p w14:paraId="0EC75F3D">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 xml:space="preserve"> 文明施工</w:t>
      </w:r>
    </w:p>
    <w:p w14:paraId="20ECEA6F">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合同当事人对文明施工的要求：</w:t>
      </w:r>
      <w:r>
        <w:rPr>
          <w:rFonts w:hint="eastAsia" w:ascii="宋体" w:hAnsi="宋体" w:eastAsia="宋体" w:cs="宋体"/>
          <w:color w:val="auto"/>
          <w:sz w:val="21"/>
          <w:szCs w:val="21"/>
          <w:highlight w:val="none"/>
          <w:u w:val="single"/>
        </w:rPr>
        <w:t xml:space="preserve">    按合同通用条款执行    </w:t>
      </w:r>
      <w:r>
        <w:rPr>
          <w:rFonts w:hint="eastAsia" w:ascii="宋体" w:hAnsi="宋体" w:eastAsia="宋体" w:cs="宋体"/>
          <w:color w:val="auto"/>
          <w:sz w:val="21"/>
          <w:szCs w:val="21"/>
          <w:highlight w:val="none"/>
        </w:rPr>
        <w:t>。</w:t>
      </w:r>
    </w:p>
    <w:p w14:paraId="0E8DED70">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 xml:space="preserve"> 关于安全文明施工费支付比例和支付期限的约定：</w:t>
      </w:r>
      <w:r>
        <w:rPr>
          <w:rFonts w:hint="eastAsia" w:ascii="宋体" w:hAnsi="宋体" w:eastAsia="宋体" w:cs="宋体"/>
          <w:color w:val="auto"/>
          <w:sz w:val="21"/>
          <w:szCs w:val="21"/>
          <w:highlight w:val="none"/>
          <w:u w:val="single"/>
        </w:rPr>
        <w:t xml:space="preserve">  按合同通用条款执行  </w:t>
      </w:r>
      <w:r>
        <w:rPr>
          <w:rFonts w:hint="eastAsia" w:ascii="宋体" w:hAnsi="宋体" w:eastAsia="宋体" w:cs="宋体"/>
          <w:color w:val="auto"/>
          <w:sz w:val="21"/>
          <w:szCs w:val="21"/>
          <w:highlight w:val="none"/>
        </w:rPr>
        <w:t>。</w:t>
      </w:r>
    </w:p>
    <w:p w14:paraId="1A300613">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6.1.7 安全文明施工参照《海南省建筑安全文明施工标准化工地》执行。</w:t>
      </w:r>
    </w:p>
    <w:p w14:paraId="58B32E92">
      <w:pPr>
        <w:pStyle w:val="6"/>
        <w:pageBreakBefore w:val="0"/>
        <w:kinsoku/>
        <w:wordWrap/>
        <w:overflowPunct/>
        <w:topLinePunct w:val="0"/>
        <w:bidi w:val="0"/>
        <w:snapToGrid/>
        <w:spacing w:after="0" w:afterLines="0" w:line="360" w:lineRule="auto"/>
        <w:textAlignment w:val="auto"/>
        <w:outlineLvl w:val="1"/>
        <w:rPr>
          <w:rFonts w:hint="eastAsia" w:ascii="宋体" w:hAnsi="宋体" w:eastAsia="宋体" w:cs="宋体"/>
          <w:b w:val="0"/>
          <w:bCs w:val="0"/>
          <w:color w:val="auto"/>
          <w:kern w:val="2"/>
          <w:sz w:val="21"/>
          <w:szCs w:val="21"/>
          <w:highlight w:val="none"/>
          <w:lang w:val="en-US" w:eastAsia="zh-CN" w:bidi="ar-SA"/>
        </w:rPr>
      </w:pPr>
      <w:bookmarkStart w:id="224" w:name="_Toc351203639"/>
      <w:bookmarkStart w:id="225" w:name="_Toc8331"/>
      <w:bookmarkStart w:id="226" w:name="_Toc16743"/>
      <w:bookmarkStart w:id="227" w:name="_Toc24637"/>
      <w:bookmarkStart w:id="228" w:name="_Toc5548"/>
      <w:bookmarkStart w:id="229" w:name="_Toc5028"/>
      <w:r>
        <w:rPr>
          <w:rFonts w:hint="eastAsia" w:ascii="宋体" w:hAnsi="宋体" w:eastAsia="宋体" w:cs="宋体"/>
          <w:b w:val="0"/>
          <w:bCs w:val="0"/>
          <w:color w:val="auto"/>
          <w:kern w:val="2"/>
          <w:sz w:val="21"/>
          <w:szCs w:val="21"/>
          <w:highlight w:val="none"/>
          <w:lang w:val="en-US" w:eastAsia="zh-CN" w:bidi="ar-SA"/>
        </w:rPr>
        <w:t>7. 工期和进度</w:t>
      </w:r>
      <w:bookmarkEnd w:id="224"/>
      <w:bookmarkEnd w:id="225"/>
      <w:bookmarkEnd w:id="226"/>
      <w:bookmarkEnd w:id="227"/>
      <w:bookmarkEnd w:id="228"/>
      <w:bookmarkEnd w:id="229"/>
    </w:p>
    <w:p w14:paraId="3C4ED6CD">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230" w:name="_Toc30323"/>
      <w:bookmarkStart w:id="231" w:name="_Toc624"/>
      <w:r>
        <w:rPr>
          <w:rFonts w:hint="eastAsia" w:ascii="宋体" w:hAnsi="宋体" w:eastAsia="宋体" w:cs="宋体"/>
          <w:bCs w:val="0"/>
          <w:color w:val="auto"/>
          <w:kern w:val="2"/>
          <w:sz w:val="21"/>
          <w:szCs w:val="21"/>
          <w:highlight w:val="none"/>
          <w:lang w:val="en-US" w:eastAsia="zh-CN" w:bidi="ar-SA"/>
        </w:rPr>
        <w:t>7.1 施工组织设计</w:t>
      </w:r>
      <w:bookmarkEnd w:id="230"/>
      <w:bookmarkEnd w:id="231"/>
    </w:p>
    <w:p w14:paraId="450FEBBD">
      <w:pPr>
        <w:pageBreakBefore w:val="0"/>
        <w:kinsoku/>
        <w:wordWrap/>
        <w:overflowPunct/>
        <w:topLinePunct w:val="0"/>
        <w:autoSpaceDE w:val="0"/>
        <w:autoSpaceDN w:val="0"/>
        <w:bidi w:val="0"/>
        <w:adjustRightInd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7.1.1 合</w:t>
      </w:r>
      <w:r>
        <w:rPr>
          <w:rFonts w:hint="eastAsia" w:ascii="宋体" w:hAnsi="宋体" w:eastAsia="宋体" w:cs="宋体"/>
          <w:color w:val="auto"/>
          <w:kern w:val="0"/>
          <w:sz w:val="21"/>
          <w:szCs w:val="21"/>
          <w:highlight w:val="none"/>
        </w:rPr>
        <w:t>同当事人约定的施工组织设计应包括的其他内容：</w:t>
      </w:r>
      <w:r>
        <w:rPr>
          <w:rFonts w:hint="eastAsia" w:ascii="宋体" w:hAnsi="宋体" w:eastAsia="宋体" w:cs="宋体"/>
          <w:color w:val="auto"/>
          <w:sz w:val="21"/>
          <w:szCs w:val="21"/>
          <w:highlight w:val="none"/>
          <w:u w:val="single"/>
        </w:rPr>
        <w:t xml:space="preserve">  按招标文件约定，招标文件无约定的按合同通用条款执行或双方另行约定</w:t>
      </w:r>
      <w:r>
        <w:rPr>
          <w:rFonts w:hint="eastAsia" w:ascii="宋体" w:hAnsi="宋体" w:eastAsia="宋体" w:cs="宋体"/>
          <w:color w:val="auto"/>
          <w:sz w:val="21"/>
          <w:szCs w:val="21"/>
          <w:highlight w:val="none"/>
        </w:rPr>
        <w:t>。</w:t>
      </w:r>
    </w:p>
    <w:p w14:paraId="25AE46FC">
      <w:pPr>
        <w:pageBreakBefore w:val="0"/>
        <w:kinsoku/>
        <w:wordWrap/>
        <w:overflowPunct/>
        <w:topLinePunct w:val="0"/>
        <w:autoSpaceDE w:val="0"/>
        <w:autoSpaceDN w:val="0"/>
        <w:bidi w:val="0"/>
        <w:adjustRightInd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 xml:space="preserve">7.1.2 </w:t>
      </w:r>
      <w:r>
        <w:rPr>
          <w:rFonts w:hint="eastAsia" w:ascii="宋体" w:hAnsi="宋体" w:eastAsia="宋体" w:cs="宋体"/>
          <w:color w:val="auto"/>
          <w:kern w:val="0"/>
          <w:sz w:val="21"/>
          <w:szCs w:val="21"/>
          <w:highlight w:val="none"/>
        </w:rPr>
        <w:t>施工组织设计的提交和修改</w:t>
      </w:r>
    </w:p>
    <w:p w14:paraId="565E3A39">
      <w:pPr>
        <w:pageBreakBefore w:val="0"/>
        <w:kinsoku/>
        <w:wordWrap/>
        <w:overflowPunct/>
        <w:topLinePunct w:val="0"/>
        <w:autoSpaceDE w:val="0"/>
        <w:autoSpaceDN w:val="0"/>
        <w:bidi w:val="0"/>
        <w:adjustRightInd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承包人提交详细施工组织设计的期限的约定：</w:t>
      </w:r>
      <w:r>
        <w:rPr>
          <w:rFonts w:hint="eastAsia" w:ascii="宋体" w:hAnsi="宋体" w:eastAsia="宋体" w:cs="宋体"/>
          <w:color w:val="auto"/>
          <w:sz w:val="21"/>
          <w:szCs w:val="21"/>
          <w:highlight w:val="none"/>
          <w:u w:val="single"/>
        </w:rPr>
        <w:t xml:space="preserve">   开工前7天  </w:t>
      </w:r>
      <w:r>
        <w:rPr>
          <w:rFonts w:hint="eastAsia" w:ascii="宋体" w:hAnsi="宋体" w:eastAsia="宋体" w:cs="宋体"/>
          <w:color w:val="auto"/>
          <w:sz w:val="21"/>
          <w:szCs w:val="21"/>
          <w:highlight w:val="none"/>
        </w:rPr>
        <w:t>。</w:t>
      </w:r>
    </w:p>
    <w:p w14:paraId="57E7C3F9">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发包人和监理人在收到详细的施工组织设计后确认或提出修改意见的期限：</w:t>
      </w:r>
      <w:r>
        <w:rPr>
          <w:rFonts w:hint="eastAsia" w:ascii="宋体" w:hAnsi="宋体" w:eastAsia="宋体" w:cs="宋体"/>
          <w:color w:val="auto"/>
          <w:sz w:val="21"/>
          <w:szCs w:val="21"/>
          <w:highlight w:val="none"/>
          <w:u w:val="single"/>
        </w:rPr>
        <w:t xml:space="preserve">   收到后7天内   </w:t>
      </w:r>
      <w:r>
        <w:rPr>
          <w:rFonts w:hint="eastAsia" w:ascii="宋体" w:hAnsi="宋体" w:eastAsia="宋体" w:cs="宋体"/>
          <w:color w:val="auto"/>
          <w:sz w:val="21"/>
          <w:szCs w:val="21"/>
          <w:highlight w:val="none"/>
        </w:rPr>
        <w:t>。</w:t>
      </w:r>
    </w:p>
    <w:p w14:paraId="4EE95EDE">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232" w:name="_Toc6199"/>
      <w:bookmarkStart w:id="233" w:name="_Toc31397"/>
      <w:r>
        <w:rPr>
          <w:rFonts w:hint="eastAsia" w:ascii="宋体" w:hAnsi="宋体" w:eastAsia="宋体" w:cs="宋体"/>
          <w:bCs w:val="0"/>
          <w:color w:val="auto"/>
          <w:kern w:val="2"/>
          <w:sz w:val="21"/>
          <w:szCs w:val="21"/>
          <w:highlight w:val="none"/>
          <w:lang w:val="en-US" w:eastAsia="zh-CN" w:bidi="ar-SA"/>
        </w:rPr>
        <w:t>7</w:t>
      </w:r>
      <w:bookmarkStart w:id="234" w:name="_Toc312678005"/>
      <w:bookmarkStart w:id="235" w:name="_Toc297216173"/>
      <w:bookmarkStart w:id="236" w:name="_Toc312677479"/>
      <w:bookmarkStart w:id="237" w:name="_Toc300934966"/>
      <w:bookmarkStart w:id="238" w:name="_Toc303539123"/>
      <w:bookmarkStart w:id="239" w:name="_Toc297123514"/>
      <w:bookmarkStart w:id="240" w:name="_Toc304295541"/>
      <w:r>
        <w:rPr>
          <w:rFonts w:hint="eastAsia" w:ascii="宋体" w:hAnsi="宋体" w:eastAsia="宋体" w:cs="宋体"/>
          <w:bCs w:val="0"/>
          <w:color w:val="auto"/>
          <w:kern w:val="2"/>
          <w:sz w:val="21"/>
          <w:szCs w:val="21"/>
          <w:highlight w:val="none"/>
          <w:lang w:val="en-US" w:eastAsia="zh-CN" w:bidi="ar-SA"/>
        </w:rPr>
        <w:t>.2 施工进度计划</w:t>
      </w:r>
      <w:bookmarkEnd w:id="232"/>
      <w:bookmarkEnd w:id="233"/>
    </w:p>
    <w:p w14:paraId="21737070">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7.2.</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 xml:space="preserve"> 施工进度计划的修订</w:t>
      </w:r>
    </w:p>
    <w:p w14:paraId="53E77DA0">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发包人和监理人在收到修订的施工进度计划后确认或提出修改意见的期限：</w:t>
      </w:r>
      <w:r>
        <w:rPr>
          <w:rFonts w:hint="eastAsia" w:ascii="宋体" w:hAnsi="宋体" w:eastAsia="宋体" w:cs="宋体"/>
          <w:color w:val="auto"/>
          <w:sz w:val="21"/>
          <w:szCs w:val="21"/>
          <w:highlight w:val="none"/>
          <w:u w:val="single"/>
        </w:rPr>
        <w:t xml:space="preserve">  收到后7天内      </w:t>
      </w:r>
      <w:r>
        <w:rPr>
          <w:rFonts w:hint="eastAsia" w:ascii="宋体" w:hAnsi="宋体" w:eastAsia="宋体" w:cs="宋体"/>
          <w:color w:val="auto"/>
          <w:sz w:val="21"/>
          <w:szCs w:val="21"/>
          <w:highlight w:val="none"/>
        </w:rPr>
        <w:t>。</w:t>
      </w:r>
    </w:p>
    <w:p w14:paraId="3A1A5345">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241" w:name="_Toc17953"/>
      <w:bookmarkStart w:id="242" w:name="_Toc32034"/>
      <w:r>
        <w:rPr>
          <w:rFonts w:hint="eastAsia" w:ascii="宋体" w:hAnsi="宋体" w:eastAsia="宋体" w:cs="宋体"/>
          <w:bCs w:val="0"/>
          <w:color w:val="auto"/>
          <w:kern w:val="2"/>
          <w:sz w:val="21"/>
          <w:szCs w:val="21"/>
          <w:highlight w:val="none"/>
          <w:lang w:val="en-US" w:eastAsia="zh-CN" w:bidi="ar-SA"/>
        </w:rPr>
        <w:t>7.3 开工</w:t>
      </w:r>
      <w:bookmarkEnd w:id="241"/>
      <w:bookmarkEnd w:id="242"/>
    </w:p>
    <w:p w14:paraId="635ACDD6">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7.3.1 开工准备</w:t>
      </w:r>
    </w:p>
    <w:p w14:paraId="6F1D545E">
      <w:pPr>
        <w:pageBreakBefore w:val="0"/>
        <w:kinsoku/>
        <w:wordWrap/>
        <w:overflowPunct/>
        <w:topLinePunct w:val="0"/>
        <w:bidi w:val="0"/>
        <w:snapToGrid/>
        <w:spacing w:after="0" w:afterLines="0" w:line="360" w:lineRule="auto"/>
        <w:ind w:firstLine="645"/>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关于承包人提交</w:t>
      </w:r>
      <w:r>
        <w:rPr>
          <w:rFonts w:hint="eastAsia" w:ascii="宋体" w:hAnsi="宋体" w:eastAsia="宋体" w:cs="宋体"/>
          <w:color w:val="auto"/>
          <w:kern w:val="0"/>
          <w:sz w:val="21"/>
          <w:szCs w:val="21"/>
          <w:highlight w:val="none"/>
        </w:rPr>
        <w:t>工程开工报审表的期限：</w:t>
      </w:r>
      <w:r>
        <w:rPr>
          <w:rFonts w:hint="eastAsia" w:ascii="宋体" w:hAnsi="宋体" w:eastAsia="宋体" w:cs="宋体"/>
          <w:color w:val="auto"/>
          <w:sz w:val="21"/>
          <w:szCs w:val="21"/>
          <w:highlight w:val="none"/>
          <w:u w:val="single"/>
        </w:rPr>
        <w:t xml:space="preserve">  开工前7天   </w:t>
      </w:r>
      <w:r>
        <w:rPr>
          <w:rFonts w:hint="eastAsia" w:ascii="宋体" w:hAnsi="宋体" w:eastAsia="宋体" w:cs="宋体"/>
          <w:color w:val="auto"/>
          <w:sz w:val="21"/>
          <w:szCs w:val="21"/>
          <w:highlight w:val="none"/>
        </w:rPr>
        <w:t>。</w:t>
      </w:r>
    </w:p>
    <w:p w14:paraId="34578EE4">
      <w:pPr>
        <w:pageBreakBefore w:val="0"/>
        <w:kinsoku/>
        <w:wordWrap/>
        <w:overflowPunct/>
        <w:topLinePunct w:val="0"/>
        <w:bidi w:val="0"/>
        <w:snapToGrid/>
        <w:spacing w:after="0" w:afterLines="0" w:line="360" w:lineRule="auto"/>
        <w:ind w:firstLine="630" w:firstLineChars="3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关于发包人应完成的其他开工准备工作及期限：</w:t>
      </w:r>
      <w:r>
        <w:rPr>
          <w:rFonts w:hint="eastAsia" w:ascii="宋体" w:hAnsi="宋体" w:eastAsia="宋体" w:cs="宋体"/>
          <w:color w:val="auto"/>
          <w:sz w:val="21"/>
          <w:szCs w:val="21"/>
          <w:highlight w:val="none"/>
          <w:u w:val="single"/>
        </w:rPr>
        <w:t xml:space="preserve">  开工前7天   </w:t>
      </w:r>
      <w:r>
        <w:rPr>
          <w:rFonts w:hint="eastAsia" w:ascii="宋体" w:hAnsi="宋体" w:eastAsia="宋体" w:cs="宋体"/>
          <w:color w:val="auto"/>
          <w:sz w:val="21"/>
          <w:szCs w:val="21"/>
          <w:highlight w:val="none"/>
        </w:rPr>
        <w:t>。</w:t>
      </w:r>
    </w:p>
    <w:p w14:paraId="29789265">
      <w:pPr>
        <w:pageBreakBefore w:val="0"/>
        <w:kinsoku/>
        <w:wordWrap/>
        <w:overflowPunct/>
        <w:topLinePunct w:val="0"/>
        <w:bidi w:val="0"/>
        <w:snapToGrid/>
        <w:spacing w:after="0" w:afterLines="0" w:line="360" w:lineRule="auto"/>
        <w:ind w:firstLine="630" w:firstLineChars="3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关于承包人应完成的其他开工准备工作及期限：</w:t>
      </w:r>
      <w:r>
        <w:rPr>
          <w:rFonts w:hint="eastAsia" w:ascii="宋体" w:hAnsi="宋体" w:eastAsia="宋体" w:cs="宋体"/>
          <w:color w:val="auto"/>
          <w:sz w:val="21"/>
          <w:szCs w:val="21"/>
          <w:highlight w:val="none"/>
          <w:u w:val="single"/>
        </w:rPr>
        <w:t xml:space="preserve">   开工前7天     </w:t>
      </w:r>
      <w:r>
        <w:rPr>
          <w:rFonts w:hint="eastAsia" w:ascii="宋体" w:hAnsi="宋体" w:eastAsia="宋体" w:cs="宋体"/>
          <w:color w:val="auto"/>
          <w:sz w:val="21"/>
          <w:szCs w:val="21"/>
          <w:highlight w:val="none"/>
        </w:rPr>
        <w:t>。</w:t>
      </w:r>
    </w:p>
    <w:p w14:paraId="303AFFC5">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7.3.2开工通知</w:t>
      </w:r>
    </w:p>
    <w:p w14:paraId="3700E0B2">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因发包人原因造成监理人未能在计划开工日期之日起</w:t>
      </w:r>
      <w:r>
        <w:rPr>
          <w:rFonts w:hint="eastAsia" w:ascii="宋体" w:hAnsi="宋体" w:eastAsia="宋体" w:cs="宋体"/>
          <w:color w:val="auto"/>
          <w:sz w:val="21"/>
          <w:szCs w:val="21"/>
          <w:highlight w:val="none"/>
          <w:u w:val="none"/>
        </w:rPr>
        <w:t xml:space="preserve"> 60 </w:t>
      </w:r>
      <w:r>
        <w:rPr>
          <w:rFonts w:hint="eastAsia" w:ascii="宋体" w:hAnsi="宋体" w:eastAsia="宋体" w:cs="宋体"/>
          <w:color w:val="auto"/>
          <w:sz w:val="21"/>
          <w:szCs w:val="21"/>
          <w:highlight w:val="none"/>
        </w:rPr>
        <w:t>天内发出开工通知的，承包人有权提出价格调整要求，或者经双方协商一致解除合同。</w:t>
      </w:r>
    </w:p>
    <w:bookmarkEnd w:id="234"/>
    <w:bookmarkEnd w:id="235"/>
    <w:bookmarkEnd w:id="236"/>
    <w:bookmarkEnd w:id="237"/>
    <w:bookmarkEnd w:id="238"/>
    <w:bookmarkEnd w:id="239"/>
    <w:bookmarkEnd w:id="240"/>
    <w:p w14:paraId="3A51E9F2">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243" w:name="_Toc417"/>
      <w:bookmarkStart w:id="244" w:name="_Toc28816"/>
      <w:r>
        <w:rPr>
          <w:rFonts w:hint="eastAsia" w:ascii="宋体" w:hAnsi="宋体" w:eastAsia="宋体" w:cs="宋体"/>
          <w:bCs w:val="0"/>
          <w:color w:val="auto"/>
          <w:kern w:val="2"/>
          <w:sz w:val="21"/>
          <w:szCs w:val="21"/>
          <w:highlight w:val="none"/>
          <w:lang w:val="en-US" w:eastAsia="zh-CN" w:bidi="ar-SA"/>
        </w:rPr>
        <w:t>7.4 测量放线</w:t>
      </w:r>
      <w:bookmarkEnd w:id="243"/>
      <w:bookmarkEnd w:id="244"/>
    </w:p>
    <w:p w14:paraId="69D57041">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7.4.1发包人通过监理人向承包人提供测量基准点、基准线和水准点及其书面资料的期限：</w:t>
      </w:r>
      <w:r>
        <w:rPr>
          <w:rFonts w:hint="eastAsia" w:ascii="宋体" w:hAnsi="宋体" w:eastAsia="宋体" w:cs="宋体"/>
          <w:color w:val="auto"/>
          <w:sz w:val="21"/>
          <w:szCs w:val="21"/>
          <w:highlight w:val="none"/>
          <w:u w:val="single"/>
        </w:rPr>
        <w:t xml:space="preserve">   开工前7天    </w:t>
      </w:r>
      <w:r>
        <w:rPr>
          <w:rFonts w:hint="eastAsia" w:ascii="宋体" w:hAnsi="宋体" w:eastAsia="宋体" w:cs="宋体"/>
          <w:color w:val="auto"/>
          <w:sz w:val="21"/>
          <w:szCs w:val="21"/>
          <w:highlight w:val="none"/>
        </w:rPr>
        <w:t>。</w:t>
      </w:r>
    </w:p>
    <w:p w14:paraId="020CD8A8">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245" w:name="_Toc17077"/>
      <w:bookmarkStart w:id="246" w:name="_Toc12521"/>
      <w:r>
        <w:rPr>
          <w:rFonts w:hint="eastAsia" w:ascii="宋体" w:hAnsi="宋体" w:eastAsia="宋体" w:cs="宋体"/>
          <w:bCs w:val="0"/>
          <w:color w:val="auto"/>
          <w:kern w:val="2"/>
          <w:sz w:val="21"/>
          <w:szCs w:val="21"/>
          <w:highlight w:val="none"/>
          <w:lang w:val="en-US" w:eastAsia="zh-CN" w:bidi="ar-SA"/>
        </w:rPr>
        <w:t>7</w:t>
      </w:r>
      <w:bookmarkStart w:id="247" w:name="_Toc304295546"/>
      <w:bookmarkStart w:id="248" w:name="_Toc312677484"/>
      <w:bookmarkStart w:id="249" w:name="_Toc312678010"/>
      <w:bookmarkStart w:id="250" w:name="_Toc297216175"/>
      <w:bookmarkStart w:id="251" w:name="_Toc303539125"/>
      <w:bookmarkStart w:id="252" w:name="_Toc300934968"/>
      <w:bookmarkStart w:id="253" w:name="_Toc297123516"/>
      <w:r>
        <w:rPr>
          <w:rFonts w:hint="eastAsia" w:ascii="宋体" w:hAnsi="宋体" w:eastAsia="宋体" w:cs="宋体"/>
          <w:bCs w:val="0"/>
          <w:color w:val="auto"/>
          <w:kern w:val="2"/>
          <w:sz w:val="21"/>
          <w:szCs w:val="21"/>
          <w:highlight w:val="none"/>
          <w:lang w:val="en-US" w:eastAsia="zh-CN" w:bidi="ar-SA"/>
        </w:rPr>
        <w:t>.5 工期延误</w:t>
      </w:r>
      <w:bookmarkEnd w:id="245"/>
      <w:bookmarkEnd w:id="246"/>
    </w:p>
    <w:bookmarkEnd w:id="247"/>
    <w:bookmarkEnd w:id="248"/>
    <w:bookmarkEnd w:id="249"/>
    <w:bookmarkEnd w:id="250"/>
    <w:bookmarkEnd w:id="251"/>
    <w:bookmarkEnd w:id="252"/>
    <w:bookmarkEnd w:id="253"/>
    <w:p w14:paraId="2E18E5A5">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7.5.1 因发包人原因导致工期延误</w:t>
      </w:r>
    </w:p>
    <w:p w14:paraId="5249B870">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因发包人原因导致工期延误的其他情形：</w:t>
      </w:r>
      <w:r>
        <w:rPr>
          <w:rFonts w:hint="eastAsia" w:ascii="宋体" w:hAnsi="宋体" w:eastAsia="宋体" w:cs="宋体"/>
          <w:color w:val="auto"/>
          <w:sz w:val="21"/>
          <w:szCs w:val="21"/>
          <w:highlight w:val="none"/>
          <w:u w:val="single"/>
        </w:rPr>
        <w:t xml:space="preserve">   重大设计变更且在关健线路上确实影响了施工进度  </w:t>
      </w:r>
      <w:r>
        <w:rPr>
          <w:rFonts w:hint="eastAsia" w:ascii="宋体" w:hAnsi="宋体" w:eastAsia="宋体" w:cs="宋体"/>
          <w:color w:val="auto"/>
          <w:sz w:val="21"/>
          <w:szCs w:val="21"/>
          <w:highlight w:val="none"/>
        </w:rPr>
        <w:t>。</w:t>
      </w:r>
    </w:p>
    <w:p w14:paraId="01417C20">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bookmarkStart w:id="254" w:name="_Toc312677486"/>
      <w:bookmarkStart w:id="255" w:name="_Toc312678012"/>
      <w:bookmarkStart w:id="256" w:name="_Toc318581169"/>
      <w:bookmarkStart w:id="257" w:name="_Toc303539127"/>
      <w:bookmarkStart w:id="258" w:name="_Toc304295548"/>
      <w:bookmarkStart w:id="259" w:name="_Toc297216177"/>
      <w:bookmarkStart w:id="260" w:name="_Toc297123518"/>
      <w:bookmarkStart w:id="261" w:name="_Toc300934970"/>
      <w:r>
        <w:rPr>
          <w:rFonts w:hint="eastAsia" w:ascii="宋体" w:hAnsi="宋体" w:eastAsia="宋体" w:cs="宋体"/>
          <w:color w:val="auto"/>
          <w:sz w:val="21"/>
          <w:szCs w:val="21"/>
          <w:highlight w:val="none"/>
        </w:rPr>
        <w:t>.5.2 因承包人原因导致工期延误</w:t>
      </w:r>
    </w:p>
    <w:bookmarkEnd w:id="254"/>
    <w:bookmarkEnd w:id="255"/>
    <w:bookmarkEnd w:id="256"/>
    <w:p w14:paraId="48BC0901">
      <w:pPr>
        <w:pageBreakBefore w:val="0"/>
        <w:kinsoku/>
        <w:wordWrap/>
        <w:overflowPunct/>
        <w:topLinePunct w:val="0"/>
        <w:bidi w:val="0"/>
        <w:snapToGrid/>
        <w:spacing w:after="0" w:afterLines="0" w:line="360" w:lineRule="auto"/>
        <w:ind w:firstLine="420" w:firstLineChars="20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7.5.2.1  月度计划   </w:t>
      </w:r>
    </w:p>
    <w:p w14:paraId="341FF434">
      <w:pPr>
        <w:pageBreakBefore w:val="0"/>
        <w:kinsoku/>
        <w:wordWrap/>
        <w:overflowPunct/>
        <w:topLinePunct w:val="0"/>
        <w:bidi w:val="0"/>
        <w:snapToGrid/>
        <w:spacing w:after="0" w:afterLines="0" w:line="360" w:lineRule="auto"/>
        <w:ind w:firstLine="420" w:firstLineChars="20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承包人应于每月25日前上报经监理人审批的次月的月度施工计划（并标注好关键节点），承包人应严格按照月度施工计划节点要求组织实施，因承包人自身原因导致月度计划滞后的，视情节罚款3万元，</w:t>
      </w:r>
      <w:r>
        <w:rPr>
          <w:rFonts w:hint="eastAsia" w:ascii="宋体" w:hAnsi="宋体" w:eastAsia="宋体" w:cs="宋体"/>
          <w:color w:val="auto"/>
          <w:kern w:val="2"/>
          <w:sz w:val="21"/>
          <w:szCs w:val="21"/>
          <w:highlight w:val="none"/>
          <w:lang w:val="en-US" w:eastAsia="zh-CN" w:bidi="ar"/>
        </w:rPr>
        <w:t>发包人有权从工程款中直接扣除</w:t>
      </w:r>
      <w:r>
        <w:rPr>
          <w:rFonts w:hint="eastAsia" w:ascii="宋体" w:hAnsi="宋体" w:eastAsia="宋体" w:cs="宋体"/>
          <w:color w:val="auto"/>
          <w:sz w:val="21"/>
          <w:szCs w:val="21"/>
          <w:highlight w:val="none"/>
          <w:lang w:val="en-US" w:eastAsia="zh-CN"/>
        </w:rPr>
        <w:t>，同时承包人应按照监理人及发包人要求采取相应补救措施，确保总体工期。若承包人未按照监理人和发包人要求采取补救措施且进度无明显改进，视情节罚款5万元，</w:t>
      </w:r>
      <w:r>
        <w:rPr>
          <w:rFonts w:hint="eastAsia" w:ascii="宋体" w:hAnsi="宋体" w:eastAsia="宋体" w:cs="宋体"/>
          <w:color w:val="auto"/>
          <w:kern w:val="2"/>
          <w:sz w:val="21"/>
          <w:szCs w:val="21"/>
          <w:highlight w:val="none"/>
          <w:lang w:val="en-US" w:eastAsia="zh-CN" w:bidi="ar"/>
        </w:rPr>
        <w:t>发包人有权从工程款中直接扣除</w:t>
      </w:r>
      <w:r>
        <w:rPr>
          <w:rFonts w:hint="eastAsia" w:ascii="宋体" w:hAnsi="宋体" w:eastAsia="宋体" w:cs="宋体"/>
          <w:color w:val="auto"/>
          <w:sz w:val="21"/>
          <w:szCs w:val="21"/>
          <w:highlight w:val="none"/>
          <w:lang w:val="en-US" w:eastAsia="zh-CN"/>
        </w:rPr>
        <w:t>，并约谈承包人法定代表人。若承包人连续3月进度滞后，</w:t>
      </w:r>
      <w:r>
        <w:rPr>
          <w:rFonts w:hint="eastAsia" w:ascii="宋体" w:hAnsi="宋体" w:eastAsia="宋体" w:cs="宋体"/>
          <w:color w:val="auto"/>
          <w:kern w:val="2"/>
          <w:sz w:val="21"/>
          <w:szCs w:val="21"/>
          <w:highlight w:val="none"/>
          <w:u w:val="single"/>
          <w:lang w:val="en-US" w:eastAsia="zh-CN" w:bidi="ar"/>
        </w:rPr>
        <w:t>发包人有权要求撤换承包人项目经理及单方面解除合同，由此造成的损失由承包人承担</w:t>
      </w:r>
      <w:r>
        <w:rPr>
          <w:rFonts w:hint="eastAsia" w:ascii="宋体" w:hAnsi="宋体" w:eastAsia="宋体" w:cs="宋体"/>
          <w:color w:val="auto"/>
          <w:kern w:val="2"/>
          <w:sz w:val="21"/>
          <w:szCs w:val="21"/>
          <w:highlight w:val="none"/>
          <w:lang w:val="en-US" w:eastAsia="zh-CN" w:bidi="ar"/>
        </w:rPr>
        <w:t>。</w:t>
      </w:r>
    </w:p>
    <w:p w14:paraId="679FA02A">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7.5.2.2   总工期</w:t>
      </w:r>
    </w:p>
    <w:p w14:paraId="0D74F2F7">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w:t>
      </w:r>
      <w:bookmarkStart w:id="262" w:name="_Toc312677487"/>
      <w:bookmarkStart w:id="263" w:name="_Toc312678013"/>
      <w:bookmarkStart w:id="264" w:name="_Toc318581170"/>
      <w:r>
        <w:rPr>
          <w:rFonts w:hint="eastAsia" w:ascii="宋体" w:hAnsi="宋体" w:eastAsia="宋体" w:cs="宋体"/>
          <w:color w:val="auto"/>
          <w:sz w:val="21"/>
          <w:szCs w:val="21"/>
          <w:highlight w:val="none"/>
        </w:rPr>
        <w:t>承包人原因造成工期延误，逾期竣工违约金的计算方法为：</w:t>
      </w:r>
      <w:r>
        <w:rPr>
          <w:rFonts w:hint="eastAsia" w:ascii="宋体" w:hAnsi="宋体" w:eastAsia="宋体" w:cs="宋体"/>
          <w:color w:val="auto"/>
          <w:sz w:val="21"/>
          <w:szCs w:val="21"/>
          <w:highlight w:val="none"/>
          <w:lang w:val="en-US" w:eastAsia="zh-CN"/>
        </w:rPr>
        <w:t>经发包人批准的总工期</w:t>
      </w:r>
      <w:r>
        <w:rPr>
          <w:rFonts w:hint="eastAsia" w:ascii="宋体" w:hAnsi="宋体" w:eastAsia="宋体" w:cs="宋体"/>
          <w:color w:val="auto"/>
          <w:sz w:val="21"/>
          <w:szCs w:val="21"/>
          <w:highlight w:val="none"/>
          <w:u w:val="single"/>
        </w:rPr>
        <w:t>每延误一天按合同总价的千分之一的标准承担逾期竣工违约金</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延误天数计算至工程实际竣工之日止</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bookmarkEnd w:id="257"/>
      <w:bookmarkEnd w:id="258"/>
      <w:bookmarkEnd w:id="259"/>
      <w:bookmarkEnd w:id="260"/>
      <w:bookmarkEnd w:id="261"/>
      <w:bookmarkEnd w:id="262"/>
      <w:bookmarkEnd w:id="263"/>
    </w:p>
    <w:bookmarkEnd w:id="264"/>
    <w:p w14:paraId="4E3C66EC">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因承包人原因造成工期延误，逾</w:t>
      </w:r>
      <w:bookmarkStart w:id="265" w:name="_Toc318581171"/>
      <w:bookmarkStart w:id="266" w:name="_Toc312678014"/>
      <w:r>
        <w:rPr>
          <w:rFonts w:hint="eastAsia" w:ascii="宋体" w:hAnsi="宋体" w:eastAsia="宋体" w:cs="宋体"/>
          <w:color w:val="auto"/>
          <w:sz w:val="21"/>
          <w:szCs w:val="21"/>
          <w:highlight w:val="none"/>
        </w:rPr>
        <w:t>期竣工违约金的上限：</w:t>
      </w:r>
      <w:r>
        <w:rPr>
          <w:rFonts w:hint="eastAsia" w:ascii="宋体" w:hAnsi="宋体" w:eastAsia="宋体" w:cs="宋体"/>
          <w:color w:val="auto"/>
          <w:sz w:val="21"/>
          <w:szCs w:val="21"/>
          <w:highlight w:val="none"/>
          <w:u w:val="single"/>
        </w:rPr>
        <w:t xml:space="preserve">   合同总价的</w:t>
      </w:r>
      <w:r>
        <w:rPr>
          <w:rFonts w:hint="eastAsia" w:ascii="宋体" w:hAnsi="宋体" w:eastAsia="宋体" w:cs="宋体"/>
          <w:color w:val="auto"/>
          <w:sz w:val="21"/>
          <w:szCs w:val="21"/>
          <w:highlight w:val="none"/>
          <w:u w:val="single"/>
          <w:lang w:val="en-US" w:eastAsia="zh-CN"/>
        </w:rPr>
        <w:t>10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265"/>
    <w:bookmarkEnd w:id="266"/>
    <w:p w14:paraId="51B98B69">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267" w:name="_Toc31859"/>
      <w:bookmarkStart w:id="268" w:name="_Toc23648"/>
      <w:r>
        <w:rPr>
          <w:rFonts w:hint="eastAsia" w:ascii="宋体" w:hAnsi="宋体" w:eastAsia="宋体" w:cs="宋体"/>
          <w:bCs w:val="0"/>
          <w:color w:val="auto"/>
          <w:kern w:val="2"/>
          <w:sz w:val="21"/>
          <w:szCs w:val="21"/>
          <w:highlight w:val="none"/>
          <w:lang w:val="en-US" w:eastAsia="zh-CN" w:bidi="ar-SA"/>
        </w:rPr>
        <w:t>7</w:t>
      </w:r>
      <w:bookmarkStart w:id="269" w:name="_Toc297216178"/>
      <w:bookmarkStart w:id="270" w:name="_Toc312678015"/>
      <w:bookmarkStart w:id="271" w:name="_Toc297123519"/>
      <w:bookmarkStart w:id="272" w:name="_Toc304295549"/>
      <w:bookmarkStart w:id="273" w:name="_Toc303539128"/>
      <w:bookmarkStart w:id="274" w:name="_Toc300934971"/>
      <w:r>
        <w:rPr>
          <w:rFonts w:hint="eastAsia" w:ascii="宋体" w:hAnsi="宋体" w:eastAsia="宋体" w:cs="宋体"/>
          <w:bCs w:val="0"/>
          <w:color w:val="auto"/>
          <w:kern w:val="2"/>
          <w:sz w:val="21"/>
          <w:szCs w:val="21"/>
          <w:highlight w:val="none"/>
          <w:lang w:val="en-US" w:eastAsia="zh-CN" w:bidi="ar-SA"/>
        </w:rPr>
        <w:t>.6 不</w:t>
      </w:r>
      <w:bookmarkEnd w:id="269"/>
      <w:bookmarkEnd w:id="270"/>
      <w:bookmarkEnd w:id="271"/>
      <w:bookmarkEnd w:id="272"/>
      <w:bookmarkEnd w:id="273"/>
      <w:bookmarkEnd w:id="274"/>
      <w:r>
        <w:rPr>
          <w:rFonts w:hint="eastAsia" w:ascii="宋体" w:hAnsi="宋体" w:eastAsia="宋体" w:cs="宋体"/>
          <w:bCs w:val="0"/>
          <w:color w:val="auto"/>
          <w:kern w:val="2"/>
          <w:sz w:val="21"/>
          <w:szCs w:val="21"/>
          <w:highlight w:val="none"/>
          <w:lang w:val="en-US" w:eastAsia="zh-CN" w:bidi="ar-SA"/>
        </w:rPr>
        <w:t>利物质条件</w:t>
      </w:r>
      <w:bookmarkEnd w:id="267"/>
      <w:bookmarkEnd w:id="268"/>
    </w:p>
    <w:p w14:paraId="67CF1A3C">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bookmarkStart w:id="275" w:name="_Toc303539129"/>
      <w:bookmarkStart w:id="276" w:name="_Toc312678016"/>
      <w:bookmarkStart w:id="277" w:name="_Toc300934972"/>
      <w:bookmarkStart w:id="278" w:name="_Toc304295550"/>
      <w:bookmarkStart w:id="279" w:name="_Toc297216179"/>
      <w:bookmarkStart w:id="280" w:name="_Toc318581172"/>
      <w:bookmarkStart w:id="281" w:name="_Toc297123520"/>
      <w:r>
        <w:rPr>
          <w:rFonts w:hint="eastAsia" w:ascii="宋体" w:hAnsi="宋体" w:eastAsia="宋体" w:cs="宋体"/>
          <w:color w:val="auto"/>
          <w:sz w:val="21"/>
          <w:szCs w:val="21"/>
          <w:highlight w:val="none"/>
        </w:rPr>
        <w:t>不利物质条件的其他情形和有关约定：</w:t>
      </w:r>
      <w:r>
        <w:rPr>
          <w:rFonts w:hint="eastAsia" w:ascii="宋体" w:hAnsi="宋体" w:eastAsia="宋体" w:cs="宋体"/>
          <w:color w:val="auto"/>
          <w:sz w:val="21"/>
          <w:szCs w:val="21"/>
          <w:highlight w:val="none"/>
          <w:u w:val="single"/>
        </w:rPr>
        <w:t xml:space="preserve">  按合同通用条款执行    </w:t>
      </w:r>
      <w:r>
        <w:rPr>
          <w:rFonts w:hint="eastAsia" w:ascii="宋体" w:hAnsi="宋体" w:eastAsia="宋体" w:cs="宋体"/>
          <w:color w:val="auto"/>
          <w:sz w:val="21"/>
          <w:szCs w:val="21"/>
          <w:highlight w:val="none"/>
        </w:rPr>
        <w:t>。</w:t>
      </w:r>
    </w:p>
    <w:bookmarkEnd w:id="275"/>
    <w:bookmarkEnd w:id="276"/>
    <w:bookmarkEnd w:id="277"/>
    <w:bookmarkEnd w:id="278"/>
    <w:bookmarkEnd w:id="279"/>
    <w:bookmarkEnd w:id="280"/>
    <w:bookmarkEnd w:id="281"/>
    <w:p w14:paraId="0248F812">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282" w:name="_Toc4411"/>
      <w:bookmarkStart w:id="283" w:name="_Toc7972"/>
      <w:r>
        <w:rPr>
          <w:rFonts w:hint="eastAsia" w:ascii="宋体" w:hAnsi="宋体" w:eastAsia="宋体" w:cs="宋体"/>
          <w:bCs w:val="0"/>
          <w:color w:val="auto"/>
          <w:kern w:val="2"/>
          <w:sz w:val="21"/>
          <w:szCs w:val="21"/>
          <w:highlight w:val="none"/>
          <w:lang w:val="en-US" w:eastAsia="zh-CN" w:bidi="ar-SA"/>
        </w:rPr>
        <w:t>7</w:t>
      </w:r>
      <w:bookmarkStart w:id="284" w:name="_Toc297216180"/>
      <w:bookmarkStart w:id="285" w:name="_Toc300934973"/>
      <w:bookmarkStart w:id="286" w:name="_Toc312678017"/>
      <w:bookmarkStart w:id="287" w:name="_Toc297123521"/>
      <w:bookmarkStart w:id="288" w:name="_Toc303539130"/>
      <w:bookmarkStart w:id="289" w:name="_Toc304295551"/>
      <w:r>
        <w:rPr>
          <w:rFonts w:hint="eastAsia" w:ascii="宋体" w:hAnsi="宋体" w:eastAsia="宋体" w:cs="宋体"/>
          <w:bCs w:val="0"/>
          <w:color w:val="auto"/>
          <w:kern w:val="2"/>
          <w:sz w:val="21"/>
          <w:szCs w:val="21"/>
          <w:highlight w:val="none"/>
          <w:lang w:val="en-US" w:eastAsia="zh-CN" w:bidi="ar-SA"/>
        </w:rPr>
        <w:t>.7异常恶劣的气候条件</w:t>
      </w:r>
      <w:bookmarkEnd w:id="282"/>
      <w:bookmarkEnd w:id="283"/>
    </w:p>
    <w:bookmarkEnd w:id="284"/>
    <w:bookmarkEnd w:id="285"/>
    <w:bookmarkEnd w:id="286"/>
    <w:bookmarkEnd w:id="287"/>
    <w:bookmarkEnd w:id="288"/>
    <w:bookmarkEnd w:id="289"/>
    <w:p w14:paraId="4F22CA37">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u w:val="single"/>
          <w:lang w:val="en-US" w:eastAsia="zh-CN"/>
        </w:rPr>
        <w:t>持续降雨三天以上且日降雨量达到170mm以上</w:t>
      </w:r>
      <w:r>
        <w:rPr>
          <w:rFonts w:hint="eastAsia" w:ascii="宋体" w:hAnsi="宋体" w:eastAsia="宋体" w:cs="宋体"/>
          <w:color w:val="auto"/>
          <w:sz w:val="21"/>
          <w:szCs w:val="21"/>
          <w:highlight w:val="none"/>
          <w:lang w:val="en-US" w:eastAsia="zh-CN"/>
        </w:rPr>
        <w:t>；</w:t>
      </w:r>
    </w:p>
    <w:p w14:paraId="27BFABE9">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u w:val="single"/>
          <w:lang w:val="en-US" w:eastAsia="zh-CN"/>
        </w:rPr>
        <w:t>40摄氏度以上并持续3天以上的高温天气</w:t>
      </w:r>
      <w:r>
        <w:rPr>
          <w:rFonts w:hint="eastAsia" w:ascii="宋体" w:hAnsi="宋体" w:eastAsia="宋体" w:cs="宋体"/>
          <w:color w:val="auto"/>
          <w:sz w:val="21"/>
          <w:szCs w:val="21"/>
          <w:highlight w:val="none"/>
          <w:lang w:val="en-US" w:eastAsia="zh-CN"/>
        </w:rPr>
        <w:t>；</w:t>
      </w:r>
    </w:p>
    <w:p w14:paraId="4901599E">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u w:val="single"/>
          <w:lang w:val="en-US" w:eastAsia="zh-CN"/>
        </w:rPr>
        <w:t>持续24小时9级以上的大风</w:t>
      </w:r>
      <w:r>
        <w:rPr>
          <w:rFonts w:hint="eastAsia" w:ascii="宋体" w:hAnsi="宋体" w:eastAsia="宋体" w:cs="宋体"/>
          <w:color w:val="auto"/>
          <w:sz w:val="21"/>
          <w:szCs w:val="21"/>
          <w:highlight w:val="none"/>
          <w:lang w:val="en-US" w:eastAsia="zh-CN"/>
        </w:rPr>
        <w:t>。</w:t>
      </w:r>
    </w:p>
    <w:p w14:paraId="714FE9D6">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u w:val="single"/>
          <w:lang w:val="en-US" w:eastAsia="zh-CN"/>
        </w:rPr>
        <w:t>上述情形以气象部门发布的公告为准</w:t>
      </w:r>
      <w:r>
        <w:rPr>
          <w:rFonts w:hint="eastAsia" w:ascii="宋体" w:hAnsi="宋体" w:eastAsia="宋体" w:cs="宋体"/>
          <w:color w:val="auto"/>
          <w:sz w:val="21"/>
          <w:szCs w:val="21"/>
          <w:highlight w:val="none"/>
          <w:lang w:val="en-US" w:eastAsia="zh-CN"/>
        </w:rPr>
        <w:t>。</w:t>
      </w:r>
    </w:p>
    <w:p w14:paraId="4FB98321">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eastAsia="zh-CN"/>
        </w:rPr>
        <w:t>承包人已经充分考虑到施工期间</w:t>
      </w:r>
      <w:r>
        <w:rPr>
          <w:rFonts w:hint="eastAsia" w:eastAsia="宋体" w:cs="宋体"/>
          <w:color w:val="auto"/>
          <w:sz w:val="21"/>
          <w:szCs w:val="21"/>
          <w:highlight w:val="none"/>
          <w:lang w:val="en-US" w:eastAsia="zh-CN"/>
        </w:rPr>
        <w:t>三亚市</w:t>
      </w:r>
      <w:r>
        <w:rPr>
          <w:rFonts w:hint="eastAsia" w:ascii="宋体" w:hAnsi="宋体" w:eastAsia="宋体" w:cs="宋体"/>
          <w:color w:val="auto"/>
          <w:sz w:val="21"/>
          <w:szCs w:val="21"/>
          <w:highlight w:val="none"/>
          <w:lang w:val="en-US" w:eastAsia="zh-CN"/>
        </w:rPr>
        <w:t>的气候特点对工程的影响，并采取必要的措施予以弥补。</w:t>
      </w:r>
    </w:p>
    <w:p w14:paraId="59CEC628">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290" w:name="_Toc10065"/>
      <w:bookmarkStart w:id="291" w:name="_Toc8714"/>
      <w:r>
        <w:rPr>
          <w:rFonts w:hint="eastAsia" w:ascii="宋体" w:hAnsi="宋体" w:eastAsia="宋体" w:cs="宋体"/>
          <w:bCs w:val="0"/>
          <w:color w:val="auto"/>
          <w:kern w:val="2"/>
          <w:sz w:val="21"/>
          <w:szCs w:val="21"/>
          <w:highlight w:val="none"/>
          <w:lang w:val="en-US" w:eastAsia="zh-CN" w:bidi="ar-SA"/>
        </w:rPr>
        <w:t>7.9 提前竣工的奖励</w:t>
      </w:r>
      <w:bookmarkEnd w:id="290"/>
      <w:bookmarkEnd w:id="291"/>
    </w:p>
    <w:p w14:paraId="64A67C42">
      <w:pPr>
        <w:keepNext w:val="0"/>
        <w:keepLines w:val="0"/>
        <w:pageBreakBefore w:val="0"/>
        <w:widowControl/>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提前竣工的奖励：</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1F8915D9">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jc w:val="both"/>
        <w:textAlignment w:val="auto"/>
        <w:outlineLvl w:val="1"/>
        <w:rPr>
          <w:rFonts w:hint="eastAsia" w:ascii="宋体" w:hAnsi="宋体" w:eastAsia="宋体" w:cs="宋体"/>
          <w:bCs w:val="0"/>
          <w:color w:val="auto"/>
          <w:kern w:val="2"/>
          <w:sz w:val="21"/>
          <w:szCs w:val="21"/>
          <w:highlight w:val="none"/>
          <w:lang w:val="en-US" w:eastAsia="zh-CN" w:bidi="ar-SA"/>
        </w:rPr>
      </w:pPr>
      <w:bookmarkStart w:id="292" w:name="_Toc26794"/>
      <w:bookmarkStart w:id="293" w:name="_Toc351203640"/>
      <w:bookmarkStart w:id="294" w:name="_Toc23781"/>
      <w:bookmarkStart w:id="295" w:name="_Toc32139"/>
      <w:bookmarkStart w:id="296" w:name="_Toc9874"/>
      <w:bookmarkStart w:id="297" w:name="_Toc669"/>
      <w:bookmarkStart w:id="298" w:name="_Toc3808"/>
      <w:r>
        <w:rPr>
          <w:rFonts w:hint="eastAsia" w:ascii="宋体" w:hAnsi="宋体" w:eastAsia="宋体" w:cs="宋体"/>
          <w:bCs w:val="0"/>
          <w:color w:val="auto"/>
          <w:kern w:val="2"/>
          <w:sz w:val="21"/>
          <w:szCs w:val="21"/>
          <w:highlight w:val="none"/>
          <w:lang w:val="en-US" w:eastAsia="zh-CN" w:bidi="ar-SA"/>
        </w:rPr>
        <w:t>8. 材料与设备</w:t>
      </w:r>
      <w:bookmarkEnd w:id="292"/>
      <w:bookmarkEnd w:id="293"/>
      <w:bookmarkEnd w:id="294"/>
      <w:bookmarkEnd w:id="295"/>
      <w:bookmarkEnd w:id="296"/>
      <w:bookmarkEnd w:id="297"/>
      <w:bookmarkEnd w:id="298"/>
    </w:p>
    <w:p w14:paraId="35D70545">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299" w:name="_Toc26260"/>
      <w:bookmarkStart w:id="300" w:name="_Toc19979"/>
      <w:r>
        <w:rPr>
          <w:rFonts w:hint="eastAsia" w:ascii="宋体" w:hAnsi="宋体" w:eastAsia="宋体" w:cs="宋体"/>
          <w:bCs w:val="0"/>
          <w:color w:val="auto"/>
          <w:kern w:val="2"/>
          <w:sz w:val="21"/>
          <w:szCs w:val="21"/>
          <w:highlight w:val="none"/>
          <w:lang w:val="en-US" w:eastAsia="zh-CN" w:bidi="ar-SA"/>
        </w:rPr>
        <w:t>8</w:t>
      </w:r>
      <w:bookmarkStart w:id="301" w:name="_Toc304295556"/>
      <w:bookmarkStart w:id="302" w:name="_Toc296346668"/>
      <w:bookmarkStart w:id="303" w:name="_Toc296347166"/>
      <w:bookmarkStart w:id="304" w:name="_Toc296891207"/>
      <w:bookmarkStart w:id="305" w:name="_Toc312677493"/>
      <w:bookmarkStart w:id="306" w:name="_Toc297123527"/>
      <w:bookmarkStart w:id="307" w:name="_Toc312678019"/>
      <w:bookmarkStart w:id="308" w:name="_Toc296890995"/>
      <w:bookmarkStart w:id="309" w:name="_Toc292559372"/>
      <w:bookmarkStart w:id="310" w:name="_Toc300934979"/>
      <w:bookmarkStart w:id="311" w:name="_Toc303539136"/>
      <w:bookmarkStart w:id="312" w:name="_Toc297120467"/>
      <w:bookmarkStart w:id="313" w:name="_Toc280868654"/>
      <w:bookmarkStart w:id="314" w:name="_Toc292559877"/>
      <w:bookmarkStart w:id="315" w:name="_Toc296503167"/>
      <w:bookmarkStart w:id="316" w:name="_Toc296944506"/>
      <w:bookmarkStart w:id="317" w:name="_Toc297048353"/>
      <w:bookmarkStart w:id="318" w:name="_Toc297216186"/>
      <w:bookmarkStart w:id="319" w:name="_Toc267251424"/>
      <w:bookmarkStart w:id="320" w:name="_Toc280868656"/>
      <w:bookmarkStart w:id="321" w:name="_Toc280868655"/>
      <w:r>
        <w:rPr>
          <w:rFonts w:hint="eastAsia" w:ascii="宋体" w:hAnsi="宋体" w:eastAsia="宋体" w:cs="宋体"/>
          <w:bCs w:val="0"/>
          <w:color w:val="auto"/>
          <w:kern w:val="2"/>
          <w:sz w:val="21"/>
          <w:szCs w:val="21"/>
          <w:highlight w:val="none"/>
          <w:lang w:val="en-US" w:eastAsia="zh-CN" w:bidi="ar-SA"/>
        </w:rPr>
        <w:t>.1材料与工程设备的保管与使用</w:t>
      </w:r>
      <w:bookmarkEnd w:id="299"/>
      <w:bookmarkEnd w:id="300"/>
    </w:p>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14:paraId="1BCE46EB">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bookmarkStart w:id="322" w:name="_Toc292559878"/>
      <w:bookmarkStart w:id="323" w:name="_Toc292559373"/>
      <w:bookmarkStart w:id="324" w:name="_Toc312678020"/>
      <w:bookmarkStart w:id="325" w:name="_Toc296347167"/>
      <w:bookmarkStart w:id="326" w:name="_Toc296346669"/>
      <w:bookmarkStart w:id="327" w:name="_Toc297216187"/>
      <w:bookmarkStart w:id="328" w:name="_Toc312677494"/>
      <w:bookmarkStart w:id="329" w:name="_Toc297048354"/>
      <w:bookmarkStart w:id="330" w:name="_Toc303539137"/>
      <w:bookmarkStart w:id="331" w:name="_Toc318581173"/>
      <w:bookmarkStart w:id="332" w:name="_Toc296503168"/>
      <w:bookmarkStart w:id="333" w:name="_Toc297123528"/>
      <w:bookmarkStart w:id="334" w:name="_Toc296890996"/>
      <w:bookmarkStart w:id="335" w:name="_Toc304295557"/>
      <w:bookmarkStart w:id="336" w:name="_Toc296891208"/>
      <w:bookmarkStart w:id="337" w:name="_Toc296944507"/>
      <w:bookmarkStart w:id="338" w:name="_Toc297120468"/>
      <w:bookmarkStart w:id="339" w:name="_Toc300934980"/>
      <w:r>
        <w:rPr>
          <w:rFonts w:hint="eastAsia" w:ascii="宋体" w:hAnsi="宋体" w:eastAsia="宋体" w:cs="宋体"/>
          <w:color w:val="auto"/>
          <w:sz w:val="21"/>
          <w:szCs w:val="21"/>
          <w:highlight w:val="none"/>
        </w:rPr>
        <w:t>.1.1发包人供应的材料设备的保管费用的承担：</w:t>
      </w:r>
      <w:r>
        <w:rPr>
          <w:rFonts w:hint="eastAsia" w:ascii="宋体" w:hAnsi="宋体" w:eastAsia="宋体" w:cs="宋体"/>
          <w:color w:val="auto"/>
          <w:sz w:val="21"/>
          <w:szCs w:val="21"/>
          <w:highlight w:val="none"/>
          <w:u w:val="single"/>
        </w:rPr>
        <w:t xml:space="preserve">  无  </w:t>
      </w:r>
      <w:r>
        <w:rPr>
          <w:rFonts w:hint="eastAsia" w:ascii="宋体" w:hAnsi="宋体" w:eastAsia="宋体" w:cs="宋体"/>
          <w:color w:val="auto"/>
          <w:sz w:val="21"/>
          <w:szCs w:val="21"/>
          <w:highlight w:val="none"/>
        </w:rPr>
        <w:t>。</w:t>
      </w:r>
      <w:bookmarkEnd w:id="322"/>
      <w:bookmarkEnd w:id="323"/>
    </w:p>
    <w:p w14:paraId="4E8D29A6">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340" w:name="_Toc11660"/>
      <w:bookmarkStart w:id="341" w:name="_Toc17590"/>
      <w:r>
        <w:rPr>
          <w:rFonts w:hint="eastAsia" w:ascii="宋体" w:hAnsi="宋体" w:eastAsia="宋体" w:cs="宋体"/>
          <w:bCs w:val="0"/>
          <w:color w:val="auto"/>
          <w:kern w:val="2"/>
          <w:sz w:val="21"/>
          <w:szCs w:val="21"/>
          <w:highlight w:val="none"/>
          <w:lang w:val="en-US" w:eastAsia="zh-CN" w:bidi="ar-SA"/>
        </w:rPr>
        <w:t>8.2 样品</w:t>
      </w:r>
      <w:bookmarkEnd w:id="340"/>
      <w:bookmarkEnd w:id="341"/>
    </w:p>
    <w:p w14:paraId="48EAD733">
      <w:pPr>
        <w:pageBreakBefore w:val="0"/>
        <w:kinsoku/>
        <w:wordWrap/>
        <w:overflowPunct/>
        <w:topLinePunct w:val="0"/>
        <w:autoSpaceDE w:val="0"/>
        <w:autoSpaceDN w:val="0"/>
        <w:bidi w:val="0"/>
        <w:adjustRightInd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8.2.1</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样品的报送与封存</w:t>
      </w:r>
    </w:p>
    <w:p w14:paraId="3E52501B">
      <w:pPr>
        <w:pageBreakBefore w:val="0"/>
        <w:kinsoku/>
        <w:wordWrap/>
        <w:overflowPunct/>
        <w:topLinePunct w:val="0"/>
        <w:autoSpaceDE w:val="0"/>
        <w:autoSpaceDN w:val="0"/>
        <w:bidi w:val="0"/>
        <w:adjustRightInd w:val="0"/>
        <w:snapToGrid/>
        <w:spacing w:after="0" w:afterLines="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需要承包人报送样品的材料或工程设备，样品的种类、名称、规格、数量要求：</w:t>
      </w:r>
      <w:r>
        <w:rPr>
          <w:rFonts w:hint="eastAsia" w:ascii="宋体" w:hAnsi="宋体" w:eastAsia="宋体" w:cs="宋体"/>
          <w:color w:val="auto"/>
          <w:sz w:val="21"/>
          <w:szCs w:val="21"/>
          <w:highlight w:val="none"/>
          <w:u w:val="single"/>
        </w:rPr>
        <w:t xml:space="preserve">   按通用条款执行    </w:t>
      </w:r>
      <w:r>
        <w:rPr>
          <w:rFonts w:hint="eastAsia" w:ascii="宋体" w:hAnsi="宋体" w:eastAsia="宋体" w:cs="宋体"/>
          <w:color w:val="auto"/>
          <w:sz w:val="21"/>
          <w:szCs w:val="21"/>
          <w:highlight w:val="none"/>
        </w:rPr>
        <w:t>。</w:t>
      </w:r>
    </w:p>
    <w:p w14:paraId="28620E17">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342" w:name="_Toc17191"/>
      <w:bookmarkStart w:id="343" w:name="_Toc13366"/>
      <w:r>
        <w:rPr>
          <w:rFonts w:hint="eastAsia" w:ascii="宋体" w:hAnsi="宋体" w:eastAsia="宋体" w:cs="宋体"/>
          <w:bCs w:val="0"/>
          <w:color w:val="auto"/>
          <w:kern w:val="2"/>
          <w:sz w:val="21"/>
          <w:szCs w:val="21"/>
          <w:highlight w:val="none"/>
          <w:lang w:val="en-US" w:eastAsia="zh-CN" w:bidi="ar-SA"/>
        </w:rPr>
        <w:t>8.8 施工设备和临时设施</w:t>
      </w:r>
      <w:bookmarkEnd w:id="342"/>
      <w:bookmarkEnd w:id="343"/>
    </w:p>
    <w:p w14:paraId="1614279A">
      <w:pPr>
        <w:pageBreakBefore w:val="0"/>
        <w:kinsoku/>
        <w:wordWrap/>
        <w:overflowPunct/>
        <w:topLinePunct w:val="0"/>
        <w:autoSpaceDE w:val="0"/>
        <w:autoSpaceDN w:val="0"/>
        <w:bidi w:val="0"/>
        <w:adjustRightInd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.1 承包人提供的施工设备和临时设施</w:t>
      </w:r>
    </w:p>
    <w:p w14:paraId="4140CE0B">
      <w:pPr>
        <w:pageBreakBefore w:val="0"/>
        <w:kinsoku/>
        <w:wordWrap/>
        <w:overflowPunct/>
        <w:topLinePunct w:val="0"/>
        <w:autoSpaceDE w:val="0"/>
        <w:autoSpaceDN w:val="0"/>
        <w:bidi w:val="0"/>
        <w:adjustRightInd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关于修建临时设施费用承担的约定：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由</w:t>
      </w: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en-US" w:eastAsia="zh-CN"/>
        </w:rPr>
        <w:t>自行</w:t>
      </w:r>
      <w:r>
        <w:rPr>
          <w:rFonts w:hint="eastAsia" w:ascii="宋体" w:hAnsi="宋体" w:eastAsia="宋体" w:cs="宋体"/>
          <w:color w:val="auto"/>
          <w:sz w:val="21"/>
          <w:szCs w:val="21"/>
          <w:highlight w:val="none"/>
          <w:u w:val="single"/>
        </w:rPr>
        <w:t xml:space="preserve">承担   </w:t>
      </w:r>
      <w:r>
        <w:rPr>
          <w:rFonts w:hint="eastAsia" w:ascii="宋体" w:hAnsi="宋体" w:eastAsia="宋体" w:cs="宋体"/>
          <w:color w:val="auto"/>
          <w:sz w:val="21"/>
          <w:szCs w:val="21"/>
          <w:highlight w:val="none"/>
        </w:rPr>
        <w:t>。</w:t>
      </w:r>
    </w:p>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14:paraId="5C9AB054">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jc w:val="both"/>
        <w:textAlignment w:val="auto"/>
        <w:outlineLvl w:val="1"/>
        <w:rPr>
          <w:rFonts w:hint="eastAsia" w:ascii="宋体" w:hAnsi="宋体" w:eastAsia="宋体" w:cs="宋体"/>
          <w:bCs w:val="0"/>
          <w:color w:val="auto"/>
          <w:kern w:val="2"/>
          <w:sz w:val="21"/>
          <w:szCs w:val="21"/>
          <w:highlight w:val="none"/>
          <w:lang w:val="en-US" w:eastAsia="zh-CN" w:bidi="ar-SA"/>
        </w:rPr>
      </w:pPr>
      <w:bookmarkStart w:id="344" w:name="_Toc4013"/>
      <w:bookmarkStart w:id="345" w:name="_Toc27874"/>
      <w:bookmarkStart w:id="346" w:name="_Toc13094"/>
      <w:bookmarkStart w:id="347" w:name="_Toc351203641"/>
      <w:bookmarkStart w:id="348" w:name="_Toc26107"/>
      <w:bookmarkStart w:id="349" w:name="_Toc12531"/>
      <w:bookmarkStart w:id="350" w:name="_Toc26"/>
      <w:r>
        <w:rPr>
          <w:rFonts w:hint="eastAsia" w:ascii="宋体" w:hAnsi="宋体" w:eastAsia="宋体" w:cs="宋体"/>
          <w:bCs w:val="0"/>
          <w:color w:val="auto"/>
          <w:kern w:val="2"/>
          <w:sz w:val="21"/>
          <w:szCs w:val="21"/>
          <w:highlight w:val="none"/>
          <w:lang w:val="en-US" w:eastAsia="zh-CN" w:bidi="ar-SA"/>
        </w:rPr>
        <w:t>9</w:t>
      </w:r>
      <w:bookmarkEnd w:id="319"/>
      <w:bookmarkEnd w:id="320"/>
      <w:bookmarkEnd w:id="321"/>
      <w:bookmarkStart w:id="351" w:name="_Toc300934982"/>
      <w:bookmarkStart w:id="352" w:name="_Toc312677495"/>
      <w:bookmarkStart w:id="353" w:name="_Toc312678021"/>
      <w:bookmarkStart w:id="354" w:name="_Toc297123533"/>
      <w:bookmarkStart w:id="355" w:name="_Toc297216192"/>
      <w:bookmarkStart w:id="356" w:name="_Toc304295559"/>
      <w:bookmarkStart w:id="357" w:name="_Toc303539139"/>
      <w:bookmarkStart w:id="358" w:name="_Toc267251428"/>
      <w:bookmarkStart w:id="359" w:name="_Toc296891001"/>
      <w:bookmarkStart w:id="360" w:name="_Toc292559883"/>
      <w:bookmarkStart w:id="361" w:name="_Toc296347172"/>
      <w:bookmarkStart w:id="362" w:name="_Toc296944512"/>
      <w:bookmarkStart w:id="363" w:name="_Toc292559378"/>
      <w:bookmarkStart w:id="364" w:name="_Toc296346674"/>
      <w:bookmarkStart w:id="365" w:name="_Toc296891213"/>
      <w:bookmarkStart w:id="366" w:name="_Toc297048359"/>
      <w:bookmarkStart w:id="367" w:name="_Toc267251427"/>
      <w:bookmarkStart w:id="368" w:name="_Toc297120473"/>
      <w:bookmarkStart w:id="369" w:name="_Toc296503173"/>
      <w:r>
        <w:rPr>
          <w:rFonts w:hint="eastAsia" w:ascii="宋体" w:hAnsi="宋体" w:eastAsia="宋体" w:cs="宋体"/>
          <w:bCs w:val="0"/>
          <w:color w:val="auto"/>
          <w:kern w:val="2"/>
          <w:sz w:val="21"/>
          <w:szCs w:val="21"/>
          <w:highlight w:val="none"/>
          <w:lang w:val="en-US" w:eastAsia="zh-CN" w:bidi="ar-SA"/>
        </w:rPr>
        <w:t>. 试验与检验</w:t>
      </w:r>
      <w:bookmarkEnd w:id="344"/>
      <w:bookmarkEnd w:id="345"/>
      <w:bookmarkEnd w:id="346"/>
      <w:bookmarkEnd w:id="347"/>
      <w:bookmarkEnd w:id="348"/>
      <w:bookmarkEnd w:id="349"/>
      <w:bookmarkEnd w:id="350"/>
    </w:p>
    <w:bookmarkEnd w:id="351"/>
    <w:bookmarkEnd w:id="352"/>
    <w:bookmarkEnd w:id="353"/>
    <w:bookmarkEnd w:id="354"/>
    <w:bookmarkEnd w:id="355"/>
    <w:bookmarkEnd w:id="356"/>
    <w:bookmarkEnd w:id="357"/>
    <w:p w14:paraId="6B9D9E13">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370" w:name="_Toc24128"/>
      <w:bookmarkStart w:id="371" w:name="_Toc17660"/>
      <w:r>
        <w:rPr>
          <w:rFonts w:hint="eastAsia" w:ascii="宋体" w:hAnsi="宋体" w:eastAsia="宋体" w:cs="宋体"/>
          <w:bCs w:val="0"/>
          <w:color w:val="auto"/>
          <w:kern w:val="2"/>
          <w:sz w:val="21"/>
          <w:szCs w:val="21"/>
          <w:highlight w:val="none"/>
          <w:lang w:val="en-US" w:eastAsia="zh-CN" w:bidi="ar-SA"/>
        </w:rPr>
        <w:t>9</w:t>
      </w:r>
      <w:bookmarkStart w:id="372" w:name="_Toc297123534"/>
      <w:bookmarkStart w:id="373" w:name="_Toc297216193"/>
      <w:bookmarkStart w:id="374" w:name="_Toc312677496"/>
      <w:bookmarkStart w:id="375" w:name="_Toc304295560"/>
      <w:bookmarkStart w:id="376" w:name="_Toc312678022"/>
      <w:bookmarkStart w:id="377" w:name="_Toc300934983"/>
      <w:bookmarkStart w:id="378" w:name="_Toc303539140"/>
      <w:r>
        <w:rPr>
          <w:rFonts w:hint="eastAsia" w:ascii="宋体" w:hAnsi="宋体" w:eastAsia="宋体" w:cs="宋体"/>
          <w:bCs w:val="0"/>
          <w:color w:val="auto"/>
          <w:kern w:val="2"/>
          <w:sz w:val="21"/>
          <w:szCs w:val="21"/>
          <w:highlight w:val="none"/>
          <w:lang w:val="en-US" w:eastAsia="zh-CN" w:bidi="ar-SA"/>
        </w:rPr>
        <w:t>.1试验设备与试验人员</w:t>
      </w:r>
      <w:bookmarkEnd w:id="370"/>
      <w:bookmarkEnd w:id="371"/>
    </w:p>
    <w:bookmarkEnd w:id="372"/>
    <w:bookmarkEnd w:id="373"/>
    <w:bookmarkEnd w:id="374"/>
    <w:bookmarkEnd w:id="375"/>
    <w:bookmarkEnd w:id="376"/>
    <w:bookmarkEnd w:id="377"/>
    <w:bookmarkEnd w:id="378"/>
    <w:p w14:paraId="454BE1A2">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bookmarkStart w:id="379" w:name="_Toc312677497"/>
      <w:bookmarkStart w:id="380" w:name="_Toc297216194"/>
      <w:bookmarkStart w:id="381" w:name="_Toc297123535"/>
      <w:bookmarkStart w:id="382" w:name="_Toc303539141"/>
      <w:bookmarkStart w:id="383" w:name="_Toc304295561"/>
      <w:bookmarkStart w:id="384" w:name="_Toc300934984"/>
      <w:bookmarkStart w:id="385" w:name="_Toc312678023"/>
      <w:bookmarkStart w:id="386" w:name="_Toc318581174"/>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试验设备</w:t>
      </w:r>
    </w:p>
    <w:p w14:paraId="736A2D89">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施工现场需要配置的试验场所：</w:t>
      </w:r>
      <w:bookmarkEnd w:id="379"/>
      <w:bookmarkEnd w:id="380"/>
      <w:bookmarkEnd w:id="381"/>
      <w:bookmarkEnd w:id="382"/>
      <w:bookmarkEnd w:id="383"/>
      <w:bookmarkEnd w:id="384"/>
      <w:bookmarkEnd w:id="385"/>
      <w:bookmarkStart w:id="387" w:name="_Toc304295562"/>
      <w:bookmarkStart w:id="388" w:name="_Toc300934985"/>
      <w:bookmarkStart w:id="389" w:name="_Toc303539142"/>
      <w:bookmarkStart w:id="390" w:name="_Toc297216195"/>
      <w:bookmarkStart w:id="391" w:name="_Toc312677498"/>
      <w:bookmarkStart w:id="392" w:name="_Toc297123536"/>
      <w:bookmarkStart w:id="393" w:name="_Toc312678024"/>
      <w:r>
        <w:rPr>
          <w:rFonts w:hint="eastAsia" w:ascii="宋体" w:hAnsi="宋体" w:eastAsia="宋体" w:cs="宋体"/>
          <w:color w:val="auto"/>
          <w:sz w:val="21"/>
          <w:szCs w:val="21"/>
          <w:highlight w:val="none"/>
          <w:u w:val="single"/>
        </w:rPr>
        <w:t xml:space="preserve">   按有关规定执行     </w:t>
      </w:r>
      <w:r>
        <w:rPr>
          <w:rFonts w:hint="eastAsia" w:ascii="宋体" w:hAnsi="宋体" w:eastAsia="宋体" w:cs="宋体"/>
          <w:color w:val="auto"/>
          <w:sz w:val="21"/>
          <w:szCs w:val="21"/>
          <w:highlight w:val="none"/>
        </w:rPr>
        <w:t xml:space="preserve">。 </w:t>
      </w:r>
    </w:p>
    <w:p w14:paraId="4362FDAF">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施工现场需要配备的试验设备：</w:t>
      </w:r>
      <w:r>
        <w:rPr>
          <w:rFonts w:hint="eastAsia" w:ascii="宋体" w:hAnsi="宋体" w:eastAsia="宋体" w:cs="宋体"/>
          <w:color w:val="auto"/>
          <w:sz w:val="21"/>
          <w:szCs w:val="21"/>
          <w:highlight w:val="none"/>
          <w:u w:val="single"/>
        </w:rPr>
        <w:t xml:space="preserve">  按有关规定执行      </w:t>
      </w:r>
      <w:r>
        <w:rPr>
          <w:rFonts w:hint="eastAsia" w:ascii="宋体" w:hAnsi="宋体" w:eastAsia="宋体" w:cs="宋体"/>
          <w:color w:val="auto"/>
          <w:sz w:val="21"/>
          <w:szCs w:val="21"/>
          <w:highlight w:val="none"/>
        </w:rPr>
        <w:t>。</w:t>
      </w:r>
    </w:p>
    <w:p w14:paraId="5BC48F35">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施工现场需要具备的其他试验条件：</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2389BD98">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394" w:name="_Toc15641"/>
      <w:bookmarkStart w:id="395" w:name="_Toc10944"/>
      <w:r>
        <w:rPr>
          <w:rFonts w:hint="eastAsia" w:ascii="宋体" w:hAnsi="宋体" w:eastAsia="宋体" w:cs="宋体"/>
          <w:bCs w:val="0"/>
          <w:color w:val="auto"/>
          <w:kern w:val="2"/>
          <w:sz w:val="21"/>
          <w:szCs w:val="21"/>
          <w:highlight w:val="none"/>
          <w:lang w:val="en-US" w:eastAsia="zh-CN" w:bidi="ar-SA"/>
        </w:rPr>
        <w:t>9.4 现场工艺试验</w:t>
      </w:r>
      <w:bookmarkEnd w:id="394"/>
      <w:bookmarkEnd w:id="395"/>
      <w:r>
        <w:rPr>
          <w:rFonts w:hint="eastAsia" w:ascii="宋体" w:hAnsi="宋体" w:eastAsia="宋体" w:cs="宋体"/>
          <w:bCs w:val="0"/>
          <w:color w:val="auto"/>
          <w:kern w:val="2"/>
          <w:sz w:val="21"/>
          <w:szCs w:val="21"/>
          <w:highlight w:val="none"/>
          <w:lang w:val="en-US" w:eastAsia="zh-CN" w:bidi="ar-SA"/>
        </w:rPr>
        <w:t xml:space="preserve"> </w:t>
      </w:r>
    </w:p>
    <w:p w14:paraId="07A7D097">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现场工艺试验的有关约定：</w:t>
      </w:r>
      <w:r>
        <w:rPr>
          <w:rFonts w:hint="eastAsia" w:ascii="宋体" w:hAnsi="宋体" w:eastAsia="宋体" w:cs="宋体"/>
          <w:color w:val="auto"/>
          <w:sz w:val="21"/>
          <w:szCs w:val="21"/>
          <w:highlight w:val="none"/>
          <w:u w:val="single"/>
        </w:rPr>
        <w:t xml:space="preserve">  按合同通用条款执行</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386"/>
    <w:bookmarkEnd w:id="387"/>
    <w:bookmarkEnd w:id="388"/>
    <w:bookmarkEnd w:id="389"/>
    <w:bookmarkEnd w:id="390"/>
    <w:bookmarkEnd w:id="391"/>
    <w:bookmarkEnd w:id="392"/>
    <w:bookmarkEnd w:id="393"/>
    <w:p w14:paraId="13881D64">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jc w:val="both"/>
        <w:textAlignment w:val="auto"/>
        <w:outlineLvl w:val="1"/>
        <w:rPr>
          <w:rFonts w:hint="eastAsia" w:ascii="宋体" w:hAnsi="宋体" w:eastAsia="宋体" w:cs="宋体"/>
          <w:bCs w:val="0"/>
          <w:color w:val="auto"/>
          <w:kern w:val="2"/>
          <w:sz w:val="21"/>
          <w:szCs w:val="21"/>
          <w:highlight w:val="none"/>
          <w:lang w:val="en-US" w:eastAsia="zh-CN" w:bidi="ar-SA"/>
        </w:rPr>
      </w:pPr>
      <w:bookmarkStart w:id="396" w:name="_Toc351203642"/>
      <w:bookmarkStart w:id="397" w:name="_Toc28183"/>
      <w:bookmarkStart w:id="398" w:name="_Toc4760"/>
      <w:bookmarkStart w:id="399" w:name="_Toc8124"/>
      <w:bookmarkStart w:id="400" w:name="_Toc8537"/>
      <w:bookmarkStart w:id="401" w:name="_Toc30135"/>
      <w:bookmarkStart w:id="402" w:name="_Toc19258"/>
      <w:r>
        <w:rPr>
          <w:rFonts w:hint="eastAsia" w:ascii="宋体" w:hAnsi="宋体" w:eastAsia="宋体" w:cs="宋体"/>
          <w:bCs w:val="0"/>
          <w:color w:val="auto"/>
          <w:kern w:val="2"/>
          <w:sz w:val="21"/>
          <w:szCs w:val="21"/>
          <w:highlight w:val="none"/>
          <w:lang w:val="en-US" w:eastAsia="zh-CN" w:bidi="ar-SA"/>
        </w:rPr>
        <w:t>1</w:t>
      </w:r>
      <w:bookmarkEnd w:id="358"/>
      <w:bookmarkEnd w:id="359"/>
      <w:bookmarkEnd w:id="360"/>
      <w:bookmarkEnd w:id="361"/>
      <w:bookmarkEnd w:id="362"/>
      <w:bookmarkEnd w:id="363"/>
      <w:bookmarkEnd w:id="364"/>
      <w:bookmarkEnd w:id="365"/>
      <w:bookmarkEnd w:id="366"/>
      <w:bookmarkEnd w:id="367"/>
      <w:bookmarkEnd w:id="368"/>
      <w:bookmarkEnd w:id="369"/>
      <w:bookmarkStart w:id="403" w:name="_Toc296503193"/>
      <w:bookmarkStart w:id="404" w:name="_Toc296347192"/>
      <w:bookmarkStart w:id="405" w:name="_Toc296346694"/>
      <w:bookmarkStart w:id="406" w:name="_Toc296944532"/>
      <w:bookmarkStart w:id="407" w:name="_Toc297048379"/>
      <w:bookmarkStart w:id="408" w:name="_Toc304295566"/>
      <w:bookmarkStart w:id="409" w:name="_Toc297216199"/>
      <w:bookmarkStart w:id="410" w:name="_Toc297123540"/>
      <w:bookmarkStart w:id="411" w:name="_Toc300934989"/>
      <w:bookmarkStart w:id="412" w:name="_Toc292559398"/>
      <w:bookmarkStart w:id="413" w:name="_Toc303539146"/>
      <w:bookmarkStart w:id="414" w:name="_Toc292559903"/>
      <w:bookmarkStart w:id="415" w:name="_Toc296891233"/>
      <w:bookmarkStart w:id="416" w:name="_Toc297120493"/>
      <w:bookmarkStart w:id="417" w:name="_Toc296891021"/>
      <w:bookmarkStart w:id="418" w:name="_Toc312677499"/>
      <w:bookmarkStart w:id="419" w:name="_Toc312678025"/>
      <w:r>
        <w:rPr>
          <w:rFonts w:hint="eastAsia" w:ascii="宋体" w:hAnsi="宋体" w:eastAsia="宋体" w:cs="宋体"/>
          <w:bCs w:val="0"/>
          <w:color w:val="auto"/>
          <w:kern w:val="2"/>
          <w:sz w:val="21"/>
          <w:szCs w:val="21"/>
          <w:highlight w:val="none"/>
          <w:lang w:val="en-US" w:eastAsia="zh-CN" w:bidi="ar-SA"/>
        </w:rPr>
        <w:t>0. 变更</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bookmarkEnd w:id="418"/>
    <w:bookmarkEnd w:id="419"/>
    <w:p w14:paraId="334B92CB">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420" w:name="_Toc3659"/>
      <w:bookmarkStart w:id="421" w:name="_Toc1738"/>
      <w:r>
        <w:rPr>
          <w:rFonts w:hint="eastAsia" w:ascii="宋体" w:hAnsi="宋体" w:eastAsia="宋体" w:cs="宋体"/>
          <w:bCs w:val="0"/>
          <w:color w:val="auto"/>
          <w:kern w:val="2"/>
          <w:sz w:val="21"/>
          <w:szCs w:val="21"/>
          <w:highlight w:val="none"/>
          <w:lang w:val="en-US" w:eastAsia="zh-CN" w:bidi="ar-SA"/>
        </w:rPr>
        <w:t>1</w:t>
      </w:r>
      <w:bookmarkStart w:id="422" w:name="_Toc297048380"/>
      <w:bookmarkStart w:id="423" w:name="_Toc312678026"/>
      <w:bookmarkStart w:id="424" w:name="_Toc296347193"/>
      <w:bookmarkStart w:id="425" w:name="_Toc297216200"/>
      <w:bookmarkStart w:id="426" w:name="_Toc296503194"/>
      <w:bookmarkStart w:id="427" w:name="_Toc300934990"/>
      <w:bookmarkStart w:id="428" w:name="_Toc292559904"/>
      <w:bookmarkStart w:id="429" w:name="_Toc303539147"/>
      <w:bookmarkStart w:id="430" w:name="_Toc297120494"/>
      <w:bookmarkStart w:id="431" w:name="_Toc296346695"/>
      <w:bookmarkStart w:id="432" w:name="_Toc297123541"/>
      <w:bookmarkStart w:id="433" w:name="_Toc296891234"/>
      <w:bookmarkStart w:id="434" w:name="_Toc292559399"/>
      <w:bookmarkStart w:id="435" w:name="_Toc312677500"/>
      <w:bookmarkStart w:id="436" w:name="_Toc296944533"/>
      <w:bookmarkStart w:id="437" w:name="_Toc304295567"/>
      <w:bookmarkStart w:id="438" w:name="_Toc296891022"/>
      <w:r>
        <w:rPr>
          <w:rFonts w:hint="eastAsia" w:ascii="宋体" w:hAnsi="宋体" w:eastAsia="宋体" w:cs="宋体"/>
          <w:bCs w:val="0"/>
          <w:color w:val="auto"/>
          <w:kern w:val="2"/>
          <w:sz w:val="21"/>
          <w:szCs w:val="21"/>
          <w:highlight w:val="none"/>
          <w:lang w:val="en-US" w:eastAsia="zh-CN" w:bidi="ar-SA"/>
        </w:rPr>
        <w:t>0.1变更的范围</w:t>
      </w:r>
      <w:bookmarkEnd w:id="420"/>
      <w:bookmarkEnd w:id="421"/>
    </w:p>
    <w:p w14:paraId="6CC04876">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关于变更的范围的约定：</w:t>
      </w:r>
      <w:r>
        <w:rPr>
          <w:rFonts w:hint="eastAsia" w:ascii="宋体" w:hAnsi="宋体" w:eastAsia="宋体" w:cs="宋体"/>
          <w:color w:val="auto"/>
          <w:sz w:val="21"/>
          <w:szCs w:val="21"/>
          <w:highlight w:val="none"/>
          <w:u w:val="single"/>
        </w:rPr>
        <w:t xml:space="preserve">   按合同通用条款执行   </w:t>
      </w:r>
      <w:r>
        <w:rPr>
          <w:rFonts w:hint="eastAsia" w:ascii="宋体" w:hAnsi="宋体" w:eastAsia="宋体" w:cs="宋体"/>
          <w:color w:val="auto"/>
          <w:sz w:val="21"/>
          <w:szCs w:val="21"/>
          <w:highlight w:val="none"/>
        </w:rPr>
        <w:t>。</w:t>
      </w:r>
    </w:p>
    <w:p w14:paraId="6DDA40C4">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10.1.1</w:t>
      </w:r>
      <w:r>
        <w:rPr>
          <w:rFonts w:hint="eastAsia" w:ascii="宋体" w:hAnsi="宋体" w:eastAsia="宋体" w:cs="宋体"/>
          <w:color w:val="auto"/>
          <w:sz w:val="21"/>
          <w:szCs w:val="21"/>
          <w:highlight w:val="none"/>
        </w:rPr>
        <w:t>由于承包人在本合同责任范围内的原因导致的任何改变、修改或修正均不被视为变更。为满足有关法律和/或政府部门的要求而导致的任何改变和/或费用增加和/或工期延误的，均不被视为变更。发包人在审核批准施工图及设备采购文件过程中的一切合理要求均不被视为变更。</w:t>
      </w:r>
    </w:p>
    <w:p w14:paraId="694EA40F">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10.1.2</w:t>
      </w:r>
      <w:r>
        <w:rPr>
          <w:rFonts w:hint="eastAsia" w:ascii="宋体" w:hAnsi="宋体" w:eastAsia="宋体" w:cs="宋体"/>
          <w:color w:val="auto"/>
          <w:sz w:val="21"/>
          <w:szCs w:val="21"/>
          <w:highlight w:val="none"/>
        </w:rPr>
        <w:t>如因承包人自身原因以及施工图设计文件存在缺陷、瑕疵、遗漏（无论是否在审核中发现）导致的设计变更，增加的工程费用和延误的工期均由承包人自行承担。</w:t>
      </w:r>
    </w:p>
    <w:p w14:paraId="06B4E4EF">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 xml:space="preserve"> 变更估价</w:t>
      </w:r>
    </w:p>
    <w:p w14:paraId="7775F4B8">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.1 变更估价原则</w:t>
      </w:r>
    </w:p>
    <w:p w14:paraId="53E4A105">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关于变更估价的约定: </w:t>
      </w:r>
      <w:r>
        <w:rPr>
          <w:rFonts w:hint="eastAsia" w:ascii="宋体" w:hAnsi="宋体" w:eastAsia="宋体" w:cs="宋体"/>
          <w:color w:val="auto"/>
          <w:sz w:val="21"/>
          <w:szCs w:val="21"/>
          <w:highlight w:val="none"/>
          <w:u w:val="single"/>
        </w:rPr>
        <w:t>本合同工程实施过程中，无论是原有工程量的变更或是新增子目工程量的变更，</w:t>
      </w:r>
      <w:r>
        <w:rPr>
          <w:rFonts w:hint="eastAsia" w:ascii="宋体" w:hAnsi="宋体" w:eastAsia="宋体" w:cs="宋体"/>
          <w:color w:val="auto"/>
          <w:sz w:val="21"/>
          <w:szCs w:val="21"/>
          <w:highlight w:val="none"/>
          <w:u w:val="single"/>
          <w:lang w:val="en-US" w:eastAsia="zh-CN"/>
        </w:rPr>
        <w:t>工程结算时，当实际措施费≥经预算评审的措施费，结算措施费=经预算评审的措施费；当实际措施费＜经预算评审的措施费，结算措施费=实际措施费。</w:t>
      </w:r>
    </w:p>
    <w:p w14:paraId="7E0CE536">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10.</w:t>
      </w:r>
      <w:r>
        <w:rPr>
          <w:rFonts w:hint="eastAsia" w:ascii="宋体" w:hAnsi="宋体" w:eastAsia="宋体" w:cs="宋体"/>
          <w:color w:val="auto"/>
          <w:sz w:val="21"/>
          <w:szCs w:val="21"/>
          <w:highlight w:val="none"/>
          <w:u w:val="single"/>
          <w:lang w:val="en-US" w:eastAsia="zh-CN"/>
        </w:rPr>
        <w:t>4</w:t>
      </w:r>
      <w:r>
        <w:rPr>
          <w:rFonts w:hint="eastAsia" w:ascii="宋体" w:hAnsi="宋体" w:eastAsia="宋体" w:cs="宋体"/>
          <w:color w:val="auto"/>
          <w:sz w:val="21"/>
          <w:szCs w:val="21"/>
          <w:highlight w:val="none"/>
          <w:u w:val="single"/>
        </w:rPr>
        <w:t>.1.</w:t>
      </w:r>
      <w:r>
        <w:rPr>
          <w:rFonts w:hint="eastAsia" w:ascii="宋体" w:hAnsi="宋体" w:eastAsia="宋体" w:cs="宋体"/>
          <w:color w:val="auto"/>
          <w:sz w:val="21"/>
          <w:szCs w:val="21"/>
          <w:highlight w:val="none"/>
          <w:u w:val="single"/>
          <w:lang w:val="en-US" w:eastAsia="zh-CN"/>
        </w:rPr>
        <w:t>1</w:t>
      </w:r>
      <w:r>
        <w:rPr>
          <w:rFonts w:hint="eastAsia" w:ascii="宋体" w:hAnsi="宋体" w:eastAsia="宋体" w:cs="宋体"/>
          <w:color w:val="auto"/>
          <w:sz w:val="21"/>
          <w:szCs w:val="21"/>
          <w:highlight w:val="none"/>
          <w:u w:val="single"/>
        </w:rPr>
        <w:t>（1）经</w:t>
      </w:r>
      <w:r>
        <w:rPr>
          <w:rFonts w:hint="eastAsia" w:ascii="宋体" w:hAnsi="宋体" w:eastAsia="宋体" w:cs="宋体"/>
          <w:color w:val="auto"/>
          <w:sz w:val="21"/>
          <w:szCs w:val="21"/>
          <w:highlight w:val="none"/>
          <w:u w:val="single"/>
          <w:lang w:eastAsia="zh-CN"/>
        </w:rPr>
        <w:t>预算评审的施工图预算</w:t>
      </w:r>
      <w:r>
        <w:rPr>
          <w:rFonts w:hint="eastAsia" w:ascii="宋体" w:hAnsi="宋体" w:eastAsia="宋体" w:cs="宋体"/>
          <w:color w:val="auto"/>
          <w:sz w:val="21"/>
          <w:szCs w:val="21"/>
          <w:highlight w:val="none"/>
          <w:u w:val="single"/>
        </w:rPr>
        <w:t>中有适用于变更工程项目的，应采用该项目的单价；</w:t>
      </w:r>
    </w:p>
    <w:p w14:paraId="1F8DF7D9">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（2）经</w:t>
      </w:r>
      <w:r>
        <w:rPr>
          <w:rFonts w:hint="eastAsia" w:ascii="宋体" w:hAnsi="宋体" w:eastAsia="宋体" w:cs="宋体"/>
          <w:color w:val="auto"/>
          <w:sz w:val="21"/>
          <w:szCs w:val="21"/>
          <w:highlight w:val="none"/>
          <w:u w:val="single"/>
          <w:lang w:eastAsia="zh-CN"/>
        </w:rPr>
        <w:t>预算评审的施工图预算</w:t>
      </w:r>
      <w:r>
        <w:rPr>
          <w:rFonts w:hint="eastAsia" w:ascii="宋体" w:hAnsi="宋体" w:eastAsia="宋体" w:cs="宋体"/>
          <w:color w:val="auto"/>
          <w:sz w:val="21"/>
          <w:szCs w:val="21"/>
          <w:highlight w:val="none"/>
          <w:u w:val="single"/>
        </w:rPr>
        <w:t>中无适用于变更工作的子目，但有类似子目的，由承包人按照海南现行定额及计价规范、本合同工程类似子目的单价分析表（应综合考虑类似子目的材质、规格、材料等因素）进行组价，并上报监理人审批，最终以发包人或发包人的上级主管部门批准的为准；</w:t>
      </w:r>
    </w:p>
    <w:p w14:paraId="1F9CC376">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（3）经</w:t>
      </w:r>
      <w:r>
        <w:rPr>
          <w:rFonts w:hint="eastAsia" w:ascii="宋体" w:hAnsi="宋体" w:eastAsia="宋体" w:cs="宋体"/>
          <w:color w:val="auto"/>
          <w:sz w:val="21"/>
          <w:szCs w:val="21"/>
          <w:highlight w:val="none"/>
          <w:u w:val="single"/>
          <w:lang w:eastAsia="zh-CN"/>
        </w:rPr>
        <w:t>预算评审的施工图预算</w:t>
      </w:r>
      <w:r>
        <w:rPr>
          <w:rFonts w:hint="eastAsia" w:ascii="宋体" w:hAnsi="宋体" w:eastAsia="宋体" w:cs="宋体"/>
          <w:color w:val="auto"/>
          <w:sz w:val="21"/>
          <w:szCs w:val="21"/>
          <w:highlight w:val="none"/>
          <w:u w:val="single"/>
        </w:rPr>
        <w:t>中没有适用也没有类似于变更工程项目的，应由承包人根据变更工程资料、计量规则和计价办法、工程造价管理机构发布的信息价格（海南省建设工程主要材料信息价，不包括厂商报价）和承包人中标下浮率提出变更工程项目的单价，并报发包人确认后调整。承包人中标下浮率按下列公式计算：中标下浮率=（1-中标价/招标控制价）×100%；</w:t>
      </w:r>
    </w:p>
    <w:p w14:paraId="40B88D4E">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（4）经</w:t>
      </w:r>
      <w:r>
        <w:rPr>
          <w:rFonts w:hint="eastAsia" w:ascii="宋体" w:hAnsi="宋体" w:eastAsia="宋体" w:cs="宋体"/>
          <w:color w:val="auto"/>
          <w:sz w:val="21"/>
          <w:szCs w:val="21"/>
          <w:highlight w:val="none"/>
          <w:u w:val="single"/>
          <w:lang w:eastAsia="zh-CN"/>
        </w:rPr>
        <w:t>预算评审的施工图预算</w:t>
      </w:r>
      <w:r>
        <w:rPr>
          <w:rFonts w:hint="eastAsia" w:ascii="宋体" w:hAnsi="宋体" w:eastAsia="宋体" w:cs="宋体"/>
          <w:color w:val="auto"/>
          <w:sz w:val="21"/>
          <w:szCs w:val="21"/>
          <w:highlight w:val="none"/>
          <w:u w:val="single"/>
        </w:rPr>
        <w:t>中没有适用也没有类似于变更工程项目，且工程造价管理机构发布的信息价格（海南省建设工程主要材料信息价，不包括厂商报价）缺价的，应由承包人根据变更工程资料、计量规则和计价办法、承包人中标下浮率和通过市场调查等取得有合法依据的市场价格提出变更项目的单价，并报发包人确认后调整。承包人中标下浮率按下列公式计算：中标下浮率=（1-中标价/招标控制价）×100%</w:t>
      </w:r>
      <w:r>
        <w:rPr>
          <w:rFonts w:hint="eastAsia" w:ascii="宋体" w:hAnsi="宋体" w:eastAsia="宋体" w:cs="宋体"/>
          <w:color w:val="auto"/>
          <w:sz w:val="21"/>
          <w:szCs w:val="21"/>
          <w:highlight w:val="none"/>
        </w:rPr>
        <w:t>。</w:t>
      </w:r>
    </w:p>
    <w:p w14:paraId="46CFB18D">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变更估价</w:t>
      </w:r>
      <w:r>
        <w:rPr>
          <w:rFonts w:hint="eastAsia" w:ascii="宋体" w:hAnsi="宋体" w:eastAsia="宋体" w:cs="宋体"/>
          <w:color w:val="auto"/>
          <w:sz w:val="21"/>
          <w:szCs w:val="21"/>
          <w:highlight w:val="none"/>
          <w:lang w:val="en-US" w:eastAsia="zh-CN"/>
        </w:rPr>
        <w:t>程序</w:t>
      </w:r>
    </w:p>
    <w:p w14:paraId="2A1B9561">
      <w:pPr>
        <w:pageBreakBefore w:val="0"/>
        <w:kinsoku/>
        <w:wordWrap/>
        <w:overflowPunct/>
        <w:topLinePunct w:val="0"/>
        <w:autoSpaceDE w:val="0"/>
        <w:autoSpaceDN w:val="0"/>
        <w:bidi w:val="0"/>
        <w:adjustRightInd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10.4.2.1发包人提出变更</w:t>
      </w:r>
    </w:p>
    <w:p w14:paraId="1E9BF745">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eastAsia="zh-CN"/>
        </w:rPr>
        <w:t>发包人提出变更的，应通过监理人向承包人发出变更指示，变更指示应说明计划变更的工程范围和变更的内容。</w:t>
      </w:r>
    </w:p>
    <w:p w14:paraId="3E67795C">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承包人应在收到变更指示后14天内，向监理人提交变更估价申请。监理人应在收到承包人提交的变更估价申请后7个工作日内审查完毕并报送发包人，监理人对变更估价申请有异议，通知承包人修改后重新提交。发包人应在承包人提交变更估价申请后14个工作日内审批完毕，但14个工作日审批时间不包括发包人上级主管单位（如需）</w:t>
      </w:r>
      <w:r>
        <w:rPr>
          <w:rFonts w:hint="eastAsia" w:ascii="宋体" w:hAnsi="宋体" w:eastAsia="宋体" w:cs="宋体"/>
          <w:color w:val="auto"/>
          <w:sz w:val="21"/>
          <w:szCs w:val="21"/>
          <w:highlight w:val="none"/>
        </w:rPr>
        <w:t>、政府财政或项目使用单位（如有）的审批时间，发、承包双方都应遵守发包人上级主管单位、政府财政或项目使用单位的审批流程和期限。</w:t>
      </w:r>
    </w:p>
    <w:p w14:paraId="2343D8E6">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10.4.2.2承包人提出变更建议</w:t>
      </w:r>
    </w:p>
    <w:p w14:paraId="1EFEC9D2">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承包人提出变更建议的，需要向发包人以书面形式提出变更计划，说明计划变更工程范围和变更的内容、理由，以及实施该变更对合同价格和工期的影响。发包人同意变更的，由监理人向承包人发出变更指示，承包人按照10.4.2.1条款执行。发包人不同意变更的，监理人无权擅自发出变更指示。</w:t>
      </w:r>
    </w:p>
    <w:p w14:paraId="021C0FA7">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承包人应于分部分项工程施工前28天提出变更申请，申请材料包括但不限于：</w:t>
      </w:r>
    </w:p>
    <w:p w14:paraId="55C057B5">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（1）变更申请函；</w:t>
      </w:r>
    </w:p>
    <w:p w14:paraId="0A0E10B6">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（2）变更申请表；</w:t>
      </w:r>
    </w:p>
    <w:p w14:paraId="6636601A">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（3）变更部分涉及的勘察资料及图像（影像）资料；</w:t>
      </w:r>
    </w:p>
    <w:p w14:paraId="576A9C96">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（4）变更前、后的设计方案（图纸）或说明、预算造价及变更前后造价对比；</w:t>
      </w:r>
    </w:p>
    <w:p w14:paraId="0DE73DF6">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（5）其他必要补充资料（如各单位协商、会议记录等）</w:t>
      </w:r>
    </w:p>
    <w:p w14:paraId="0B6CE261">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bidi="ar"/>
        </w:rPr>
        <w:t>因变更引起的价格调整完成审批后支付至变更价款的70%，计入最新一期的进度款中支付。变更价款的审批仅作为过程计价资料，最终以竣工结算审核的结果为准。</w:t>
      </w:r>
    </w:p>
    <w:p w14:paraId="4B8F9F05">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在建设工程中，经发包人批准后发生建设施工内容甩项或取消的，相关建设费用在合同价款中相应扣除，但承包人不得自行决定甩项或取消。</w:t>
      </w:r>
    </w:p>
    <w:p w14:paraId="5A23DA54">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以上变更为合同承包范围的组成部分，承包人不得以任何理由拒绝或拖延此部分工作的实施，否则承担由此引起一切责任。</w:t>
      </w:r>
    </w:p>
    <w:p w14:paraId="32DBD98A">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439" w:name="_Toc407"/>
      <w:bookmarkStart w:id="440" w:name="_Toc29771"/>
      <w:r>
        <w:rPr>
          <w:rFonts w:hint="eastAsia" w:ascii="宋体" w:hAnsi="宋体" w:eastAsia="宋体" w:cs="宋体"/>
          <w:bCs w:val="0"/>
          <w:color w:val="auto"/>
          <w:kern w:val="2"/>
          <w:sz w:val="21"/>
          <w:szCs w:val="21"/>
          <w:highlight w:val="none"/>
          <w:lang w:val="en-US" w:eastAsia="zh-CN" w:bidi="ar-SA"/>
        </w:rPr>
        <w:t>1</w:t>
      </w:r>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Start w:id="441" w:name="_Toc296347196"/>
      <w:bookmarkStart w:id="442" w:name="_Toc297123544"/>
      <w:bookmarkStart w:id="443" w:name="_Toc297048383"/>
      <w:bookmarkStart w:id="444" w:name="_Toc296891025"/>
      <w:bookmarkStart w:id="445" w:name="_Toc303539150"/>
      <w:bookmarkStart w:id="446" w:name="_Toc297216203"/>
      <w:bookmarkStart w:id="447" w:name="_Toc297120497"/>
      <w:bookmarkStart w:id="448" w:name="_Toc296944536"/>
      <w:bookmarkStart w:id="449" w:name="_Toc296346698"/>
      <w:bookmarkStart w:id="450" w:name="_Toc292559907"/>
      <w:bookmarkStart w:id="451" w:name="_Toc300934993"/>
      <w:bookmarkStart w:id="452" w:name="_Toc296891237"/>
      <w:bookmarkStart w:id="453" w:name="_Toc292559402"/>
      <w:bookmarkStart w:id="454" w:name="_Toc296503197"/>
      <w:bookmarkStart w:id="455" w:name="_Toc312678029"/>
      <w:bookmarkStart w:id="456" w:name="_Toc312677503"/>
      <w:bookmarkStart w:id="457" w:name="_Toc304295570"/>
      <w:r>
        <w:rPr>
          <w:rFonts w:hint="eastAsia" w:ascii="宋体" w:hAnsi="宋体" w:eastAsia="宋体" w:cs="宋体"/>
          <w:bCs w:val="0"/>
          <w:color w:val="auto"/>
          <w:kern w:val="2"/>
          <w:sz w:val="21"/>
          <w:szCs w:val="21"/>
          <w:highlight w:val="none"/>
          <w:lang w:val="en-US" w:eastAsia="zh-CN" w:bidi="ar-SA"/>
        </w:rPr>
        <w:t>0.5承</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Start w:id="458" w:name="_Toc292559408"/>
      <w:bookmarkStart w:id="459" w:name="_Toc297216204"/>
      <w:bookmarkStart w:id="460" w:name="_Toc297048389"/>
      <w:bookmarkStart w:id="461" w:name="_Toc296891031"/>
      <w:bookmarkStart w:id="462" w:name="_Toc297123545"/>
      <w:bookmarkStart w:id="463" w:name="_Toc292559913"/>
      <w:bookmarkStart w:id="464" w:name="_Toc303539151"/>
      <w:bookmarkStart w:id="465" w:name="_Toc297120503"/>
      <w:bookmarkStart w:id="466" w:name="_Toc300934994"/>
      <w:bookmarkStart w:id="467" w:name="_Toc296944542"/>
      <w:bookmarkStart w:id="468" w:name="_Toc296347202"/>
      <w:bookmarkStart w:id="469" w:name="_Toc296891243"/>
      <w:bookmarkStart w:id="470" w:name="_Toc296346704"/>
      <w:bookmarkStart w:id="471" w:name="_Toc296503203"/>
      <w:r>
        <w:rPr>
          <w:rFonts w:hint="eastAsia" w:ascii="宋体" w:hAnsi="宋体" w:eastAsia="宋体" w:cs="宋体"/>
          <w:bCs w:val="0"/>
          <w:color w:val="auto"/>
          <w:kern w:val="2"/>
          <w:sz w:val="21"/>
          <w:szCs w:val="21"/>
          <w:highlight w:val="none"/>
          <w:lang w:val="en-US" w:eastAsia="zh-CN" w:bidi="ar-SA"/>
        </w:rPr>
        <w:t>包人的合理化建议</w:t>
      </w:r>
      <w:bookmarkEnd w:id="439"/>
      <w:bookmarkEnd w:id="440"/>
    </w:p>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14:paraId="41FB8359">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监理人审查承包人合理化建议的期限：</w:t>
      </w:r>
      <w:r>
        <w:rPr>
          <w:rFonts w:hint="eastAsia" w:ascii="宋体" w:hAnsi="宋体" w:eastAsia="宋体" w:cs="宋体"/>
          <w:color w:val="auto"/>
          <w:sz w:val="21"/>
          <w:szCs w:val="21"/>
          <w:highlight w:val="none"/>
          <w:u w:val="single"/>
        </w:rPr>
        <w:t xml:space="preserve">  收到承包人提交合理化建议后7天内  </w:t>
      </w:r>
      <w:r>
        <w:rPr>
          <w:rFonts w:hint="eastAsia" w:ascii="宋体" w:hAnsi="宋体" w:eastAsia="宋体" w:cs="宋体"/>
          <w:color w:val="auto"/>
          <w:sz w:val="21"/>
          <w:szCs w:val="21"/>
          <w:highlight w:val="none"/>
        </w:rPr>
        <w:t>。</w:t>
      </w:r>
    </w:p>
    <w:p w14:paraId="3EA1DF60">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发包人审批承包人合理化建议的期限：</w:t>
      </w:r>
      <w:r>
        <w:rPr>
          <w:rFonts w:hint="eastAsia" w:ascii="宋体" w:hAnsi="宋体" w:eastAsia="宋体" w:cs="宋体"/>
          <w:color w:val="auto"/>
          <w:sz w:val="21"/>
          <w:szCs w:val="21"/>
          <w:highlight w:val="none"/>
          <w:u w:val="single"/>
        </w:rPr>
        <w:t xml:space="preserve">  收到监理人报送合理化建议后7天内</w:t>
      </w:r>
      <w:r>
        <w:rPr>
          <w:rFonts w:hint="eastAsia" w:ascii="宋体" w:hAnsi="宋体" w:eastAsia="宋体" w:cs="宋体"/>
          <w:color w:val="auto"/>
          <w:sz w:val="21"/>
          <w:szCs w:val="21"/>
          <w:highlight w:val="none"/>
        </w:rPr>
        <w:t>。</w:t>
      </w:r>
    </w:p>
    <w:p w14:paraId="1B847BE6">
      <w:pPr>
        <w:pageBreakBefore w:val="0"/>
        <w:kinsoku/>
        <w:wordWrap/>
        <w:overflowPunct/>
        <w:topLinePunct w:val="0"/>
        <w:bidi w:val="0"/>
        <w:snapToGrid/>
        <w:spacing w:after="0" w:afterLines="0" w:line="360" w:lineRule="auto"/>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承</w:t>
      </w:r>
      <w:bookmarkStart w:id="472" w:name="_Toc292559914"/>
      <w:bookmarkStart w:id="473" w:name="_Toc296346705"/>
      <w:bookmarkStart w:id="474" w:name="_Toc303539152"/>
      <w:bookmarkStart w:id="475" w:name="_Toc292559409"/>
      <w:bookmarkStart w:id="476" w:name="_Toc297123546"/>
      <w:bookmarkStart w:id="477" w:name="_Toc296891244"/>
      <w:bookmarkStart w:id="478" w:name="_Toc297216205"/>
      <w:bookmarkStart w:id="479" w:name="_Toc296891032"/>
      <w:bookmarkStart w:id="480" w:name="_Toc318581175"/>
      <w:bookmarkStart w:id="481" w:name="_Toc296944543"/>
      <w:bookmarkStart w:id="482" w:name="_Toc297120504"/>
      <w:bookmarkStart w:id="483" w:name="_Toc300934995"/>
      <w:bookmarkStart w:id="484" w:name="_Toc296347203"/>
      <w:bookmarkStart w:id="485" w:name="_Toc297048390"/>
      <w:bookmarkStart w:id="486" w:name="_Toc312678030"/>
      <w:bookmarkStart w:id="487" w:name="_Toc304295571"/>
      <w:bookmarkStart w:id="488" w:name="_Toc296503204"/>
      <w:bookmarkStart w:id="489" w:name="_Toc312677504"/>
      <w:r>
        <w:rPr>
          <w:rFonts w:hint="eastAsia" w:ascii="宋体" w:hAnsi="宋体" w:eastAsia="宋体" w:cs="宋体"/>
          <w:color w:val="auto"/>
          <w:sz w:val="21"/>
          <w:szCs w:val="21"/>
          <w:highlight w:val="none"/>
        </w:rPr>
        <w:t>包人提出的合理化建议降低了合同价格或者提高了工程经济效益的奖励的方法和金额为：</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14:paraId="16879AB0">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490" w:name="_Toc10931"/>
      <w:bookmarkStart w:id="491" w:name="_Toc7844"/>
      <w:r>
        <w:rPr>
          <w:rFonts w:hint="eastAsia" w:ascii="宋体" w:hAnsi="宋体" w:eastAsia="宋体" w:cs="宋体"/>
          <w:bCs w:val="0"/>
          <w:color w:val="auto"/>
          <w:kern w:val="2"/>
          <w:sz w:val="21"/>
          <w:szCs w:val="21"/>
          <w:highlight w:val="none"/>
          <w:lang w:val="en-US" w:eastAsia="zh-CN" w:bidi="ar-SA"/>
        </w:rPr>
        <w:t>1</w:t>
      </w:r>
      <w:bookmarkStart w:id="492" w:name="_Toc296944538"/>
      <w:bookmarkStart w:id="493" w:name="_Toc292559909"/>
      <w:bookmarkStart w:id="494" w:name="_Toc297048385"/>
      <w:bookmarkStart w:id="495" w:name="_Toc300934997"/>
      <w:bookmarkStart w:id="496" w:name="_Toc297216207"/>
      <w:bookmarkStart w:id="497" w:name="_Toc297120499"/>
      <w:bookmarkStart w:id="498" w:name="_Toc296503199"/>
      <w:bookmarkStart w:id="499" w:name="_Toc312678033"/>
      <w:bookmarkStart w:id="500" w:name="_Toc296347198"/>
      <w:bookmarkStart w:id="501" w:name="_Toc312677507"/>
      <w:bookmarkStart w:id="502" w:name="_Toc303539154"/>
      <w:bookmarkStart w:id="503" w:name="_Toc297123548"/>
      <w:bookmarkStart w:id="504" w:name="_Toc304295574"/>
      <w:bookmarkStart w:id="505" w:name="_Toc296346700"/>
      <w:bookmarkStart w:id="506" w:name="_Toc296891239"/>
      <w:bookmarkStart w:id="507" w:name="_Toc296891027"/>
      <w:bookmarkStart w:id="508" w:name="_Toc292559404"/>
      <w:r>
        <w:rPr>
          <w:rFonts w:hint="eastAsia" w:ascii="宋体" w:hAnsi="宋体" w:eastAsia="宋体" w:cs="宋体"/>
          <w:bCs w:val="0"/>
          <w:color w:val="auto"/>
          <w:kern w:val="2"/>
          <w:sz w:val="21"/>
          <w:szCs w:val="21"/>
          <w:highlight w:val="none"/>
          <w:lang w:val="en-US" w:eastAsia="zh-CN" w:bidi="ar-SA"/>
        </w:rPr>
        <w:t>0.7 暂估价</w:t>
      </w:r>
      <w:bookmarkEnd w:id="490"/>
      <w:bookmarkEnd w:id="491"/>
    </w:p>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14:paraId="22F72325">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Start w:id="509" w:name="_Toc318581177"/>
      <w:bookmarkStart w:id="510" w:name="_Toc312677509"/>
      <w:bookmarkStart w:id="511" w:name="_Toc312678035"/>
      <w:r>
        <w:rPr>
          <w:rFonts w:hint="eastAsia" w:ascii="宋体" w:hAnsi="宋体" w:eastAsia="宋体" w:cs="宋体"/>
          <w:color w:val="auto"/>
          <w:sz w:val="21"/>
          <w:szCs w:val="21"/>
          <w:highlight w:val="none"/>
        </w:rPr>
        <w:t>0.</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.1 依法必须招标的暂估价项目</w:t>
      </w:r>
    </w:p>
    <w:bookmarkEnd w:id="509"/>
    <w:bookmarkEnd w:id="510"/>
    <w:bookmarkEnd w:id="511"/>
    <w:p w14:paraId="43AB9836">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对于依法必须招标的暂估价项目的确认和批准采取</w:t>
      </w:r>
      <w:r>
        <w:rPr>
          <w:rFonts w:hint="eastAsia" w:ascii="宋体" w:hAnsi="宋体" w:eastAsia="宋体" w:cs="宋体"/>
          <w:color w:val="auto"/>
          <w:sz w:val="21"/>
          <w:szCs w:val="21"/>
          <w:highlight w:val="none"/>
          <w:lang w:eastAsia="zh-CN"/>
        </w:rPr>
        <w:t>通用条款</w:t>
      </w:r>
      <w:r>
        <w:rPr>
          <w:rFonts w:hint="eastAsia" w:ascii="宋体" w:hAnsi="宋体" w:eastAsia="宋体" w:cs="宋体"/>
          <w:color w:val="auto"/>
          <w:sz w:val="21"/>
          <w:szCs w:val="21"/>
          <w:highlight w:val="none"/>
        </w:rPr>
        <w:t>第</w:t>
      </w:r>
      <w:r>
        <w:rPr>
          <w:rFonts w:hint="eastAsia" w:ascii="宋体" w:hAnsi="宋体" w:eastAsia="宋体" w:cs="宋体"/>
          <w:color w:val="auto"/>
          <w:sz w:val="21"/>
          <w:szCs w:val="21"/>
          <w:highlight w:val="none"/>
          <w:u w:val="single"/>
        </w:rPr>
        <w:t xml:space="preserve"> 1 </w:t>
      </w:r>
      <w:r>
        <w:rPr>
          <w:rFonts w:hint="eastAsia" w:ascii="宋体" w:hAnsi="宋体" w:eastAsia="宋体" w:cs="宋体"/>
          <w:color w:val="auto"/>
          <w:sz w:val="21"/>
          <w:szCs w:val="21"/>
          <w:highlight w:val="none"/>
        </w:rPr>
        <w:t>种方式确定。</w:t>
      </w:r>
    </w:p>
    <w:p w14:paraId="65E2C0A4">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10.4.2 不属于依法必须招标的暂估价项目</w:t>
      </w:r>
    </w:p>
    <w:p w14:paraId="31E6E856">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对于不属于依法必须招标的暂估价项目的确认和批准采取</w:t>
      </w:r>
      <w:r>
        <w:rPr>
          <w:rFonts w:hint="eastAsia" w:ascii="宋体" w:hAnsi="宋体" w:eastAsia="宋体" w:cs="宋体"/>
          <w:color w:val="auto"/>
          <w:sz w:val="21"/>
          <w:szCs w:val="21"/>
          <w:highlight w:val="none"/>
          <w:lang w:eastAsia="zh-CN"/>
        </w:rPr>
        <w:t>通用条款</w:t>
      </w:r>
      <w:r>
        <w:rPr>
          <w:rFonts w:hint="eastAsia" w:ascii="宋体" w:hAnsi="宋体" w:eastAsia="宋体" w:cs="宋体"/>
          <w:color w:val="auto"/>
          <w:sz w:val="21"/>
          <w:szCs w:val="21"/>
          <w:highlight w:val="none"/>
        </w:rPr>
        <w:t>第</w:t>
      </w:r>
      <w:r>
        <w:rPr>
          <w:rFonts w:hint="eastAsia" w:ascii="宋体" w:hAnsi="宋体" w:eastAsia="宋体" w:cs="宋体"/>
          <w:color w:val="auto"/>
          <w:sz w:val="21"/>
          <w:szCs w:val="21"/>
          <w:highlight w:val="none"/>
          <w:u w:val="single"/>
        </w:rPr>
        <w:t xml:space="preserve"> 2</w:t>
      </w:r>
      <w:r>
        <w:rPr>
          <w:rFonts w:hint="eastAsia" w:ascii="宋体" w:hAnsi="宋体" w:eastAsia="宋体" w:cs="宋体"/>
          <w:color w:val="auto"/>
          <w:sz w:val="21"/>
          <w:szCs w:val="21"/>
          <w:highlight w:val="none"/>
        </w:rPr>
        <w:t xml:space="preserve"> 种方式确定。</w:t>
      </w:r>
    </w:p>
    <w:p w14:paraId="5053839C">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512" w:name="_Toc17349"/>
      <w:bookmarkStart w:id="513" w:name="_Toc3259"/>
      <w:r>
        <w:rPr>
          <w:rFonts w:hint="eastAsia" w:ascii="宋体" w:hAnsi="宋体" w:eastAsia="宋体" w:cs="宋体"/>
          <w:bCs w:val="0"/>
          <w:color w:val="auto"/>
          <w:kern w:val="2"/>
          <w:sz w:val="21"/>
          <w:szCs w:val="21"/>
          <w:highlight w:val="none"/>
          <w:lang w:val="en-US" w:eastAsia="zh-CN" w:bidi="ar-SA"/>
        </w:rPr>
        <w:t>10.8 暂列金额</w:t>
      </w:r>
      <w:bookmarkEnd w:id="512"/>
      <w:bookmarkEnd w:id="513"/>
    </w:p>
    <w:p w14:paraId="394467B5">
      <w:pPr>
        <w:pageBreakBefore w:val="0"/>
        <w:kinsoku/>
        <w:wordWrap/>
        <w:overflowPunct/>
        <w:topLinePunct w:val="0"/>
        <w:autoSpaceDE w:val="0"/>
        <w:autoSpaceDN w:val="0"/>
        <w:bidi w:val="0"/>
        <w:adjustRightInd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合同当事人关于暂列金额使用的约定：</w:t>
      </w:r>
      <w:r>
        <w:rPr>
          <w:rFonts w:hint="eastAsia" w:ascii="宋体" w:hAnsi="宋体" w:eastAsia="宋体" w:cs="宋体"/>
          <w:color w:val="auto"/>
          <w:sz w:val="21"/>
          <w:szCs w:val="21"/>
          <w:highlight w:val="none"/>
          <w:u w:val="single"/>
        </w:rPr>
        <w:t xml:space="preserve">   按通用条款执行   </w:t>
      </w:r>
      <w:r>
        <w:rPr>
          <w:rFonts w:hint="eastAsia" w:ascii="宋体" w:hAnsi="宋体" w:eastAsia="宋体" w:cs="宋体"/>
          <w:color w:val="auto"/>
          <w:kern w:val="0"/>
          <w:sz w:val="21"/>
          <w:szCs w:val="21"/>
          <w:highlight w:val="none"/>
        </w:rPr>
        <w:t>。</w:t>
      </w:r>
    </w:p>
    <w:p w14:paraId="2C99908C">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jc w:val="both"/>
        <w:textAlignment w:val="auto"/>
        <w:outlineLvl w:val="1"/>
        <w:rPr>
          <w:rFonts w:hint="eastAsia" w:ascii="黑体" w:hAnsi="黑体" w:eastAsia="黑体" w:cs="黑体"/>
          <w:bCs w:val="0"/>
          <w:color w:val="auto"/>
          <w:kern w:val="2"/>
          <w:sz w:val="21"/>
          <w:szCs w:val="21"/>
          <w:highlight w:val="none"/>
          <w:lang w:val="en-US" w:eastAsia="zh-CN" w:bidi="ar-SA"/>
        </w:rPr>
      </w:pPr>
      <w:bookmarkStart w:id="514" w:name="_Toc7476"/>
      <w:bookmarkStart w:id="515" w:name="_Toc10375"/>
      <w:bookmarkStart w:id="516" w:name="_Toc13586"/>
      <w:bookmarkStart w:id="517" w:name="_Toc29759"/>
      <w:bookmarkStart w:id="518" w:name="_Toc22671"/>
      <w:bookmarkStart w:id="519" w:name="_Toc351203643"/>
      <w:bookmarkStart w:id="520" w:name="_Toc13447"/>
      <w:bookmarkStart w:id="521" w:name="_Toc16559"/>
      <w:bookmarkStart w:id="522" w:name="_Toc12230"/>
      <w:bookmarkStart w:id="523" w:name="_Toc13142"/>
      <w:bookmarkStart w:id="524" w:name="_Toc2872"/>
      <w:r>
        <w:rPr>
          <w:rFonts w:hint="eastAsia" w:ascii="黑体" w:hAnsi="黑体" w:eastAsia="黑体" w:cs="黑体"/>
          <w:bCs w:val="0"/>
          <w:color w:val="auto"/>
          <w:kern w:val="2"/>
          <w:sz w:val="21"/>
          <w:szCs w:val="21"/>
          <w:highlight w:val="none"/>
          <w:lang w:val="en-US" w:eastAsia="zh-CN" w:bidi="ar-SA"/>
        </w:rPr>
        <w:t>11. 价格调整</w:t>
      </w:r>
      <w:bookmarkEnd w:id="514"/>
      <w:bookmarkEnd w:id="515"/>
      <w:bookmarkEnd w:id="516"/>
      <w:bookmarkEnd w:id="517"/>
    </w:p>
    <w:p w14:paraId="05FA5996">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黑体" w:hAnsi="黑体" w:eastAsia="黑体" w:cs="黑体"/>
          <w:bCs w:val="0"/>
          <w:color w:val="auto"/>
          <w:kern w:val="2"/>
          <w:sz w:val="21"/>
          <w:szCs w:val="21"/>
          <w:highlight w:val="none"/>
          <w:lang w:val="en-US" w:eastAsia="zh-CN" w:bidi="ar-SA"/>
        </w:rPr>
      </w:pPr>
      <w:r>
        <w:rPr>
          <w:rFonts w:hint="eastAsia" w:ascii="黑体" w:hAnsi="黑体" w:eastAsia="黑体" w:cs="黑体"/>
          <w:bCs w:val="0"/>
          <w:color w:val="auto"/>
          <w:kern w:val="2"/>
          <w:sz w:val="21"/>
          <w:szCs w:val="21"/>
          <w:highlight w:val="none"/>
          <w:lang w:val="en-US" w:eastAsia="zh-CN" w:bidi="ar-SA"/>
        </w:rPr>
        <w:t>11.1 市场价格波动引起的调整</w:t>
      </w:r>
    </w:p>
    <w:p w14:paraId="79AAEC61">
      <w:pPr>
        <w:pStyle w:val="6"/>
        <w:pageBreakBefore w:val="0"/>
        <w:kinsoku/>
        <w:overflowPunct/>
        <w:bidi w:val="0"/>
        <w:spacing w:after="0" w:afterLines="0" w:line="360" w:lineRule="auto"/>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b w:val="0"/>
          <w:color w:val="auto"/>
          <w:sz w:val="21"/>
          <w:szCs w:val="21"/>
          <w:highlight w:val="none"/>
          <w:u w:val="single"/>
        </w:rPr>
        <w:t>本合同是固定</w:t>
      </w:r>
      <w:r>
        <w:rPr>
          <w:rFonts w:hint="eastAsia" w:ascii="宋体" w:hAnsi="宋体" w:eastAsia="宋体" w:cs="宋体"/>
          <w:b w:val="0"/>
          <w:color w:val="auto"/>
          <w:sz w:val="21"/>
          <w:szCs w:val="21"/>
          <w:highlight w:val="none"/>
          <w:u w:val="single"/>
          <w:lang w:val="en-US" w:eastAsia="zh-CN"/>
        </w:rPr>
        <w:t>综合</w:t>
      </w:r>
      <w:r>
        <w:rPr>
          <w:rFonts w:hint="eastAsia" w:ascii="宋体" w:hAnsi="宋体" w:eastAsia="宋体" w:cs="宋体"/>
          <w:b w:val="0"/>
          <w:color w:val="auto"/>
          <w:sz w:val="21"/>
          <w:szCs w:val="21"/>
          <w:highlight w:val="none"/>
          <w:u w:val="single"/>
        </w:rPr>
        <w:t>单价合同，本合同的固定</w:t>
      </w:r>
      <w:r>
        <w:rPr>
          <w:rFonts w:hint="eastAsia" w:ascii="宋体" w:hAnsi="宋体" w:eastAsia="宋体" w:cs="宋体"/>
          <w:b w:val="0"/>
          <w:color w:val="auto"/>
          <w:sz w:val="21"/>
          <w:szCs w:val="21"/>
          <w:highlight w:val="none"/>
          <w:u w:val="single"/>
          <w:lang w:val="en-US" w:eastAsia="zh-CN"/>
        </w:rPr>
        <w:t>综合</w:t>
      </w:r>
      <w:r>
        <w:rPr>
          <w:rFonts w:hint="eastAsia" w:ascii="宋体" w:hAnsi="宋体" w:eastAsia="宋体" w:cs="宋体"/>
          <w:b w:val="0"/>
          <w:color w:val="auto"/>
          <w:sz w:val="21"/>
          <w:szCs w:val="21"/>
          <w:highlight w:val="none"/>
          <w:u w:val="single"/>
        </w:rPr>
        <w:t>单价为</w:t>
      </w:r>
      <w:r>
        <w:rPr>
          <w:rFonts w:hint="eastAsia" w:ascii="宋体" w:hAnsi="宋体" w:eastAsia="宋体" w:cs="宋体"/>
          <w:b w:val="0"/>
          <w:color w:val="auto"/>
          <w:sz w:val="21"/>
          <w:szCs w:val="21"/>
          <w:highlight w:val="none"/>
          <w:u w:val="single"/>
          <w:lang w:val="en-US" w:eastAsia="zh-CN"/>
        </w:rPr>
        <w:t>承包人</w:t>
      </w:r>
      <w:r>
        <w:rPr>
          <w:rFonts w:hint="eastAsia" w:ascii="宋体" w:hAnsi="宋体" w:eastAsia="宋体" w:cs="宋体"/>
          <w:b w:val="0"/>
          <w:color w:val="auto"/>
          <w:sz w:val="21"/>
          <w:szCs w:val="21"/>
          <w:highlight w:val="none"/>
          <w:u w:val="single"/>
          <w:lang w:eastAsia="zh-CN"/>
        </w:rPr>
        <w:t>的工程量清单投标报价</w:t>
      </w:r>
      <w:r>
        <w:rPr>
          <w:rFonts w:hint="eastAsia" w:ascii="宋体" w:hAnsi="宋体" w:eastAsia="宋体" w:cs="宋体"/>
          <w:b w:val="0"/>
          <w:color w:val="auto"/>
          <w:sz w:val="21"/>
          <w:szCs w:val="21"/>
          <w:highlight w:val="none"/>
          <w:u w:val="single"/>
        </w:rPr>
        <w:t>*（1-中标下浮率）。</w:t>
      </w:r>
    </w:p>
    <w:p w14:paraId="3E2FD123">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u w:val="single"/>
          <w:lang w:val="en-US" w:eastAsia="zh-CN"/>
        </w:rPr>
      </w:pPr>
      <w:r>
        <w:rPr>
          <w:rFonts w:hint="eastAsia" w:ascii="宋体" w:hAnsi="宋体" w:eastAsia="宋体" w:cs="宋体"/>
          <w:color w:val="auto"/>
          <w:kern w:val="0"/>
          <w:sz w:val="21"/>
          <w:szCs w:val="21"/>
          <w:highlight w:val="none"/>
        </w:rPr>
        <w:t>市场价格波动是否调整合同价格的约定：</w:t>
      </w:r>
      <w:r>
        <w:rPr>
          <w:rFonts w:hint="eastAsia" w:ascii="宋体" w:hAnsi="宋体" w:eastAsia="宋体" w:cs="宋体"/>
          <w:color w:val="auto"/>
          <w:kern w:val="0"/>
          <w:sz w:val="21"/>
          <w:szCs w:val="21"/>
          <w:highlight w:val="none"/>
          <w:u w:val="single"/>
          <w:lang w:val="en-US" w:eastAsia="zh-CN"/>
        </w:rPr>
        <w:t>合同履行期间，只调整钢筋、水泥、砂、碎石、商品砼（不含装配式构件）因市场价格波动引起的价差（价差调整不参与取费），其他不予调整。</w:t>
      </w:r>
      <w:r>
        <w:rPr>
          <w:rFonts w:hint="eastAsia" w:ascii="宋体" w:hAnsi="宋体" w:eastAsia="宋体" w:cs="宋体"/>
          <w:color w:val="auto"/>
          <w:sz w:val="21"/>
          <w:szCs w:val="21"/>
          <w:highlight w:val="none"/>
          <w:u w:val="single"/>
          <w:lang w:eastAsia="zh-CN"/>
        </w:rPr>
        <w:t>综合人工竣工验收前不予调整。</w:t>
      </w:r>
    </w:p>
    <w:p w14:paraId="69EBED46">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因市场价格波动调整合同价格，采用以下第</w:t>
      </w:r>
      <w:r>
        <w:rPr>
          <w:rFonts w:hint="eastAsia" w:ascii="宋体" w:hAnsi="宋体" w:eastAsia="宋体" w:cs="宋体"/>
          <w:color w:val="auto"/>
          <w:sz w:val="21"/>
          <w:szCs w:val="21"/>
          <w:highlight w:val="none"/>
          <w:u w:val="single"/>
        </w:rPr>
        <w:t xml:space="preserve">  2  </w:t>
      </w:r>
      <w:r>
        <w:rPr>
          <w:rFonts w:hint="eastAsia" w:ascii="宋体" w:hAnsi="宋体" w:eastAsia="宋体" w:cs="宋体"/>
          <w:color w:val="auto"/>
          <w:sz w:val="21"/>
          <w:szCs w:val="21"/>
          <w:highlight w:val="none"/>
        </w:rPr>
        <w:t>种方式对合同价格进行调整：</w:t>
      </w:r>
    </w:p>
    <w:p w14:paraId="4F283687">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第1种方式：采用价格指数进行价格调整。</w:t>
      </w:r>
    </w:p>
    <w:p w14:paraId="194D8511">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关于各可调因子、定值和变值权重，以及基本价格指数及其来源的约定：</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3AAFB7D4">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第2种方式：采用造价信息进行价格调整。</w:t>
      </w:r>
    </w:p>
    <w:p w14:paraId="31D3F001">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（2）关于基准价格的约定：</w:t>
      </w:r>
      <w:r>
        <w:rPr>
          <w:rFonts w:hint="eastAsia" w:ascii="宋体" w:hAnsi="宋体" w:eastAsia="宋体" w:cs="宋体"/>
          <w:color w:val="auto"/>
          <w:sz w:val="21"/>
          <w:szCs w:val="21"/>
          <w:highlight w:val="none"/>
          <w:u w:val="single"/>
        </w:rPr>
        <w:t>工程量清单计价以造价编制报告审核通过之日起前28天为基准日，以基准日当月由海南省建设标准定额站发布的当期《海南工程造价信息》中的</w:t>
      </w:r>
      <w:r>
        <w:rPr>
          <w:rFonts w:hint="eastAsia" w:ascii="宋体" w:hAnsi="宋体" w:eastAsia="宋体" w:cs="宋体"/>
          <w:color w:val="auto"/>
          <w:sz w:val="21"/>
          <w:szCs w:val="21"/>
          <w:highlight w:val="none"/>
          <w:u w:val="single"/>
          <w:lang w:eastAsia="zh-CN"/>
        </w:rPr>
        <w:t>三亚市</w:t>
      </w:r>
      <w:r>
        <w:rPr>
          <w:rFonts w:hint="eastAsia" w:ascii="宋体" w:hAnsi="宋体" w:eastAsia="宋体" w:cs="宋体"/>
          <w:color w:val="auto"/>
          <w:sz w:val="21"/>
          <w:szCs w:val="21"/>
          <w:highlight w:val="none"/>
          <w:u w:val="single"/>
        </w:rPr>
        <w:t>价格为基准价格，工程造价信息</w:t>
      </w:r>
      <w:r>
        <w:rPr>
          <w:rFonts w:hint="eastAsia" w:ascii="宋体" w:hAnsi="宋体" w:eastAsia="宋体" w:cs="宋体"/>
          <w:color w:val="auto"/>
          <w:sz w:val="21"/>
          <w:szCs w:val="21"/>
          <w:highlight w:val="none"/>
          <w:u w:val="single"/>
          <w:lang w:eastAsia="zh-CN"/>
        </w:rPr>
        <w:t>三亚市</w:t>
      </w:r>
      <w:r>
        <w:rPr>
          <w:rFonts w:hint="eastAsia" w:ascii="宋体" w:hAnsi="宋体" w:eastAsia="宋体" w:cs="宋体"/>
          <w:color w:val="auto"/>
          <w:sz w:val="21"/>
          <w:szCs w:val="21"/>
          <w:highlight w:val="none"/>
          <w:u w:val="single"/>
        </w:rPr>
        <w:t>缺项的参照三亚市、海口市《按先后顺序》</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 xml:space="preserve">并执行工程施工费合同下浮率。 </w:t>
      </w:r>
    </w:p>
    <w:p w14:paraId="7A17EFDA">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eastAsia="zh-CN"/>
        </w:rPr>
        <w:t>综合人工竣工验收前不予调整。</w:t>
      </w:r>
    </w:p>
    <w:p w14:paraId="5A87EAA3">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rPr>
        <w:t>钢筋、水泥、砂、碎石、商品砼（不含装配式构件）</w:t>
      </w:r>
      <w:r>
        <w:rPr>
          <w:rFonts w:hint="eastAsia" w:ascii="宋体" w:hAnsi="宋体" w:eastAsia="宋体" w:cs="宋体"/>
          <w:color w:val="auto"/>
          <w:sz w:val="21"/>
          <w:szCs w:val="21"/>
          <w:highlight w:val="none"/>
          <w:u w:val="single"/>
        </w:rPr>
        <w:t>以经发包人确认的承包人报送的实际进度月报记录作为调整的依据，根据实际进度计算相符的材料用量，并按当月海南省定额站颁布的《海南工程造价信息》中的</w:t>
      </w:r>
      <w:r>
        <w:rPr>
          <w:rFonts w:hint="eastAsia" w:ascii="宋体" w:hAnsi="宋体" w:eastAsia="宋体" w:cs="宋体"/>
          <w:color w:val="auto"/>
          <w:sz w:val="21"/>
          <w:szCs w:val="21"/>
          <w:highlight w:val="none"/>
          <w:u w:val="single"/>
          <w:lang w:eastAsia="zh-CN"/>
        </w:rPr>
        <w:t>三亚市</w:t>
      </w:r>
      <w:r>
        <w:rPr>
          <w:rFonts w:hint="eastAsia" w:ascii="宋体" w:hAnsi="宋体" w:eastAsia="宋体" w:cs="宋体"/>
          <w:color w:val="auto"/>
          <w:sz w:val="21"/>
          <w:szCs w:val="21"/>
          <w:highlight w:val="none"/>
          <w:u w:val="single"/>
        </w:rPr>
        <w:t>工程造价信息，采用加权平均法计算其在施工期间的价格与基准价进行对比，如超出基准价±</w:t>
      </w:r>
      <w:r>
        <w:rPr>
          <w:rFonts w:hint="eastAsia" w:ascii="宋体" w:hAnsi="宋体" w:eastAsia="宋体" w:cs="宋体"/>
          <w:color w:val="auto"/>
          <w:sz w:val="21"/>
          <w:szCs w:val="21"/>
          <w:highlight w:val="none"/>
          <w:u w:val="single"/>
          <w:lang w:eastAsia="zh-CN"/>
        </w:rPr>
        <w:t>5</w:t>
      </w:r>
      <w:r>
        <w:rPr>
          <w:rFonts w:hint="eastAsia" w:ascii="宋体" w:hAnsi="宋体" w:eastAsia="宋体" w:cs="宋体"/>
          <w:color w:val="auto"/>
          <w:sz w:val="21"/>
          <w:szCs w:val="21"/>
          <w:highlight w:val="none"/>
          <w:u w:val="single"/>
        </w:rPr>
        <w:t>%（不含）时，结算时按超出基准价±</w:t>
      </w:r>
      <w:r>
        <w:rPr>
          <w:rFonts w:hint="eastAsia" w:ascii="宋体" w:hAnsi="宋体" w:eastAsia="宋体" w:cs="宋体"/>
          <w:color w:val="auto"/>
          <w:sz w:val="21"/>
          <w:szCs w:val="21"/>
          <w:highlight w:val="none"/>
          <w:u w:val="single"/>
          <w:lang w:eastAsia="zh-CN"/>
        </w:rPr>
        <w:t>5</w:t>
      </w:r>
      <w:r>
        <w:rPr>
          <w:rFonts w:hint="eastAsia" w:ascii="宋体" w:hAnsi="宋体" w:eastAsia="宋体" w:cs="宋体"/>
          <w:color w:val="auto"/>
          <w:sz w:val="21"/>
          <w:szCs w:val="21"/>
          <w:highlight w:val="none"/>
          <w:u w:val="single"/>
        </w:rPr>
        <w:t>%的部分调整价差，未超出±</w:t>
      </w:r>
      <w:r>
        <w:rPr>
          <w:rFonts w:hint="eastAsia" w:ascii="宋体" w:hAnsi="宋体" w:eastAsia="宋体" w:cs="宋体"/>
          <w:color w:val="auto"/>
          <w:sz w:val="21"/>
          <w:szCs w:val="21"/>
          <w:highlight w:val="none"/>
          <w:u w:val="single"/>
          <w:lang w:eastAsia="zh-CN"/>
        </w:rPr>
        <w:t>5</w:t>
      </w:r>
      <w:r>
        <w:rPr>
          <w:rFonts w:hint="eastAsia" w:ascii="宋体" w:hAnsi="宋体" w:eastAsia="宋体" w:cs="宋体"/>
          <w:color w:val="auto"/>
          <w:sz w:val="21"/>
          <w:szCs w:val="21"/>
          <w:highlight w:val="none"/>
          <w:u w:val="single"/>
        </w:rPr>
        <w:t>%（含）时不作调整。</w:t>
      </w:r>
    </w:p>
    <w:p w14:paraId="458292F1">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第3种方式：其他价格调整方式：</w:t>
      </w:r>
    </w:p>
    <w:p w14:paraId="3D397160">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p>
    <w:p w14:paraId="6A90F7A0">
      <w:pPr>
        <w:pStyle w:val="8"/>
        <w:pageBreakBefore w:val="0"/>
        <w:kinsoku/>
        <w:overflowPunct/>
        <w:bidi w:val="0"/>
        <w:spacing w:before="0" w:after="0" w:afterLines="0" w:line="360" w:lineRule="auto"/>
        <w:ind w:left="0" w:firstLine="0" w:firstLineChars="0"/>
        <w:textAlignment w:val="auto"/>
        <w:rPr>
          <w:rFonts w:hint="eastAsia" w:ascii="黑体" w:hAnsi="黑体" w:eastAsia="黑体" w:cs="黑体"/>
          <w:b w:val="0"/>
          <w:bCs w:val="0"/>
          <w:color w:val="auto"/>
          <w:kern w:val="2"/>
          <w:sz w:val="21"/>
          <w:szCs w:val="21"/>
          <w:highlight w:val="none"/>
        </w:rPr>
      </w:pPr>
      <w:r>
        <w:rPr>
          <w:rFonts w:hint="eastAsia" w:ascii="黑体" w:hAnsi="黑体" w:eastAsia="黑体" w:cs="黑体"/>
          <w:b w:val="0"/>
          <w:bCs w:val="0"/>
          <w:color w:val="auto"/>
          <w:kern w:val="2"/>
          <w:sz w:val="21"/>
          <w:szCs w:val="21"/>
          <w:highlight w:val="none"/>
        </w:rPr>
        <w:t>11.3工程量变化引起的调整</w:t>
      </w:r>
    </w:p>
    <w:p w14:paraId="01166503">
      <w:pPr>
        <w:pageBreakBefore w:val="0"/>
        <w:kinsoku/>
        <w:overflowPunct/>
        <w:bidi w:val="0"/>
        <w:spacing w:after="0" w:afterLines="0" w:line="360" w:lineRule="auto"/>
        <w:ind w:firstLine="420" w:firstLineChars="200"/>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（1）工程量变化引起的调整方法：据实结算。</w:t>
      </w:r>
    </w:p>
    <w:p w14:paraId="7BF92047">
      <w:pPr>
        <w:pageBreakBefore w:val="0"/>
        <w:kinsoku/>
        <w:overflowPunct/>
        <w:bidi w:val="0"/>
        <w:spacing w:after="0" w:afterLines="0" w:line="360" w:lineRule="auto"/>
        <w:ind w:firstLine="420" w:firstLineChars="200"/>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（2）因承包人原因造成工期延误而增加的工程费用不予调整。</w:t>
      </w:r>
    </w:p>
    <w:p w14:paraId="0DA2849D">
      <w:pPr>
        <w:pageBreakBefore w:val="0"/>
        <w:kinsoku/>
        <w:overflowPunct/>
        <w:bidi w:val="0"/>
        <w:spacing w:after="0" w:afterLines="0" w:line="360" w:lineRule="auto"/>
        <w:ind w:firstLine="420" w:firstLineChars="200"/>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（3）发包人有权根据实际情况对某些工程进行取消或增加，如取消或增加，此部分费用相应减增减。</w:t>
      </w:r>
    </w:p>
    <w:p w14:paraId="610D8BFB">
      <w:pPr>
        <w:pStyle w:val="8"/>
        <w:pageBreakBefore w:val="0"/>
        <w:kinsoku/>
        <w:overflowPunct/>
        <w:bidi w:val="0"/>
        <w:spacing w:before="0" w:after="0" w:afterLines="0" w:line="360" w:lineRule="auto"/>
        <w:ind w:left="0" w:firstLine="0" w:firstLineChars="0"/>
        <w:textAlignment w:val="auto"/>
        <w:rPr>
          <w:rFonts w:hint="eastAsia" w:ascii="黑体" w:hAnsi="黑体" w:eastAsia="黑体" w:cs="黑体"/>
          <w:b w:val="0"/>
          <w:bCs w:val="0"/>
          <w:color w:val="auto"/>
          <w:kern w:val="2"/>
          <w:sz w:val="21"/>
          <w:szCs w:val="21"/>
          <w:highlight w:val="none"/>
        </w:rPr>
      </w:pPr>
      <w:r>
        <w:rPr>
          <w:rFonts w:hint="eastAsia" w:ascii="黑体" w:hAnsi="黑体" w:eastAsia="黑体" w:cs="黑体"/>
          <w:b w:val="0"/>
          <w:bCs w:val="0"/>
          <w:color w:val="auto"/>
          <w:kern w:val="2"/>
          <w:sz w:val="21"/>
          <w:szCs w:val="21"/>
          <w:highlight w:val="none"/>
        </w:rPr>
        <w:t>11.4价格调整的其他约定</w:t>
      </w:r>
    </w:p>
    <w:p w14:paraId="03FCAED0">
      <w:pPr>
        <w:pageBreakBefore w:val="0"/>
        <w:kinsoku/>
        <w:overflowPunct/>
        <w:bidi w:val="0"/>
        <w:spacing w:after="0" w:afterLines="0" w:line="360" w:lineRule="auto"/>
        <w:ind w:firstLine="420" w:firstLineChars="200"/>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（1）本项目涉及计价方法：本项目采用工程量清单计价，计价依据为清单编制期间国家相关标准规范、海南省相关定额、文件及规定等。材料按施工期间《海南工程造价信息》中</w:t>
      </w:r>
      <w:r>
        <w:rPr>
          <w:rFonts w:hint="eastAsia" w:ascii="宋体" w:hAnsi="宋体" w:eastAsia="宋体" w:cs="宋体"/>
          <w:color w:val="auto"/>
          <w:kern w:val="2"/>
          <w:sz w:val="21"/>
          <w:szCs w:val="21"/>
          <w:highlight w:val="none"/>
          <w:u w:val="single"/>
          <w:lang w:eastAsia="zh-CN"/>
        </w:rPr>
        <w:t>三亚市</w:t>
      </w:r>
      <w:r>
        <w:rPr>
          <w:rFonts w:hint="eastAsia" w:ascii="宋体" w:hAnsi="宋体" w:eastAsia="宋体" w:cs="宋体"/>
          <w:color w:val="auto"/>
          <w:kern w:val="2"/>
          <w:sz w:val="21"/>
          <w:szCs w:val="21"/>
          <w:highlight w:val="none"/>
          <w:u w:val="single"/>
        </w:rPr>
        <w:t>价格执行，工程造价信息缺项的参照三亚市、海口市（按先后顺序）市场价。</w:t>
      </w:r>
    </w:p>
    <w:p w14:paraId="505BDCCE">
      <w:pPr>
        <w:pageBreakBefore w:val="0"/>
        <w:kinsoku/>
        <w:overflowPunct/>
        <w:bidi w:val="0"/>
        <w:spacing w:after="0" w:afterLines="0" w:line="360" w:lineRule="auto"/>
        <w:ind w:firstLine="420" w:firstLineChars="200"/>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（2）合同履行过程中任何涉及价格洽商、调整的过程均不得作为承包人停工或拖延工期的理由，承包人不得以价格未核定而停止或暂缓施工，否则承包人承担无故停工或工期拖延的一切违约责任。</w:t>
      </w:r>
    </w:p>
    <w:p w14:paraId="0E42E334">
      <w:pPr>
        <w:pageBreakBefore w:val="0"/>
        <w:kinsoku/>
        <w:overflowPunct/>
        <w:bidi w:val="0"/>
        <w:spacing w:after="0" w:afterLines="0" w:line="360" w:lineRule="auto"/>
        <w:ind w:firstLine="420" w:firstLineChars="200"/>
        <w:textAlignment w:val="auto"/>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rPr>
        <w:t>（3）钢筋、水泥、砂、碎石、商品砼（不含装配式构件）的价格调整，待结算时再进行价差调整。</w:t>
      </w:r>
    </w:p>
    <w:bookmarkEnd w:id="518"/>
    <w:bookmarkEnd w:id="519"/>
    <w:bookmarkEnd w:id="520"/>
    <w:bookmarkEnd w:id="521"/>
    <w:bookmarkEnd w:id="522"/>
    <w:bookmarkEnd w:id="523"/>
    <w:bookmarkEnd w:id="524"/>
    <w:p w14:paraId="051DC9DF">
      <w:pPr>
        <w:pStyle w:val="6"/>
        <w:pageBreakBefore w:val="0"/>
        <w:kinsoku/>
        <w:wordWrap/>
        <w:overflowPunct/>
        <w:topLinePunct w:val="0"/>
        <w:bidi w:val="0"/>
        <w:snapToGrid/>
        <w:spacing w:after="0" w:afterLines="0" w:line="360" w:lineRule="auto"/>
        <w:textAlignment w:val="auto"/>
        <w:outlineLvl w:val="1"/>
        <w:rPr>
          <w:rFonts w:hint="eastAsia" w:ascii="宋体" w:hAnsi="宋体" w:eastAsia="宋体" w:cs="宋体"/>
          <w:b w:val="0"/>
          <w:bCs w:val="0"/>
          <w:color w:val="auto"/>
          <w:kern w:val="2"/>
          <w:sz w:val="21"/>
          <w:szCs w:val="21"/>
          <w:highlight w:val="none"/>
          <w:lang w:val="en-US" w:eastAsia="zh-CN" w:bidi="ar-SA"/>
        </w:rPr>
      </w:pPr>
      <w:bookmarkStart w:id="525" w:name="_Toc3204"/>
      <w:bookmarkStart w:id="526" w:name="_Toc29903"/>
      <w:bookmarkStart w:id="527" w:name="_Toc31012"/>
      <w:bookmarkStart w:id="528" w:name="_Toc6121"/>
      <w:bookmarkStart w:id="529" w:name="_Toc19332"/>
      <w:r>
        <w:rPr>
          <w:rFonts w:hint="eastAsia" w:ascii="宋体" w:hAnsi="宋体" w:eastAsia="宋体" w:cs="宋体"/>
          <w:b w:val="0"/>
          <w:bCs w:val="0"/>
          <w:color w:val="auto"/>
          <w:kern w:val="2"/>
          <w:sz w:val="21"/>
          <w:szCs w:val="21"/>
          <w:highlight w:val="none"/>
          <w:lang w:val="en-US" w:eastAsia="zh-CN" w:bidi="ar-SA"/>
        </w:rPr>
        <w:t>12. 合同价格、计量与支付</w:t>
      </w:r>
      <w:bookmarkEnd w:id="525"/>
      <w:bookmarkEnd w:id="526"/>
      <w:bookmarkEnd w:id="527"/>
      <w:bookmarkEnd w:id="528"/>
      <w:bookmarkEnd w:id="529"/>
    </w:p>
    <w:p w14:paraId="68A6ADA9">
      <w:pPr>
        <w:pStyle w:val="6"/>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bookmarkStart w:id="530" w:name="_Toc292559916"/>
      <w:bookmarkStart w:id="531" w:name="_Toc267251461"/>
      <w:bookmarkStart w:id="532" w:name="_Toc292559411"/>
      <w:bookmarkStart w:id="533" w:name="_Toc296944545"/>
      <w:bookmarkStart w:id="534" w:name="_Toc296891034"/>
      <w:bookmarkStart w:id="535" w:name="_Toc296347205"/>
      <w:bookmarkStart w:id="536" w:name="_Toc296891246"/>
      <w:bookmarkStart w:id="537" w:name="_Toc296503206"/>
      <w:bookmarkStart w:id="538" w:name="_Toc297120506"/>
      <w:bookmarkStart w:id="539" w:name="_Toc296346707"/>
      <w:bookmarkStart w:id="540" w:name="_Toc297048392"/>
      <w:bookmarkStart w:id="541" w:name="_Toc300935003"/>
      <w:bookmarkStart w:id="542" w:name="_Toc303539160"/>
      <w:bookmarkStart w:id="543" w:name="_Toc304295580"/>
      <w:bookmarkStart w:id="544" w:name="_Toc297123553"/>
      <w:bookmarkStart w:id="545" w:name="_Toc297216212"/>
      <w:bookmarkStart w:id="546" w:name="_Toc312678041"/>
      <w:r>
        <w:rPr>
          <w:rFonts w:hint="eastAsia" w:ascii="宋体" w:hAnsi="宋体" w:eastAsia="宋体" w:cs="宋体"/>
          <w:b w:val="0"/>
          <w:bCs w:val="0"/>
          <w:color w:val="auto"/>
          <w:kern w:val="2"/>
          <w:sz w:val="21"/>
          <w:szCs w:val="21"/>
          <w:highlight w:val="none"/>
          <w:lang w:val="en-US" w:eastAsia="zh-CN" w:bidi="ar-SA"/>
        </w:rPr>
        <w:t>12.1 合</w:t>
      </w:r>
      <w:bookmarkEnd w:id="530"/>
      <w:bookmarkEnd w:id="531"/>
      <w:bookmarkEnd w:id="532"/>
      <w:r>
        <w:rPr>
          <w:rFonts w:hint="eastAsia" w:ascii="宋体" w:hAnsi="宋体" w:eastAsia="宋体" w:cs="宋体"/>
          <w:b w:val="0"/>
          <w:bCs w:val="0"/>
          <w:color w:val="auto"/>
          <w:kern w:val="2"/>
          <w:sz w:val="21"/>
          <w:szCs w:val="21"/>
          <w:highlight w:val="none"/>
          <w:lang w:val="en-US" w:eastAsia="zh-CN" w:bidi="ar-SA"/>
        </w:rPr>
        <w:t>同价</w:t>
      </w:r>
      <w:bookmarkEnd w:id="533"/>
      <w:bookmarkEnd w:id="534"/>
      <w:bookmarkEnd w:id="535"/>
      <w:bookmarkEnd w:id="536"/>
      <w:bookmarkEnd w:id="537"/>
      <w:bookmarkEnd w:id="538"/>
      <w:bookmarkEnd w:id="539"/>
      <w:bookmarkEnd w:id="540"/>
      <w:r>
        <w:rPr>
          <w:rFonts w:hint="eastAsia" w:ascii="宋体" w:hAnsi="宋体" w:eastAsia="宋体" w:cs="宋体"/>
          <w:b w:val="0"/>
          <w:bCs w:val="0"/>
          <w:color w:val="auto"/>
          <w:kern w:val="2"/>
          <w:sz w:val="21"/>
          <w:szCs w:val="21"/>
          <w:highlight w:val="none"/>
          <w:lang w:val="en-US" w:eastAsia="zh-CN" w:bidi="ar-SA"/>
        </w:rPr>
        <w:t>格形式</w:t>
      </w:r>
    </w:p>
    <w:bookmarkEnd w:id="541"/>
    <w:bookmarkEnd w:id="542"/>
    <w:bookmarkEnd w:id="543"/>
    <w:bookmarkEnd w:id="544"/>
    <w:bookmarkEnd w:id="545"/>
    <w:bookmarkEnd w:id="546"/>
    <w:p w14:paraId="69037052">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1、单价合同。</w:t>
      </w:r>
    </w:p>
    <w:p w14:paraId="6A23A12A">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综合单价包含的风险范围：</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71075B1C">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风险费用的计算方法：</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0EE687E4">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风险范围以外合同价格的调整方法：</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15D650F5">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2、总价合同。</w:t>
      </w:r>
    </w:p>
    <w:p w14:paraId="673B13CB">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总价包含的风险范围：</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31C506E3">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风险费用的计算方法：</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1CF2BFF2">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风险范围以外合同价格的调整方法：</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73A5F8D8">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3、其他价格方式：</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34D3B578">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547" w:name="_Toc29119"/>
      <w:bookmarkStart w:id="548" w:name="_Toc20992"/>
      <w:bookmarkStart w:id="549" w:name="_Toc312678042"/>
      <w:bookmarkStart w:id="550" w:name="_Toc303539161"/>
      <w:bookmarkStart w:id="551" w:name="_Toc297123554"/>
      <w:bookmarkStart w:id="552" w:name="_Toc300935004"/>
      <w:bookmarkStart w:id="553" w:name="_Toc297216213"/>
      <w:bookmarkStart w:id="554" w:name="_Toc304295581"/>
      <w:bookmarkStart w:id="555" w:name="_Toc297120507"/>
      <w:bookmarkStart w:id="556" w:name="_Toc292559412"/>
      <w:bookmarkStart w:id="557" w:name="_Toc296891247"/>
      <w:bookmarkStart w:id="558" w:name="_Toc296347206"/>
      <w:bookmarkStart w:id="559" w:name="_Toc292559917"/>
      <w:bookmarkStart w:id="560" w:name="_Toc296891035"/>
      <w:bookmarkStart w:id="561" w:name="_Toc296346708"/>
      <w:bookmarkStart w:id="562" w:name="_Toc296944546"/>
      <w:bookmarkStart w:id="563" w:name="_Toc296503207"/>
      <w:bookmarkStart w:id="564" w:name="_Toc297048393"/>
      <w:r>
        <w:rPr>
          <w:rFonts w:hint="eastAsia" w:ascii="宋体" w:hAnsi="宋体" w:eastAsia="宋体" w:cs="宋体"/>
          <w:bCs w:val="0"/>
          <w:color w:val="auto"/>
          <w:kern w:val="2"/>
          <w:sz w:val="21"/>
          <w:szCs w:val="21"/>
          <w:highlight w:val="none"/>
          <w:lang w:val="en-US" w:eastAsia="zh-CN" w:bidi="ar-SA"/>
        </w:rPr>
        <w:t>12.2 预付款</w:t>
      </w:r>
      <w:bookmarkEnd w:id="547"/>
      <w:bookmarkEnd w:id="548"/>
    </w:p>
    <w:bookmarkEnd w:id="549"/>
    <w:bookmarkEnd w:id="550"/>
    <w:bookmarkEnd w:id="551"/>
    <w:bookmarkEnd w:id="552"/>
    <w:bookmarkEnd w:id="553"/>
    <w:bookmarkEnd w:id="554"/>
    <w:p w14:paraId="4899C24B">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highlight w:val="none"/>
        </w:rPr>
        <w:t xml:space="preserve">12.2.1 </w:t>
      </w:r>
      <w:r>
        <w:rPr>
          <w:rFonts w:hint="eastAsia" w:ascii="宋体" w:hAnsi="宋体" w:eastAsia="宋体" w:cs="宋体"/>
          <w:color w:val="auto"/>
          <w:sz w:val="21"/>
          <w:szCs w:val="21"/>
        </w:rPr>
        <w:t>预付款支付</w:t>
      </w:r>
    </w:p>
    <w:p w14:paraId="0D8D0FB8">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预付款的金额或比例为：</w:t>
      </w:r>
      <w:r>
        <w:rPr>
          <w:rFonts w:hint="eastAsia" w:ascii="宋体" w:hAnsi="宋体" w:eastAsia="宋体" w:cs="宋体"/>
          <w:i w:val="0"/>
          <w:iCs w:val="0"/>
          <w:color w:val="auto"/>
          <w:sz w:val="21"/>
          <w:szCs w:val="21"/>
          <w:u w:val="single"/>
          <w:lang w:eastAsia="zh-CN"/>
        </w:rPr>
        <w:t>施工</w:t>
      </w:r>
      <w:r>
        <w:rPr>
          <w:rFonts w:hint="eastAsia" w:eastAsia="宋体" w:cs="宋体"/>
          <w:i w:val="0"/>
          <w:iCs w:val="0"/>
          <w:color w:val="auto"/>
          <w:sz w:val="21"/>
          <w:szCs w:val="21"/>
          <w:u w:val="single"/>
          <w:lang w:eastAsia="zh-CN"/>
        </w:rPr>
        <w:t>施工</w:t>
      </w:r>
      <w:r>
        <w:rPr>
          <w:rFonts w:hint="eastAsia" w:ascii="宋体" w:hAnsi="宋体" w:eastAsia="宋体" w:cs="宋体"/>
          <w:i w:val="0"/>
          <w:iCs w:val="0"/>
          <w:color w:val="auto"/>
          <w:sz w:val="21"/>
          <w:szCs w:val="21"/>
          <w:u w:val="single"/>
        </w:rPr>
        <w:t>签约合同价的</w:t>
      </w:r>
      <w:r>
        <w:rPr>
          <w:rFonts w:hint="eastAsia" w:eastAsia="宋体" w:cs="宋体"/>
          <w:i w:val="0"/>
          <w:iCs w:val="0"/>
          <w:color w:val="auto"/>
          <w:sz w:val="21"/>
          <w:szCs w:val="21"/>
          <w:u w:val="single"/>
          <w:lang w:val="en-US" w:eastAsia="zh-CN"/>
        </w:rPr>
        <w:t>1</w:t>
      </w:r>
      <w:r>
        <w:rPr>
          <w:rFonts w:hint="eastAsia" w:ascii="宋体" w:hAnsi="宋体" w:eastAsia="宋体" w:cs="宋体"/>
          <w:i w:val="0"/>
          <w:iCs w:val="0"/>
          <w:color w:val="auto"/>
          <w:sz w:val="21"/>
          <w:szCs w:val="21"/>
          <w:u w:val="single"/>
        </w:rPr>
        <w:t>0%</w:t>
      </w:r>
      <w:r>
        <w:rPr>
          <w:rFonts w:hint="eastAsia" w:ascii="宋体" w:hAnsi="宋体" w:eastAsia="宋体" w:cs="宋体"/>
          <w:color w:val="auto"/>
          <w:sz w:val="21"/>
          <w:szCs w:val="21"/>
        </w:rPr>
        <w:t>。</w:t>
      </w:r>
    </w:p>
    <w:p w14:paraId="7663AE26">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预付款支付期限：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47494A4A">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预付款扣回的方式：</w:t>
      </w:r>
      <w:r>
        <w:rPr>
          <w:rFonts w:hint="eastAsia" w:ascii="宋体" w:hAnsi="宋体" w:eastAsia="宋体" w:cs="宋体"/>
          <w:color w:val="auto"/>
          <w:sz w:val="21"/>
          <w:szCs w:val="21"/>
          <w:u w:val="single"/>
        </w:rPr>
        <w:t>在累计产值未达到签约合同价的30%之前不予扣回，在累计产值达到签约合同价30%之后，开始按工程进度以固定比例（即每完成签约合同价的1%，扣回预付款的</w:t>
      </w:r>
      <w:r>
        <w:rPr>
          <w:rFonts w:hint="eastAsia" w:ascii="宋体" w:hAnsi="宋体" w:eastAsia="宋体" w:cs="宋体"/>
          <w:color w:val="auto"/>
          <w:sz w:val="21"/>
          <w:szCs w:val="21"/>
          <w:u w:val="single"/>
          <w:lang w:val="en-US" w:eastAsia="zh-CN"/>
        </w:rPr>
        <w:t>2</w:t>
      </w:r>
      <w:r>
        <w:rPr>
          <w:rFonts w:hint="eastAsia" w:ascii="宋体" w:hAnsi="宋体" w:eastAsia="宋体" w:cs="宋体"/>
          <w:color w:val="auto"/>
          <w:sz w:val="21"/>
          <w:szCs w:val="21"/>
          <w:u w:val="single"/>
        </w:rPr>
        <w:t>%）的方式分期从月度计量工程量对应工程款中扣回。若超过合同工期还未扣完，发包人有权索偿剩余预付款。</w:t>
      </w:r>
    </w:p>
    <w:p w14:paraId="300D0BD2">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u w:val="single"/>
        </w:rPr>
        <w:t>因承包人原因导致本工程关键节点工期延误的，经发包人通知后仍未采取措施补救或整改后不符合发包人要求的，发包人有权一次性扣回已支付（或尚未抵扣部分）的预付款 。</w:t>
      </w:r>
    </w:p>
    <w:p w14:paraId="268B4C83">
      <w:pPr>
        <w:pageBreakBefore w:val="0"/>
        <w:kinsoku/>
        <w:overflowPunct/>
        <w:bidi w:val="0"/>
        <w:spacing w:after="0" w:afterLines="0" w:line="360" w:lineRule="auto"/>
        <w:ind w:firstLine="420" w:firstLineChars="200"/>
        <w:jc w:val="left"/>
        <w:textAlignment w:val="auto"/>
        <w:rPr>
          <w:rFonts w:hint="eastAsia" w:cs="宋体"/>
          <w:color w:val="auto"/>
          <w:sz w:val="21"/>
          <w:szCs w:val="21"/>
          <w:highlight w:val="none"/>
          <w:u w:val="single"/>
        </w:rPr>
      </w:pPr>
      <w:r>
        <w:rPr>
          <w:rFonts w:hint="eastAsia" w:cs="宋体"/>
          <w:color w:val="auto"/>
          <w:sz w:val="21"/>
          <w:szCs w:val="21"/>
          <w:highlight w:val="none"/>
          <w:u w:val="single"/>
        </w:rPr>
        <w:t>支付预付款的条件：1、合同签订并生效；2、提交履约担保；3、提交预付款保函；4、投标承诺的施工管理人员到位并组建项目部；5、签订《工程资金监管协议》；6、提交工期承诺；7、提交拟采购材料或设备品牌清单。</w:t>
      </w:r>
    </w:p>
    <w:p w14:paraId="01DF437F">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u w:val="single"/>
        </w:rPr>
        <w:t>承包人在申请本合同约定的相应工程预付款前，应向发包人提供经发包人认可的商业银行出具的见索即付、不可撤销的等额银行预付款保函，预付款担保的有效期应自保函开具之日起至预付款抵扣完毕之日止。</w:t>
      </w:r>
    </w:p>
    <w:p w14:paraId="1BCA23A4">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12.2.2 预付款担保</w:t>
      </w:r>
    </w:p>
    <w:p w14:paraId="15704195">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承包人提交预付款担保的期限：</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2F8AF935">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预付款担保的形式为：</w:t>
      </w:r>
      <w:r>
        <w:rPr>
          <w:rFonts w:hint="eastAsia" w:ascii="宋体" w:hAnsi="宋体" w:eastAsia="宋体" w:cs="宋体"/>
          <w:color w:val="auto"/>
          <w:sz w:val="21"/>
          <w:szCs w:val="21"/>
          <w:highlight w:val="none"/>
          <w:u w:val="single"/>
        </w:rPr>
        <w:t xml:space="preserve">  银行保函，该保函须为不可撤销、无条件、见索即付的银行保函，出具预付款保函的银行和预付款保函的内容须经发包人批准，而获得预付款保函的费用由</w:t>
      </w:r>
      <w:r>
        <w:rPr>
          <w:rFonts w:hint="eastAsia" w:eastAsia="宋体" w:cs="宋体"/>
          <w:color w:val="auto"/>
          <w:sz w:val="21"/>
          <w:szCs w:val="21"/>
          <w:highlight w:val="none"/>
          <w:u w:val="single"/>
          <w:lang w:eastAsia="zh-CN"/>
        </w:rPr>
        <w:t>施工</w:t>
      </w:r>
      <w:r>
        <w:rPr>
          <w:rFonts w:hint="eastAsia" w:ascii="宋体" w:hAnsi="宋体" w:eastAsia="宋体" w:cs="宋体"/>
          <w:color w:val="auto"/>
          <w:sz w:val="21"/>
          <w:szCs w:val="21"/>
          <w:highlight w:val="none"/>
          <w:u w:val="single"/>
        </w:rPr>
        <w:t xml:space="preserve">商或联合体牵头单位负责。预付款担保的有效期应当自保函开具之日起至预付款抵扣完毕之日止。   </w:t>
      </w:r>
      <w:r>
        <w:rPr>
          <w:rFonts w:hint="eastAsia" w:ascii="宋体" w:hAnsi="宋体" w:eastAsia="宋体" w:cs="宋体"/>
          <w:color w:val="auto"/>
          <w:sz w:val="21"/>
          <w:szCs w:val="21"/>
          <w:highlight w:val="none"/>
        </w:rPr>
        <w:t>。</w:t>
      </w:r>
    </w:p>
    <w:bookmarkEnd w:id="555"/>
    <w:bookmarkEnd w:id="556"/>
    <w:bookmarkEnd w:id="557"/>
    <w:bookmarkEnd w:id="558"/>
    <w:bookmarkEnd w:id="559"/>
    <w:bookmarkEnd w:id="560"/>
    <w:bookmarkEnd w:id="561"/>
    <w:bookmarkEnd w:id="562"/>
    <w:bookmarkEnd w:id="563"/>
    <w:bookmarkEnd w:id="564"/>
    <w:p w14:paraId="2291AE4F">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565" w:name="_Toc925"/>
      <w:bookmarkStart w:id="566" w:name="_Toc26701"/>
      <w:r>
        <w:rPr>
          <w:rFonts w:hint="eastAsia" w:ascii="宋体" w:hAnsi="宋体" w:eastAsia="宋体" w:cs="宋体"/>
          <w:bCs w:val="0"/>
          <w:color w:val="auto"/>
          <w:kern w:val="2"/>
          <w:sz w:val="21"/>
          <w:szCs w:val="21"/>
          <w:highlight w:val="none"/>
          <w:lang w:val="en-US" w:eastAsia="zh-CN" w:bidi="ar-SA"/>
        </w:rPr>
        <w:t>12.3 计量</w:t>
      </w:r>
      <w:bookmarkEnd w:id="565"/>
      <w:bookmarkEnd w:id="566"/>
    </w:p>
    <w:p w14:paraId="70726389">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12.3.1 计量原则</w:t>
      </w:r>
    </w:p>
    <w:p w14:paraId="7041BAB3">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工程量计算规则：</w:t>
      </w:r>
      <w:r>
        <w:rPr>
          <w:rFonts w:hint="eastAsia" w:ascii="宋体" w:hAnsi="宋体" w:eastAsia="宋体" w:cs="宋体"/>
          <w:color w:val="auto"/>
          <w:sz w:val="21"/>
          <w:szCs w:val="21"/>
          <w:highlight w:val="none"/>
          <w:u w:val="single"/>
        </w:rPr>
        <w:t xml:space="preserve">   现行国家标准《建设工程工程量清单计价规范》    </w:t>
      </w:r>
      <w:r>
        <w:rPr>
          <w:rFonts w:hint="eastAsia" w:ascii="宋体" w:hAnsi="宋体" w:eastAsia="宋体" w:cs="宋体"/>
          <w:color w:val="auto"/>
          <w:sz w:val="21"/>
          <w:szCs w:val="21"/>
          <w:highlight w:val="none"/>
        </w:rPr>
        <w:t>。</w:t>
      </w:r>
    </w:p>
    <w:p w14:paraId="7F89D9C0">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12.3.2 计量周期</w:t>
      </w:r>
    </w:p>
    <w:p w14:paraId="54DBE399">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关于计量周期的约定：</w:t>
      </w:r>
      <w:r>
        <w:rPr>
          <w:rFonts w:hint="eastAsia" w:ascii="宋体" w:hAnsi="宋体" w:eastAsia="宋体" w:cs="宋体"/>
          <w:color w:val="auto"/>
          <w:sz w:val="21"/>
          <w:szCs w:val="21"/>
          <w:highlight w:val="none"/>
          <w:u w:val="single"/>
        </w:rPr>
        <w:t xml:space="preserve">   按月度计量   </w:t>
      </w:r>
      <w:r>
        <w:rPr>
          <w:rFonts w:hint="eastAsia" w:ascii="宋体" w:hAnsi="宋体" w:eastAsia="宋体" w:cs="宋体"/>
          <w:color w:val="auto"/>
          <w:sz w:val="21"/>
          <w:szCs w:val="21"/>
          <w:highlight w:val="none"/>
        </w:rPr>
        <w:t>。</w:t>
      </w:r>
    </w:p>
    <w:p w14:paraId="5C0A6309">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12.3.3 单价合同的计量</w:t>
      </w:r>
    </w:p>
    <w:p w14:paraId="00DE0E37">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关于单价合同计量的约定：</w:t>
      </w:r>
      <w:r>
        <w:rPr>
          <w:rFonts w:hint="eastAsia" w:ascii="宋体" w:hAnsi="宋体" w:eastAsia="宋体" w:cs="宋体"/>
          <w:color w:val="auto"/>
          <w:sz w:val="21"/>
          <w:szCs w:val="21"/>
          <w:highlight w:val="none"/>
          <w:u w:val="single"/>
        </w:rPr>
        <w:t xml:space="preserve">   按月度计量   </w:t>
      </w:r>
      <w:r>
        <w:rPr>
          <w:rFonts w:hint="eastAsia" w:ascii="宋体" w:hAnsi="宋体" w:eastAsia="宋体" w:cs="宋体"/>
          <w:color w:val="auto"/>
          <w:sz w:val="21"/>
          <w:szCs w:val="21"/>
          <w:highlight w:val="none"/>
        </w:rPr>
        <w:t>。</w:t>
      </w:r>
    </w:p>
    <w:p w14:paraId="524ECFD4">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12.3.4 总价合同的计量</w:t>
      </w:r>
    </w:p>
    <w:p w14:paraId="1EA4DF89">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关于总价合同计量的约定：</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7D8DC138">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12.3.5总价合同采用支付分解表计量支付的，是否适用第</w:t>
      </w:r>
      <w:r>
        <w:rPr>
          <w:rFonts w:hint="eastAsia" w:ascii="宋体" w:hAnsi="宋体" w:eastAsia="宋体" w:cs="宋体"/>
          <w:color w:val="auto"/>
          <w:kern w:val="0"/>
          <w:sz w:val="21"/>
          <w:szCs w:val="21"/>
          <w:highlight w:val="none"/>
        </w:rPr>
        <w:t xml:space="preserve">12.3.4 </w:t>
      </w:r>
      <w:r>
        <w:rPr>
          <w:rFonts w:hint="eastAsia" w:ascii="宋体" w:hAnsi="宋体" w:eastAsia="宋体" w:cs="宋体"/>
          <w:color w:val="auto"/>
          <w:sz w:val="21"/>
          <w:szCs w:val="21"/>
          <w:highlight w:val="none"/>
        </w:rPr>
        <w:t>项</w:t>
      </w:r>
      <w:r>
        <w:rPr>
          <w:rFonts w:hint="eastAsia" w:ascii="宋体" w:hAnsi="宋体" w:eastAsia="宋体" w:cs="宋体"/>
          <w:color w:val="auto"/>
          <w:kern w:val="0"/>
          <w:sz w:val="21"/>
          <w:szCs w:val="21"/>
          <w:highlight w:val="none"/>
        </w:rPr>
        <w:t>〔总价合同的计量〕</w:t>
      </w:r>
      <w:r>
        <w:rPr>
          <w:rFonts w:hint="eastAsia" w:ascii="宋体" w:hAnsi="宋体" w:eastAsia="宋体" w:cs="宋体"/>
          <w:color w:val="auto"/>
          <w:sz w:val="21"/>
          <w:szCs w:val="21"/>
          <w:highlight w:val="none"/>
        </w:rPr>
        <w:t>约定进行计量：</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3A355089">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12.3.6 其他价格形式合同的计量</w:t>
      </w:r>
    </w:p>
    <w:p w14:paraId="4C346003">
      <w:pPr>
        <w:pageBreakBefore w:val="0"/>
        <w:kinsoku/>
        <w:wordWrap/>
        <w:overflowPunct/>
        <w:topLinePunct w:val="0"/>
        <w:bidi w:val="0"/>
        <w:snapToGrid/>
        <w:spacing w:after="0" w:afterLines="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其他价格形式的计量方式和程序：</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62F4C7BA">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right="0" w:firstLine="210" w:firstLineChars="100"/>
        <w:jc w:val="both"/>
        <w:textAlignment w:val="auto"/>
        <w:outlineLvl w:val="2"/>
        <w:rPr>
          <w:rFonts w:hint="eastAsia" w:ascii="宋体" w:hAnsi="宋体" w:eastAsia="宋体" w:cs="宋体"/>
          <w:bCs w:val="0"/>
          <w:color w:val="auto"/>
          <w:kern w:val="2"/>
          <w:sz w:val="21"/>
          <w:szCs w:val="21"/>
          <w:highlight w:val="none"/>
          <w:lang w:val="en-US" w:eastAsia="zh-CN" w:bidi="ar-SA"/>
        </w:rPr>
      </w:pPr>
      <w:bookmarkStart w:id="567" w:name="_Toc21809"/>
      <w:bookmarkStart w:id="568" w:name="_Toc19946"/>
      <w:r>
        <w:rPr>
          <w:rFonts w:hint="eastAsia" w:ascii="宋体" w:hAnsi="宋体" w:eastAsia="宋体" w:cs="宋体"/>
          <w:bCs w:val="0"/>
          <w:color w:val="auto"/>
          <w:kern w:val="2"/>
          <w:sz w:val="21"/>
          <w:szCs w:val="21"/>
          <w:highlight w:val="none"/>
          <w:lang w:val="en-US" w:eastAsia="zh-CN" w:bidi="ar-SA"/>
        </w:rPr>
        <w:t>12.4 工程进度款支付</w:t>
      </w:r>
      <w:bookmarkEnd w:id="567"/>
      <w:bookmarkEnd w:id="568"/>
    </w:p>
    <w:p w14:paraId="4A5B8032">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bookmarkStart w:id="569" w:name="_Toc296346712"/>
      <w:bookmarkStart w:id="570" w:name="_Toc297120511"/>
      <w:bookmarkStart w:id="571" w:name="_Toc296944550"/>
      <w:bookmarkStart w:id="572" w:name="_Toc297048397"/>
      <w:bookmarkStart w:id="573" w:name="_Toc292559416"/>
      <w:bookmarkStart w:id="574" w:name="_Toc296891039"/>
      <w:bookmarkStart w:id="575" w:name="_Toc300935006"/>
      <w:bookmarkStart w:id="576" w:name="_Toc292559921"/>
      <w:bookmarkStart w:id="577" w:name="_Toc296891251"/>
      <w:bookmarkStart w:id="578" w:name="_Toc297216215"/>
      <w:bookmarkStart w:id="579" w:name="_Toc303539163"/>
      <w:bookmarkStart w:id="580" w:name="_Toc296347210"/>
      <w:bookmarkStart w:id="581" w:name="_Toc297123556"/>
      <w:bookmarkStart w:id="582" w:name="_Toc296503211"/>
      <w:r>
        <w:rPr>
          <w:rFonts w:hint="eastAsia" w:ascii="宋体" w:hAnsi="宋体" w:eastAsia="宋体" w:cs="宋体"/>
          <w:color w:val="auto"/>
          <w:sz w:val="21"/>
          <w:szCs w:val="21"/>
          <w:highlight w:val="none"/>
        </w:rPr>
        <w:t>12.4.1 付款周期</w:t>
      </w:r>
    </w:p>
    <w:p w14:paraId="2492B94E">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关于付款周期的约定：</w:t>
      </w:r>
      <w:r>
        <w:rPr>
          <w:rFonts w:hint="eastAsia" w:ascii="宋体" w:hAnsi="宋体" w:eastAsia="宋体" w:cs="宋体"/>
          <w:color w:val="auto"/>
          <w:sz w:val="21"/>
          <w:szCs w:val="21"/>
          <w:highlight w:val="none"/>
          <w:u w:val="single"/>
        </w:rPr>
        <w:t xml:space="preserve">  按月度付款   </w:t>
      </w:r>
      <w:r>
        <w:rPr>
          <w:rFonts w:hint="eastAsia" w:ascii="宋体" w:hAnsi="宋体" w:eastAsia="宋体" w:cs="宋体"/>
          <w:color w:val="auto"/>
          <w:sz w:val="21"/>
          <w:szCs w:val="21"/>
          <w:highlight w:val="none"/>
        </w:rPr>
        <w:t>。</w:t>
      </w:r>
    </w:p>
    <w:p w14:paraId="53E35AFA">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12.4.2 进度付款申请单的编制</w:t>
      </w:r>
    </w:p>
    <w:p w14:paraId="27CB59E2">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关于进度付款申请单编制的约定：</w:t>
      </w:r>
    </w:p>
    <w:p w14:paraId="0E5C9868">
      <w:pPr>
        <w:pageBreakBefore w:val="0"/>
        <w:kinsoku/>
        <w:overflowPunct/>
        <w:bidi w:val="0"/>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（1）工程进度款按月支付，每月进度款额度为该月完成计量产值的80%，累计支付至合同签约价的80%时停止支付；</w:t>
      </w:r>
    </w:p>
    <w:p w14:paraId="107D247C">
      <w:pPr>
        <w:pageBreakBefore w:val="0"/>
        <w:kinsoku/>
        <w:overflowPunct/>
        <w:bidi w:val="0"/>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（2）在工程完成竣工验收后，支付至合同签约价的85%；</w:t>
      </w:r>
    </w:p>
    <w:p w14:paraId="09B95956">
      <w:pPr>
        <w:pageBreakBefore w:val="0"/>
        <w:kinsoku/>
        <w:overflowPunct/>
        <w:bidi w:val="0"/>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（3）工程竣工验收合格并结算审核完成后，支付至结算审定金额的97%；</w:t>
      </w:r>
    </w:p>
    <w:p w14:paraId="05A08B3D">
      <w:pPr>
        <w:pageBreakBefore w:val="0"/>
        <w:kinsoku/>
        <w:overflowPunct/>
        <w:bidi w:val="0"/>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（4）结算审定金额的3%作为保留工程质量保证金，在工程缺陷责任期满后，承包人提出付款申请，发包人根据工程缺陷责任期的工程质量保修情况无息支付剩余金额。</w:t>
      </w:r>
    </w:p>
    <w:p w14:paraId="39239572">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r>
        <w:rPr>
          <w:rFonts w:hint="eastAsia" w:ascii="宋体" w:hAnsi="宋体" w:eastAsia="宋体" w:cs="宋体"/>
          <w:color w:val="auto"/>
          <w:sz w:val="21"/>
          <w:szCs w:val="21"/>
          <w:highlight w:val="none"/>
        </w:rPr>
        <w:t>2.4.3 进度付款申请单的提交</w:t>
      </w:r>
    </w:p>
    <w:p w14:paraId="0A1F78FE">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（1）单价合同进度付款申请单提交的约定：</w:t>
      </w:r>
      <w:r>
        <w:rPr>
          <w:rFonts w:hint="eastAsia" w:ascii="宋体" w:hAnsi="宋体" w:eastAsia="宋体" w:cs="宋体"/>
          <w:color w:val="auto"/>
          <w:sz w:val="21"/>
          <w:szCs w:val="21"/>
          <w:highlight w:val="none"/>
          <w:u w:val="single"/>
        </w:rPr>
        <w:t xml:space="preserve">  按合同通用条款执行  </w:t>
      </w:r>
      <w:r>
        <w:rPr>
          <w:rFonts w:hint="eastAsia" w:ascii="宋体" w:hAnsi="宋体" w:eastAsia="宋体" w:cs="宋体"/>
          <w:color w:val="auto"/>
          <w:sz w:val="21"/>
          <w:szCs w:val="21"/>
          <w:highlight w:val="none"/>
        </w:rPr>
        <w:t>。</w:t>
      </w:r>
    </w:p>
    <w:p w14:paraId="36999369">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（2）总价合同进度付款申请单提交的约定：</w:t>
      </w:r>
      <w:r>
        <w:rPr>
          <w:rFonts w:hint="eastAsia" w:ascii="宋体" w:hAnsi="宋体" w:eastAsia="宋体" w:cs="宋体"/>
          <w:color w:val="auto"/>
          <w:sz w:val="21"/>
          <w:szCs w:val="21"/>
          <w:highlight w:val="none"/>
          <w:u w:val="single"/>
        </w:rPr>
        <w:t xml:space="preserve">   按合同通用条款执行   </w:t>
      </w:r>
      <w:r>
        <w:rPr>
          <w:rFonts w:hint="eastAsia" w:ascii="宋体" w:hAnsi="宋体" w:eastAsia="宋体" w:cs="宋体"/>
          <w:color w:val="auto"/>
          <w:sz w:val="21"/>
          <w:szCs w:val="21"/>
          <w:highlight w:val="none"/>
        </w:rPr>
        <w:t>。</w:t>
      </w:r>
    </w:p>
    <w:p w14:paraId="5CDF50FF">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（3）其他价格形式合同进度付款申请单提交的约定：</w:t>
      </w:r>
      <w:r>
        <w:rPr>
          <w:rFonts w:hint="eastAsia" w:ascii="宋体" w:hAnsi="宋体" w:eastAsia="宋体" w:cs="宋体"/>
          <w:color w:val="auto"/>
          <w:sz w:val="21"/>
          <w:szCs w:val="21"/>
          <w:highlight w:val="none"/>
          <w:u w:val="single"/>
        </w:rPr>
        <w:t xml:space="preserve">   按合同通用条款执行   </w:t>
      </w:r>
      <w:r>
        <w:rPr>
          <w:rFonts w:hint="eastAsia" w:ascii="宋体" w:hAnsi="宋体" w:eastAsia="宋体" w:cs="宋体"/>
          <w:color w:val="auto"/>
          <w:sz w:val="21"/>
          <w:szCs w:val="21"/>
          <w:highlight w:val="none"/>
        </w:rPr>
        <w:t>。</w:t>
      </w:r>
    </w:p>
    <w:p w14:paraId="5DD9C6A0">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12.4.4 进度款审核和支付</w:t>
      </w:r>
    </w:p>
    <w:p w14:paraId="0C7C5DCB">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（1）监理人审查并报送发包人的期限：</w:t>
      </w:r>
      <w:r>
        <w:rPr>
          <w:rFonts w:hint="eastAsia" w:ascii="宋体" w:hAnsi="宋体" w:eastAsia="宋体" w:cs="宋体"/>
          <w:color w:val="auto"/>
          <w:sz w:val="21"/>
          <w:szCs w:val="21"/>
          <w:highlight w:val="none"/>
          <w:u w:val="single"/>
        </w:rPr>
        <w:t xml:space="preserve">  收到承包人付款申请后7天内  </w:t>
      </w:r>
      <w:r>
        <w:rPr>
          <w:rFonts w:hint="eastAsia" w:ascii="宋体" w:hAnsi="宋体" w:eastAsia="宋体" w:cs="宋体"/>
          <w:color w:val="auto"/>
          <w:sz w:val="21"/>
          <w:szCs w:val="21"/>
          <w:highlight w:val="none"/>
        </w:rPr>
        <w:t>。</w:t>
      </w:r>
    </w:p>
    <w:p w14:paraId="45622F2B">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发包人完成审批并签发进度款支付证书的期限：</w:t>
      </w:r>
      <w:r>
        <w:rPr>
          <w:rFonts w:hint="eastAsia" w:ascii="宋体" w:hAnsi="宋体" w:eastAsia="宋体" w:cs="宋体"/>
          <w:color w:val="auto"/>
          <w:sz w:val="21"/>
          <w:szCs w:val="21"/>
          <w:highlight w:val="none"/>
          <w:u w:val="single"/>
        </w:rPr>
        <w:t xml:space="preserve">  收到后7天内  </w:t>
      </w:r>
      <w:r>
        <w:rPr>
          <w:rFonts w:hint="eastAsia" w:ascii="宋体" w:hAnsi="宋体" w:eastAsia="宋体" w:cs="宋体"/>
          <w:color w:val="auto"/>
          <w:sz w:val="21"/>
          <w:szCs w:val="21"/>
          <w:highlight w:val="none"/>
        </w:rPr>
        <w:t>。</w:t>
      </w:r>
    </w:p>
    <w:p w14:paraId="08084CFF">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（2）发包人支付进度款的期限：</w:t>
      </w:r>
      <w:r>
        <w:rPr>
          <w:rFonts w:hint="eastAsia" w:ascii="宋体" w:hAnsi="宋体" w:eastAsia="宋体" w:cs="宋体"/>
          <w:color w:val="auto"/>
          <w:sz w:val="21"/>
          <w:szCs w:val="21"/>
          <w:highlight w:val="none"/>
          <w:u w:val="single"/>
        </w:rPr>
        <w:t xml:space="preserve">   在进度款支付证书签发后21天内  </w:t>
      </w:r>
      <w:r>
        <w:rPr>
          <w:rFonts w:hint="eastAsia" w:ascii="宋体" w:hAnsi="宋体" w:eastAsia="宋体" w:cs="宋体"/>
          <w:color w:val="auto"/>
          <w:sz w:val="21"/>
          <w:szCs w:val="21"/>
          <w:highlight w:val="none"/>
        </w:rPr>
        <w:t>。</w:t>
      </w:r>
    </w:p>
    <w:p w14:paraId="76CA94A6">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发包人逾期支付进度款的违约金的计算方式：</w:t>
      </w:r>
      <w:r>
        <w:rPr>
          <w:rFonts w:hint="eastAsia" w:ascii="宋体" w:hAnsi="宋体" w:eastAsia="宋体" w:cs="宋体"/>
          <w:color w:val="auto"/>
          <w:sz w:val="21"/>
          <w:szCs w:val="21"/>
          <w:highlight w:val="none"/>
          <w:u w:val="single"/>
        </w:rPr>
        <w:t xml:space="preserve">   按照中国人民银行发布的同期同类贷款基准利率支付违约金  </w:t>
      </w:r>
      <w:r>
        <w:rPr>
          <w:rFonts w:hint="eastAsia" w:ascii="宋体" w:hAnsi="宋体" w:eastAsia="宋体" w:cs="宋体"/>
          <w:color w:val="auto"/>
          <w:sz w:val="21"/>
          <w:szCs w:val="21"/>
          <w:highlight w:val="none"/>
        </w:rPr>
        <w:t>。</w:t>
      </w:r>
    </w:p>
    <w:p w14:paraId="680CFE1C">
      <w:pPr>
        <w:pageBreakBefore w:val="0"/>
        <w:kinsoku/>
        <w:wordWrap/>
        <w:overflowPunct/>
        <w:topLinePunct w:val="0"/>
        <w:bidi w:val="0"/>
        <w:snapToGrid/>
        <w:spacing w:after="0" w:afterLines="0" w:line="360" w:lineRule="auto"/>
        <w:ind w:firstLine="525" w:firstLineChars="2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 xml:space="preserve"> 支付分解表的编制</w:t>
      </w:r>
    </w:p>
    <w:p w14:paraId="68196E51">
      <w:pPr>
        <w:pageBreakBefore w:val="0"/>
        <w:kinsoku/>
        <w:wordWrap/>
        <w:overflowPunct/>
        <w:topLinePunct w:val="0"/>
        <w:bidi w:val="0"/>
        <w:snapToGrid/>
        <w:spacing w:after="0" w:afterLines="0" w:line="360" w:lineRule="auto"/>
        <w:ind w:left="4260" w:leftChars="200" w:hanging="3780" w:hangingChars="18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1、总价合同支付分解表的编制与审批：</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6E12F333">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2、单价合同的总价项目支付分解表的编制与审批：</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5B40D127">
      <w:pPr>
        <w:pStyle w:val="6"/>
        <w:pageBreakBefore w:val="0"/>
        <w:kinsoku/>
        <w:wordWrap/>
        <w:overflowPunct/>
        <w:topLinePunct w:val="0"/>
        <w:bidi w:val="0"/>
        <w:snapToGrid/>
        <w:spacing w:after="0" w:afterLines="0" w:line="360" w:lineRule="auto"/>
        <w:textAlignment w:val="auto"/>
        <w:outlineLvl w:val="1"/>
        <w:rPr>
          <w:rFonts w:hint="eastAsia" w:ascii="宋体" w:hAnsi="宋体" w:eastAsia="宋体" w:cs="宋体"/>
          <w:b w:val="0"/>
          <w:bCs w:val="0"/>
          <w:color w:val="auto"/>
          <w:kern w:val="2"/>
          <w:sz w:val="21"/>
          <w:szCs w:val="21"/>
          <w:highlight w:val="none"/>
          <w:lang w:val="en-US" w:eastAsia="zh-CN" w:bidi="ar-SA"/>
        </w:rPr>
      </w:pPr>
      <w:bookmarkStart w:id="583" w:name="_Toc351203645"/>
      <w:bookmarkStart w:id="584" w:name="_Toc7134"/>
      <w:bookmarkStart w:id="585" w:name="_Toc24968"/>
      <w:bookmarkStart w:id="586" w:name="_Toc21357"/>
      <w:bookmarkStart w:id="587" w:name="_Toc23944"/>
      <w:bookmarkStart w:id="588" w:name="_Toc16764"/>
      <w:bookmarkStart w:id="589" w:name="_Toc300935015"/>
      <w:bookmarkStart w:id="590" w:name="_Toc292559424"/>
      <w:bookmarkStart w:id="591" w:name="_Toc312678053"/>
      <w:bookmarkStart w:id="592" w:name="_Toc297123564"/>
      <w:bookmarkStart w:id="593" w:name="_Toc297120519"/>
      <w:bookmarkStart w:id="594" w:name="_Toc296347218"/>
      <w:bookmarkStart w:id="595" w:name="_Toc296503219"/>
      <w:bookmarkStart w:id="596" w:name="_Toc303539172"/>
      <w:bookmarkStart w:id="597" w:name="_Toc304295593"/>
      <w:bookmarkStart w:id="598" w:name="_Toc296944558"/>
      <w:bookmarkStart w:id="599" w:name="_Toc297216223"/>
      <w:bookmarkStart w:id="600" w:name="_Toc296891047"/>
      <w:bookmarkStart w:id="601" w:name="_Toc292559929"/>
      <w:bookmarkStart w:id="602" w:name="_Toc297048405"/>
      <w:bookmarkStart w:id="603" w:name="_Toc296891259"/>
      <w:bookmarkStart w:id="604" w:name="_Toc296346720"/>
      <w:r>
        <w:rPr>
          <w:rFonts w:hint="eastAsia" w:ascii="宋体" w:hAnsi="宋体" w:eastAsia="宋体" w:cs="宋体"/>
          <w:b w:val="0"/>
          <w:bCs w:val="0"/>
          <w:color w:val="auto"/>
          <w:kern w:val="2"/>
          <w:sz w:val="21"/>
          <w:szCs w:val="21"/>
          <w:highlight w:val="none"/>
          <w:lang w:val="en-US" w:eastAsia="zh-CN" w:bidi="ar-SA"/>
        </w:rPr>
        <w:t>13. 验收和工程试车</w:t>
      </w:r>
      <w:bookmarkEnd w:id="583"/>
      <w:bookmarkEnd w:id="584"/>
      <w:bookmarkEnd w:id="585"/>
      <w:bookmarkEnd w:id="586"/>
      <w:bookmarkEnd w:id="587"/>
      <w:bookmarkEnd w:id="588"/>
    </w:p>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p w14:paraId="583CAD66">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13.1 分部分项工程验收</w:t>
      </w:r>
    </w:p>
    <w:p w14:paraId="22A0D08D">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监理人不能按时进行验收时，应提前</w:t>
      </w:r>
      <w:r>
        <w:rPr>
          <w:rFonts w:hint="eastAsia" w:ascii="宋体" w:hAnsi="宋体" w:eastAsia="宋体" w:cs="宋体"/>
          <w:color w:val="auto"/>
          <w:sz w:val="21"/>
          <w:szCs w:val="21"/>
          <w:highlight w:val="none"/>
          <w:u w:val="single"/>
        </w:rPr>
        <w:t xml:space="preserve">  24  </w:t>
      </w:r>
      <w:r>
        <w:rPr>
          <w:rFonts w:hint="eastAsia" w:ascii="宋体" w:hAnsi="宋体" w:eastAsia="宋体" w:cs="宋体"/>
          <w:color w:val="auto"/>
          <w:sz w:val="21"/>
          <w:szCs w:val="21"/>
          <w:highlight w:val="none"/>
        </w:rPr>
        <w:t>小时提交书面延期要求。</w:t>
      </w:r>
    </w:p>
    <w:p w14:paraId="7F22A93E">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关于延期最长不得超过：</w:t>
      </w:r>
      <w:r>
        <w:rPr>
          <w:rFonts w:hint="eastAsia" w:ascii="宋体" w:hAnsi="宋体" w:eastAsia="宋体" w:cs="宋体"/>
          <w:color w:val="auto"/>
          <w:sz w:val="21"/>
          <w:szCs w:val="21"/>
          <w:highlight w:val="none"/>
          <w:u w:val="single"/>
        </w:rPr>
        <w:t xml:space="preserve">  24  </w:t>
      </w:r>
      <w:r>
        <w:rPr>
          <w:rFonts w:hint="eastAsia" w:ascii="宋体" w:hAnsi="宋体" w:eastAsia="宋体" w:cs="宋体"/>
          <w:color w:val="auto"/>
          <w:sz w:val="21"/>
          <w:szCs w:val="21"/>
          <w:highlight w:val="none"/>
        </w:rPr>
        <w:t>小时。</w:t>
      </w:r>
    </w:p>
    <w:p w14:paraId="3A1DF9D4">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bookmarkStart w:id="605" w:name="_Toc297120523"/>
      <w:bookmarkStart w:id="606" w:name="_Toc292559428"/>
      <w:bookmarkStart w:id="607" w:name="_Toc296891051"/>
      <w:bookmarkStart w:id="608" w:name="_Toc296944562"/>
      <w:bookmarkStart w:id="609" w:name="_Toc303539173"/>
      <w:bookmarkStart w:id="610" w:name="_Toc296346724"/>
      <w:bookmarkStart w:id="611" w:name="_Toc297216224"/>
      <w:bookmarkStart w:id="612" w:name="_Toc292559933"/>
      <w:bookmarkStart w:id="613" w:name="_Toc304295596"/>
      <w:bookmarkStart w:id="614" w:name="_Toc297048409"/>
      <w:bookmarkStart w:id="615" w:name="_Toc300935016"/>
      <w:bookmarkStart w:id="616" w:name="_Toc296891263"/>
      <w:bookmarkStart w:id="617" w:name="_Toc312678056"/>
      <w:bookmarkStart w:id="618" w:name="_Toc296503223"/>
      <w:bookmarkStart w:id="619" w:name="_Toc296347222"/>
      <w:bookmarkStart w:id="620" w:name="_Toc297123565"/>
      <w:bookmarkStart w:id="621" w:name="_Toc267251476"/>
      <w:bookmarkStart w:id="622" w:name="_Toc267251471"/>
      <w:bookmarkStart w:id="623" w:name="_Toc267251470"/>
      <w:bookmarkStart w:id="624" w:name="_Toc267251475"/>
      <w:bookmarkStart w:id="625" w:name="_Toc267251474"/>
      <w:bookmarkStart w:id="626" w:name="_Toc267251473"/>
      <w:bookmarkStart w:id="627" w:name="_Toc267251472"/>
      <w:r>
        <w:rPr>
          <w:rFonts w:hint="eastAsia" w:ascii="宋体" w:hAnsi="宋体" w:eastAsia="宋体" w:cs="宋体"/>
          <w:b w:val="0"/>
          <w:bCs w:val="0"/>
          <w:color w:val="auto"/>
          <w:kern w:val="2"/>
          <w:sz w:val="21"/>
          <w:szCs w:val="21"/>
          <w:highlight w:val="none"/>
          <w:lang w:val="en-US" w:eastAsia="zh-CN" w:bidi="ar-SA"/>
        </w:rPr>
        <w:t>13.2 竣工验收</w:t>
      </w:r>
    </w:p>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14:paraId="6CF74385">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bookmarkStart w:id="628" w:name="_Toc280868704"/>
      <w:bookmarkStart w:id="629" w:name="_Toc280868705"/>
      <w:bookmarkStart w:id="630" w:name="_Toc280868706"/>
      <w:bookmarkStart w:id="631" w:name="_Toc280868707"/>
      <w:bookmarkStart w:id="632" w:name="_Toc280868708"/>
      <w:bookmarkStart w:id="633" w:name="_Toc280868709"/>
      <w:r>
        <w:rPr>
          <w:rFonts w:hint="eastAsia" w:ascii="宋体" w:hAnsi="宋体" w:eastAsia="宋体" w:cs="宋体"/>
          <w:color w:val="auto"/>
          <w:sz w:val="21"/>
          <w:szCs w:val="21"/>
          <w:highlight w:val="none"/>
        </w:rPr>
        <w:t>13.2.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竣工验收程序</w:t>
      </w:r>
    </w:p>
    <w:bookmarkEnd w:id="628"/>
    <w:p w14:paraId="51B04E08">
      <w:pPr>
        <w:pageBreakBefore w:val="0"/>
        <w:kinsoku/>
        <w:wordWrap/>
        <w:overflowPunct/>
        <w:topLinePunct w:val="0"/>
        <w:bidi w:val="0"/>
        <w:snapToGrid/>
        <w:spacing w:after="0" w:afterLines="0" w:line="360" w:lineRule="auto"/>
        <w:ind w:left="4248" w:leftChars="195" w:hanging="3780" w:hangingChars="18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关于竣工验收程序的约定：</w:t>
      </w:r>
      <w:r>
        <w:rPr>
          <w:rFonts w:hint="eastAsia" w:ascii="宋体" w:hAnsi="宋体" w:eastAsia="宋体" w:cs="宋体"/>
          <w:color w:val="auto"/>
          <w:sz w:val="21"/>
          <w:szCs w:val="21"/>
          <w:highlight w:val="none"/>
          <w:u w:val="single"/>
        </w:rPr>
        <w:t xml:space="preserve">   按合同通用条款执行    </w:t>
      </w:r>
      <w:r>
        <w:rPr>
          <w:rFonts w:hint="eastAsia" w:ascii="宋体" w:hAnsi="宋体" w:eastAsia="宋体" w:cs="宋体"/>
          <w:color w:val="auto"/>
          <w:sz w:val="21"/>
          <w:szCs w:val="21"/>
          <w:highlight w:val="none"/>
        </w:rPr>
        <w:t>。</w:t>
      </w:r>
    </w:p>
    <w:p w14:paraId="6539EB13">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发包人不按照本项约定组织竣工验收、颁发工程接收证书的违约金的计算方法：</w:t>
      </w:r>
      <w:r>
        <w:rPr>
          <w:rFonts w:hint="eastAsia" w:ascii="宋体" w:hAnsi="宋体" w:eastAsia="宋体" w:cs="宋体"/>
          <w:color w:val="auto"/>
          <w:sz w:val="21"/>
          <w:szCs w:val="21"/>
          <w:highlight w:val="none"/>
          <w:u w:val="single"/>
        </w:rPr>
        <w:t xml:space="preserve">   按合同通用条款执行    </w:t>
      </w:r>
      <w:r>
        <w:rPr>
          <w:rFonts w:hint="eastAsia" w:ascii="宋体" w:hAnsi="宋体" w:eastAsia="宋体" w:cs="宋体"/>
          <w:color w:val="auto"/>
          <w:sz w:val="21"/>
          <w:szCs w:val="21"/>
          <w:highlight w:val="none"/>
        </w:rPr>
        <w:t>。</w:t>
      </w:r>
    </w:p>
    <w:bookmarkEnd w:id="629"/>
    <w:p w14:paraId="1C469608">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移交、接收全部与部分工程</w:t>
      </w:r>
    </w:p>
    <w:bookmarkEnd w:id="630"/>
    <w:p w14:paraId="0E25CB2D">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承包人向发包人移交工程的期限：</w:t>
      </w:r>
      <w:r>
        <w:rPr>
          <w:rFonts w:hint="eastAsia" w:ascii="宋体" w:hAnsi="宋体" w:eastAsia="宋体" w:cs="宋体"/>
          <w:color w:val="auto"/>
          <w:sz w:val="21"/>
          <w:szCs w:val="21"/>
          <w:highlight w:val="none"/>
          <w:u w:val="single"/>
        </w:rPr>
        <w:t xml:space="preserve">  按合同通用条款  </w:t>
      </w:r>
      <w:r>
        <w:rPr>
          <w:rFonts w:hint="eastAsia" w:ascii="宋体" w:hAnsi="宋体" w:eastAsia="宋体" w:cs="宋体"/>
          <w:color w:val="auto"/>
          <w:sz w:val="21"/>
          <w:szCs w:val="21"/>
          <w:highlight w:val="none"/>
        </w:rPr>
        <w:t>。</w:t>
      </w:r>
    </w:p>
    <w:p w14:paraId="16D0BC66">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发包人未按本合同约定接收全部或部分工程的，违约金的计算方法为：</w:t>
      </w:r>
      <w:r>
        <w:rPr>
          <w:rFonts w:hint="eastAsia" w:ascii="宋体" w:hAnsi="宋体" w:eastAsia="宋体" w:cs="宋体"/>
          <w:color w:val="auto"/>
          <w:sz w:val="21"/>
          <w:szCs w:val="21"/>
          <w:highlight w:val="none"/>
          <w:u w:val="single"/>
        </w:rPr>
        <w:t xml:space="preserve">  逾期14天后，从第15天开始计算逾期时间，每逾期一天，应以签约合同价为基数，按照中国人民银行发布的同期同类贷款基准利率支付违约金</w:t>
      </w:r>
      <w:r>
        <w:rPr>
          <w:rFonts w:hint="eastAsia" w:ascii="宋体" w:hAnsi="宋体" w:eastAsia="宋体" w:cs="宋体"/>
          <w:color w:val="auto"/>
          <w:sz w:val="21"/>
          <w:szCs w:val="21"/>
          <w:highlight w:val="none"/>
        </w:rPr>
        <w:t>。</w:t>
      </w:r>
    </w:p>
    <w:bookmarkEnd w:id="631"/>
    <w:p w14:paraId="47E98EC0">
      <w:pPr>
        <w:pageBreakBefore w:val="0"/>
        <w:kinsoku/>
        <w:wordWrap/>
        <w:overflowPunct/>
        <w:topLinePunct w:val="0"/>
        <w:bidi w:val="0"/>
        <w:snapToGrid/>
        <w:spacing w:after="0" w:afterLines="0" w:line="360"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承包人未按时移交工程的，违约金的计算方法为：</w:t>
      </w:r>
      <w:r>
        <w:rPr>
          <w:rFonts w:hint="eastAsia" w:ascii="宋体" w:hAnsi="宋体" w:eastAsia="宋体" w:cs="宋体"/>
          <w:color w:val="auto"/>
          <w:kern w:val="2"/>
          <w:sz w:val="21"/>
          <w:szCs w:val="21"/>
          <w:highlight w:val="none"/>
          <w:u w:val="single"/>
          <w:lang w:val="en-US" w:eastAsia="zh-CN" w:bidi="ar"/>
        </w:rPr>
        <w:t xml:space="preserve">每延误一天承包人向发包人支付签约合同价万分之一的违约金     </w:t>
      </w:r>
      <w:r>
        <w:rPr>
          <w:rFonts w:hint="eastAsia" w:ascii="宋体" w:hAnsi="宋体" w:eastAsia="宋体" w:cs="宋体"/>
          <w:color w:val="auto"/>
          <w:kern w:val="2"/>
          <w:sz w:val="21"/>
          <w:szCs w:val="21"/>
          <w:highlight w:val="none"/>
          <w:lang w:val="en-US" w:eastAsia="zh-CN" w:bidi="ar"/>
        </w:rPr>
        <w:t>。</w:t>
      </w:r>
    </w:p>
    <w:p w14:paraId="02DA4456">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13.3 工程试车</w:t>
      </w:r>
    </w:p>
    <w:bookmarkEnd w:id="632"/>
    <w:p w14:paraId="7C4A9A91">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13.3.1 试车程序</w:t>
      </w:r>
    </w:p>
    <w:p w14:paraId="352304D1">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工程试车内容：</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7D97BA41">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（1）单机无负荷试车费用由</w:t>
      </w:r>
      <w:r>
        <w:rPr>
          <w:rFonts w:hint="eastAsia" w:ascii="宋体" w:hAnsi="宋体" w:eastAsia="宋体" w:cs="宋体"/>
          <w:color w:val="auto"/>
          <w:sz w:val="21"/>
          <w:szCs w:val="21"/>
          <w:highlight w:val="none"/>
          <w:u w:val="single"/>
        </w:rPr>
        <w:t xml:space="preserve">   承包人   </w:t>
      </w:r>
      <w:r>
        <w:rPr>
          <w:rFonts w:hint="eastAsia" w:ascii="宋体" w:hAnsi="宋体" w:eastAsia="宋体" w:cs="宋体"/>
          <w:color w:val="auto"/>
          <w:kern w:val="0"/>
          <w:sz w:val="21"/>
          <w:szCs w:val="21"/>
          <w:highlight w:val="none"/>
        </w:rPr>
        <w:t>承担；</w:t>
      </w:r>
    </w:p>
    <w:p w14:paraId="0297B0C6">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（2）无负荷联动试车费用由</w:t>
      </w:r>
      <w:r>
        <w:rPr>
          <w:rFonts w:hint="eastAsia" w:ascii="宋体" w:hAnsi="宋体" w:eastAsia="宋体" w:cs="宋体"/>
          <w:color w:val="auto"/>
          <w:sz w:val="21"/>
          <w:szCs w:val="21"/>
          <w:highlight w:val="none"/>
          <w:u w:val="single"/>
        </w:rPr>
        <w:t xml:space="preserve">   承包人   </w:t>
      </w:r>
      <w:r>
        <w:rPr>
          <w:rFonts w:hint="eastAsia" w:ascii="宋体" w:hAnsi="宋体" w:eastAsia="宋体" w:cs="宋体"/>
          <w:color w:val="auto"/>
          <w:kern w:val="0"/>
          <w:sz w:val="21"/>
          <w:szCs w:val="21"/>
          <w:highlight w:val="none"/>
        </w:rPr>
        <w:t>承担。</w:t>
      </w:r>
    </w:p>
    <w:p w14:paraId="2DC7ADC0">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13.3.</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 xml:space="preserve"> 投料试车</w:t>
      </w:r>
    </w:p>
    <w:p w14:paraId="0E55FF32">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关于投料试车相关事项的约定：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bidi="ar"/>
        </w:rPr>
        <w:t>费用由承包人承担</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DE21A16">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13.4 竣工退场</w:t>
      </w:r>
    </w:p>
    <w:p w14:paraId="5062448C">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13.4.1 竣工退场</w:t>
      </w:r>
    </w:p>
    <w:p w14:paraId="0C0FC98D">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承包人完成竣工退场的期限：</w:t>
      </w:r>
      <w:r>
        <w:rPr>
          <w:rFonts w:hint="eastAsia" w:ascii="宋体" w:hAnsi="宋体" w:eastAsia="宋体" w:cs="宋体"/>
          <w:color w:val="auto"/>
          <w:sz w:val="21"/>
          <w:szCs w:val="21"/>
          <w:highlight w:val="none"/>
          <w:u w:val="single"/>
        </w:rPr>
        <w:t xml:space="preserve">   颁发工程接收证书后10天内   </w:t>
      </w:r>
      <w:r>
        <w:rPr>
          <w:rFonts w:hint="eastAsia" w:ascii="宋体" w:hAnsi="宋体" w:eastAsia="宋体" w:cs="宋体"/>
          <w:color w:val="auto"/>
          <w:kern w:val="0"/>
          <w:sz w:val="21"/>
          <w:szCs w:val="21"/>
          <w:highlight w:val="none"/>
        </w:rPr>
        <w:t>。</w:t>
      </w:r>
    </w:p>
    <w:p w14:paraId="7EA13202">
      <w:pPr>
        <w:pageBreakBefore w:val="0"/>
        <w:kinsoku/>
        <w:wordWrap/>
        <w:overflowPunct/>
        <w:topLinePunct w:val="0"/>
        <w:bidi w:val="0"/>
        <w:snapToGrid/>
        <w:spacing w:after="0" w:afterLines="0" w:line="360" w:lineRule="auto"/>
        <w:textAlignment w:val="auto"/>
        <w:outlineLvl w:val="1"/>
        <w:rPr>
          <w:rFonts w:hint="eastAsia" w:ascii="宋体" w:hAnsi="宋体" w:eastAsia="宋体" w:cs="宋体"/>
          <w:b w:val="0"/>
          <w:bCs w:val="0"/>
          <w:color w:val="auto"/>
          <w:kern w:val="2"/>
          <w:sz w:val="21"/>
          <w:szCs w:val="21"/>
          <w:highlight w:val="none"/>
          <w:lang w:val="en-US" w:eastAsia="zh-CN" w:bidi="ar-SA"/>
        </w:rPr>
      </w:pPr>
      <w:bookmarkStart w:id="634" w:name="_Toc351203646"/>
      <w:bookmarkStart w:id="635" w:name="_Toc15663"/>
      <w:bookmarkStart w:id="636" w:name="_Toc24395"/>
      <w:bookmarkStart w:id="637" w:name="_Toc11820"/>
      <w:bookmarkStart w:id="638" w:name="_Toc27550"/>
      <w:bookmarkStart w:id="639" w:name="_Toc14104"/>
      <w:r>
        <w:rPr>
          <w:rFonts w:hint="eastAsia" w:ascii="宋体" w:hAnsi="宋体" w:eastAsia="宋体" w:cs="宋体"/>
          <w:b w:val="0"/>
          <w:bCs w:val="0"/>
          <w:color w:val="auto"/>
          <w:kern w:val="2"/>
          <w:sz w:val="21"/>
          <w:szCs w:val="21"/>
          <w:highlight w:val="none"/>
          <w:lang w:val="en-US" w:eastAsia="zh-CN" w:bidi="ar-SA"/>
        </w:rPr>
        <w:t>14. 竣工结算</w:t>
      </w:r>
      <w:bookmarkEnd w:id="634"/>
      <w:bookmarkEnd w:id="635"/>
      <w:bookmarkEnd w:id="636"/>
      <w:bookmarkEnd w:id="637"/>
      <w:bookmarkEnd w:id="638"/>
      <w:bookmarkEnd w:id="639"/>
    </w:p>
    <w:p w14:paraId="49DE215C">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14.1 竣工结算申请</w:t>
      </w:r>
    </w:p>
    <w:p w14:paraId="5361BD51">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承包人提交竣工结算申请单的期限：</w:t>
      </w:r>
      <w:r>
        <w:rPr>
          <w:rFonts w:hint="eastAsia" w:ascii="宋体" w:hAnsi="宋体" w:eastAsia="宋体" w:cs="宋体"/>
          <w:color w:val="auto"/>
          <w:sz w:val="21"/>
          <w:szCs w:val="21"/>
          <w:highlight w:val="none"/>
          <w:u w:val="single"/>
        </w:rPr>
        <w:t xml:space="preserve">  工程竣工验收合格后28天内  </w:t>
      </w:r>
      <w:r>
        <w:rPr>
          <w:rFonts w:hint="eastAsia" w:ascii="宋体" w:hAnsi="宋体" w:eastAsia="宋体" w:cs="宋体"/>
          <w:color w:val="auto"/>
          <w:sz w:val="21"/>
          <w:szCs w:val="21"/>
          <w:highlight w:val="none"/>
        </w:rPr>
        <w:t>。</w:t>
      </w:r>
    </w:p>
    <w:p w14:paraId="0FA31583">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竣工结算申请单应包括的内容：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bidi="ar"/>
        </w:rPr>
        <w:t>按发包人要求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2168264">
      <w:pPr>
        <w:pageBreakBefore w:val="0"/>
        <w:kinsoku/>
        <w:wordWrap/>
        <w:overflowPunct/>
        <w:topLinePunct w:val="0"/>
        <w:bidi w:val="0"/>
        <w:snapToGrid/>
        <w:spacing w:after="0" w:afterLines="0" w:line="360"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竣工结算申请单的份数：</w:t>
      </w:r>
      <w:r>
        <w:rPr>
          <w:rFonts w:hint="eastAsia" w:ascii="宋体" w:hAnsi="宋体" w:eastAsia="宋体" w:cs="宋体"/>
          <w:color w:val="auto"/>
          <w:kern w:val="2"/>
          <w:sz w:val="21"/>
          <w:szCs w:val="21"/>
          <w:highlight w:val="none"/>
          <w:u w:val="single"/>
          <w:lang w:val="en-US" w:eastAsia="zh-CN" w:bidi="ar"/>
        </w:rPr>
        <w:t>一式陆份</w:t>
      </w:r>
      <w:r>
        <w:rPr>
          <w:rFonts w:hint="eastAsia" w:ascii="宋体" w:hAnsi="宋体" w:eastAsia="宋体" w:cs="宋体"/>
          <w:color w:val="auto"/>
          <w:kern w:val="2"/>
          <w:sz w:val="21"/>
          <w:szCs w:val="21"/>
          <w:highlight w:val="none"/>
          <w:lang w:val="en-US" w:eastAsia="zh-CN" w:bidi="ar"/>
        </w:rPr>
        <w:t>。</w:t>
      </w:r>
    </w:p>
    <w:p w14:paraId="6D329BC9">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14.2 竣工结算审核</w:t>
      </w:r>
    </w:p>
    <w:p w14:paraId="031406B5">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发包人审批竣工付款申请单的期限：</w:t>
      </w:r>
      <w:r>
        <w:rPr>
          <w:rFonts w:hint="eastAsia" w:ascii="宋体" w:hAnsi="宋体" w:eastAsia="宋体" w:cs="宋体"/>
          <w:color w:val="auto"/>
          <w:sz w:val="21"/>
          <w:szCs w:val="21"/>
          <w:highlight w:val="none"/>
          <w:u w:val="single"/>
        </w:rPr>
        <w:t xml:space="preserve">  在收到竣工结算申请单</w:t>
      </w:r>
      <w:r>
        <w:rPr>
          <w:rFonts w:hint="eastAsia" w:ascii="宋体" w:hAnsi="宋体" w:eastAsia="宋体" w:cs="宋体"/>
          <w:color w:val="auto"/>
          <w:sz w:val="21"/>
          <w:szCs w:val="21"/>
          <w:highlight w:val="none"/>
          <w:u w:val="single"/>
          <w:lang w:val="en-US" w:eastAsia="zh-CN"/>
        </w:rPr>
        <w:t>及完备的竣工结算资料</w:t>
      </w:r>
      <w:r>
        <w:rPr>
          <w:rFonts w:hint="eastAsia" w:ascii="宋体" w:hAnsi="宋体" w:eastAsia="宋体" w:cs="宋体"/>
          <w:color w:val="auto"/>
          <w:sz w:val="21"/>
          <w:szCs w:val="21"/>
          <w:highlight w:val="none"/>
          <w:u w:val="single"/>
        </w:rPr>
        <w:t xml:space="preserve">后90天内  </w:t>
      </w:r>
      <w:r>
        <w:rPr>
          <w:rFonts w:hint="eastAsia" w:ascii="宋体" w:hAnsi="宋体" w:eastAsia="宋体" w:cs="宋体"/>
          <w:color w:val="auto"/>
          <w:sz w:val="21"/>
          <w:szCs w:val="21"/>
          <w:highlight w:val="none"/>
        </w:rPr>
        <w:t>。</w:t>
      </w:r>
    </w:p>
    <w:p w14:paraId="1F342DD5">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发包人完成竣工付款的期限：</w:t>
      </w:r>
      <w:r>
        <w:rPr>
          <w:rFonts w:hint="eastAsia" w:ascii="宋体" w:hAnsi="宋体" w:eastAsia="宋体" w:cs="宋体"/>
          <w:color w:val="auto"/>
          <w:sz w:val="21"/>
          <w:szCs w:val="21"/>
          <w:highlight w:val="none"/>
          <w:u w:val="single"/>
        </w:rPr>
        <w:t xml:space="preserve">  发包人应在签发竣工付款证书后21天内  </w:t>
      </w:r>
      <w:r>
        <w:rPr>
          <w:rFonts w:hint="eastAsia" w:ascii="宋体" w:hAnsi="宋体" w:eastAsia="宋体" w:cs="宋体"/>
          <w:color w:val="auto"/>
          <w:sz w:val="21"/>
          <w:szCs w:val="21"/>
          <w:highlight w:val="none"/>
        </w:rPr>
        <w:t>。</w:t>
      </w:r>
    </w:p>
    <w:p w14:paraId="50A84029">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关于竣工付款证书异议部分复核的方式和程序：</w:t>
      </w:r>
      <w:r>
        <w:rPr>
          <w:rFonts w:hint="eastAsia" w:ascii="宋体" w:hAnsi="宋体" w:eastAsia="宋体" w:cs="宋体"/>
          <w:color w:val="auto"/>
          <w:sz w:val="21"/>
          <w:szCs w:val="21"/>
          <w:highlight w:val="none"/>
          <w:u w:val="single"/>
        </w:rPr>
        <w:t xml:space="preserve">  按合同通用条款执行   </w:t>
      </w:r>
      <w:r>
        <w:rPr>
          <w:rFonts w:hint="eastAsia" w:ascii="宋体" w:hAnsi="宋体" w:eastAsia="宋体" w:cs="宋体"/>
          <w:color w:val="auto"/>
          <w:sz w:val="21"/>
          <w:szCs w:val="21"/>
          <w:highlight w:val="none"/>
        </w:rPr>
        <w:t>。</w:t>
      </w:r>
    </w:p>
    <w:p w14:paraId="5AE81363">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（4）竣工结算审减约定：</w:t>
      </w:r>
    </w:p>
    <w:p w14:paraId="39A0215C">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如实提报竣工结算款，如承包人提报的竣工结算款超出审计单位（或审核的造价咨询单位）审定值的5%（不含），承包人须按超出部分的5%支付违约金，由发包人直接从审定的竣工结算款中直接扣除。具体公式如下：</w:t>
      </w:r>
    </w:p>
    <w:p w14:paraId="057D3F9B">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违约金＝[承包人提报的竣工结算款－(1＋5%)×审定值]×5%</w:t>
      </w:r>
    </w:p>
    <w:p w14:paraId="3E59694E">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14.4 最终结清</w:t>
      </w:r>
    </w:p>
    <w:p w14:paraId="58ACFC40">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.1 最终结清申请单</w:t>
      </w:r>
    </w:p>
    <w:p w14:paraId="0FBFF879">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承包人提交最终结清申请单的份数：</w:t>
      </w:r>
      <w:r>
        <w:rPr>
          <w:rFonts w:hint="eastAsia" w:ascii="宋体" w:hAnsi="宋体" w:eastAsia="宋体" w:cs="宋体"/>
          <w:color w:val="auto"/>
          <w:kern w:val="2"/>
          <w:sz w:val="21"/>
          <w:szCs w:val="21"/>
          <w:highlight w:val="none"/>
          <w:u w:val="single"/>
          <w:lang w:val="en-US" w:eastAsia="zh-CN" w:bidi="ar"/>
        </w:rPr>
        <w:t>一式陆份</w:t>
      </w:r>
      <w:r>
        <w:rPr>
          <w:rFonts w:hint="eastAsia" w:ascii="宋体" w:hAnsi="宋体" w:eastAsia="宋体" w:cs="宋体"/>
          <w:color w:val="auto"/>
          <w:kern w:val="2"/>
          <w:sz w:val="21"/>
          <w:szCs w:val="21"/>
          <w:highlight w:val="none"/>
          <w:lang w:val="en-US" w:eastAsia="zh-CN" w:bidi="ar"/>
        </w:rPr>
        <w:t>。</w:t>
      </w:r>
    </w:p>
    <w:p w14:paraId="525B0B12">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承包人提交最终结算申请单的期限：</w:t>
      </w:r>
      <w:r>
        <w:rPr>
          <w:rFonts w:hint="eastAsia" w:ascii="宋体" w:hAnsi="宋体" w:eastAsia="宋体" w:cs="宋体"/>
          <w:color w:val="auto"/>
          <w:sz w:val="21"/>
          <w:szCs w:val="21"/>
          <w:highlight w:val="none"/>
          <w:u w:val="single"/>
        </w:rPr>
        <w:t xml:space="preserve">  在缺陷责任期满后7天内</w:t>
      </w:r>
      <w:r>
        <w:rPr>
          <w:rFonts w:hint="eastAsia" w:ascii="宋体" w:hAnsi="宋体" w:eastAsia="宋体" w:cs="宋体"/>
          <w:color w:val="auto"/>
          <w:sz w:val="21"/>
          <w:szCs w:val="21"/>
          <w:highlight w:val="none"/>
        </w:rPr>
        <w:t xml:space="preserve">。 </w:t>
      </w:r>
    </w:p>
    <w:p w14:paraId="40560B1F">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.2 最终结清证书和支付</w:t>
      </w:r>
    </w:p>
    <w:p w14:paraId="47EED084">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（1）发包人完成最终结清申请单的审批并颁发最终结清证书的期限：</w:t>
      </w:r>
      <w:r>
        <w:rPr>
          <w:rFonts w:hint="eastAsia" w:ascii="宋体" w:hAnsi="宋体" w:eastAsia="宋体" w:cs="宋体"/>
          <w:color w:val="auto"/>
          <w:sz w:val="21"/>
          <w:szCs w:val="21"/>
          <w:highlight w:val="none"/>
          <w:u w:val="single"/>
        </w:rPr>
        <w:t xml:space="preserve">  发包人应在收到承包人提交的最终结清申请单后28天内完成审批并向承包人颁发最终结清证书   </w:t>
      </w:r>
      <w:r>
        <w:rPr>
          <w:rFonts w:hint="eastAsia" w:ascii="宋体" w:hAnsi="宋体" w:eastAsia="宋体" w:cs="宋体"/>
          <w:color w:val="auto"/>
          <w:sz w:val="21"/>
          <w:szCs w:val="21"/>
          <w:highlight w:val="none"/>
        </w:rPr>
        <w:t>。</w:t>
      </w:r>
    </w:p>
    <w:p w14:paraId="338E5E71">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（2）发包人完成支付的期限：</w:t>
      </w:r>
      <w:r>
        <w:rPr>
          <w:rFonts w:hint="eastAsia" w:ascii="宋体" w:hAnsi="宋体" w:eastAsia="宋体" w:cs="宋体"/>
          <w:color w:val="auto"/>
          <w:sz w:val="21"/>
          <w:szCs w:val="21"/>
          <w:highlight w:val="none"/>
          <w:u w:val="single"/>
        </w:rPr>
        <w:t xml:space="preserve">  在颁发最终结清证书后14天内完成支付  </w:t>
      </w:r>
      <w:r>
        <w:rPr>
          <w:rFonts w:hint="eastAsia" w:ascii="宋体" w:hAnsi="宋体" w:eastAsia="宋体" w:cs="宋体"/>
          <w:color w:val="auto"/>
          <w:sz w:val="21"/>
          <w:szCs w:val="21"/>
          <w:highlight w:val="none"/>
        </w:rPr>
        <w:t>。</w:t>
      </w:r>
    </w:p>
    <w:bookmarkEnd w:id="621"/>
    <w:bookmarkEnd w:id="622"/>
    <w:bookmarkEnd w:id="623"/>
    <w:bookmarkEnd w:id="624"/>
    <w:bookmarkEnd w:id="625"/>
    <w:bookmarkEnd w:id="626"/>
    <w:bookmarkEnd w:id="627"/>
    <w:bookmarkEnd w:id="633"/>
    <w:p w14:paraId="26DC46D0">
      <w:pPr>
        <w:pageBreakBefore w:val="0"/>
        <w:kinsoku/>
        <w:wordWrap/>
        <w:overflowPunct/>
        <w:topLinePunct w:val="0"/>
        <w:bidi w:val="0"/>
        <w:snapToGrid/>
        <w:spacing w:after="0" w:afterLines="0" w:line="360" w:lineRule="auto"/>
        <w:textAlignment w:val="auto"/>
        <w:outlineLvl w:val="1"/>
        <w:rPr>
          <w:rFonts w:hint="eastAsia" w:ascii="宋体" w:hAnsi="宋体" w:eastAsia="宋体" w:cs="宋体"/>
          <w:b w:val="0"/>
          <w:bCs w:val="0"/>
          <w:color w:val="auto"/>
          <w:kern w:val="2"/>
          <w:sz w:val="21"/>
          <w:szCs w:val="21"/>
          <w:highlight w:val="none"/>
          <w:lang w:val="en-US" w:eastAsia="zh-CN" w:bidi="ar-SA"/>
        </w:rPr>
      </w:pPr>
      <w:bookmarkStart w:id="640" w:name="_Toc14728"/>
      <w:bookmarkStart w:id="641" w:name="_Toc351203647"/>
      <w:bookmarkStart w:id="642" w:name="_Toc19354"/>
      <w:bookmarkStart w:id="643" w:name="_Toc16524"/>
      <w:bookmarkStart w:id="644" w:name="_Toc17842"/>
      <w:bookmarkStart w:id="645" w:name="_Toc17262"/>
      <w:bookmarkStart w:id="646" w:name="_Toc267251483"/>
      <w:bookmarkStart w:id="647" w:name="_Toc267251484"/>
      <w:bookmarkStart w:id="648" w:name="_Toc267251482"/>
      <w:bookmarkStart w:id="649" w:name="_Toc267251485"/>
      <w:bookmarkStart w:id="650" w:name="_Toc267251488"/>
      <w:bookmarkStart w:id="651" w:name="_Toc267251489"/>
      <w:bookmarkStart w:id="652" w:name="_Toc267251486"/>
      <w:bookmarkStart w:id="653" w:name="_Toc267251490"/>
      <w:bookmarkStart w:id="654" w:name="_Toc267251503"/>
      <w:bookmarkStart w:id="655" w:name="_Toc267251492"/>
      <w:bookmarkStart w:id="656" w:name="_Toc267251495"/>
      <w:bookmarkStart w:id="657" w:name="_Toc267251496"/>
      <w:bookmarkStart w:id="658" w:name="_Toc267251499"/>
      <w:bookmarkStart w:id="659" w:name="_Toc267251501"/>
      <w:bookmarkStart w:id="660" w:name="_Toc267251502"/>
      <w:bookmarkStart w:id="661" w:name="_Toc267251498"/>
      <w:bookmarkStart w:id="662" w:name="_Toc267251493"/>
      <w:bookmarkStart w:id="663" w:name="_Toc267251497"/>
      <w:bookmarkStart w:id="664" w:name="_Toc267251491"/>
      <w:bookmarkStart w:id="665" w:name="_Toc267251494"/>
      <w:bookmarkStart w:id="666" w:name="_Toc267251504"/>
      <w:bookmarkStart w:id="667" w:name="_Toc267251506"/>
      <w:bookmarkStart w:id="668" w:name="_Toc267251507"/>
      <w:bookmarkStart w:id="669" w:name="_Toc267251508"/>
      <w:bookmarkStart w:id="670" w:name="_Toc267251513"/>
      <w:bookmarkStart w:id="671" w:name="_Toc267251511"/>
      <w:bookmarkStart w:id="672" w:name="_Toc267251509"/>
      <w:bookmarkStart w:id="673" w:name="_Toc267251510"/>
      <w:bookmarkStart w:id="674" w:name="_Toc267251515"/>
      <w:bookmarkStart w:id="675" w:name="_Toc267251514"/>
      <w:r>
        <w:rPr>
          <w:rFonts w:hint="eastAsia" w:ascii="宋体" w:hAnsi="宋体" w:eastAsia="宋体" w:cs="宋体"/>
          <w:b w:val="0"/>
          <w:bCs w:val="0"/>
          <w:color w:val="auto"/>
          <w:kern w:val="2"/>
          <w:sz w:val="21"/>
          <w:szCs w:val="21"/>
          <w:highlight w:val="none"/>
          <w:lang w:val="en-US" w:eastAsia="zh-CN" w:bidi="ar-SA"/>
        </w:rPr>
        <w:t>15. 缺陷责任期与保修</w:t>
      </w:r>
      <w:bookmarkEnd w:id="640"/>
      <w:bookmarkEnd w:id="641"/>
      <w:bookmarkEnd w:id="642"/>
      <w:bookmarkEnd w:id="643"/>
      <w:bookmarkEnd w:id="644"/>
      <w:bookmarkEnd w:id="645"/>
    </w:p>
    <w:p w14:paraId="1D4EC9DF">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15.2缺陷责任期</w:t>
      </w:r>
      <w:bookmarkEnd w:id="646"/>
    </w:p>
    <w:p w14:paraId="7887A6C5">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缺陷责任期的具体期限：</w:t>
      </w:r>
      <w:r>
        <w:rPr>
          <w:rFonts w:hint="eastAsia" w:ascii="宋体" w:hAnsi="宋体" w:eastAsia="宋体" w:cs="宋体"/>
          <w:color w:val="auto"/>
          <w:sz w:val="21"/>
          <w:szCs w:val="21"/>
          <w:highlight w:val="none"/>
          <w:u w:val="single"/>
        </w:rPr>
        <w:t xml:space="preserve">   竣工验收合格之日起24个月   </w:t>
      </w:r>
      <w:r>
        <w:rPr>
          <w:rFonts w:hint="eastAsia" w:ascii="宋体" w:hAnsi="宋体" w:eastAsia="宋体" w:cs="宋体"/>
          <w:color w:val="auto"/>
          <w:sz w:val="21"/>
          <w:szCs w:val="21"/>
          <w:highlight w:val="none"/>
        </w:rPr>
        <w:t>。</w:t>
      </w:r>
    </w:p>
    <w:p w14:paraId="308490D7">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15.3 质量保证金</w:t>
      </w:r>
    </w:p>
    <w:p w14:paraId="25C1B480">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关于是否扣留质量保证金的约定：</w:t>
      </w:r>
      <w:r>
        <w:rPr>
          <w:rFonts w:hint="eastAsia" w:cs="宋体"/>
          <w:sz w:val="21"/>
          <w:szCs w:val="21"/>
          <w:highlight w:val="none"/>
          <w:u w:val="single"/>
        </w:rPr>
        <w:t xml:space="preserve">      是  </w:t>
      </w:r>
      <w:r>
        <w:rPr>
          <w:rFonts w:hint="eastAsia" w:cs="宋体"/>
          <w:sz w:val="21"/>
          <w:szCs w:val="21"/>
          <w:highlight w:val="none"/>
        </w:rPr>
        <w:t>。</w:t>
      </w:r>
    </w:p>
    <w:p w14:paraId="57B16B34">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15.3.1 承包人提供质量保证金的方式</w:t>
      </w:r>
    </w:p>
    <w:p w14:paraId="7796032E">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质量保证金采用以下第</w:t>
      </w:r>
      <w:r>
        <w:rPr>
          <w:rFonts w:hint="eastAsia" w:cs="宋体"/>
          <w:sz w:val="21"/>
          <w:szCs w:val="21"/>
          <w:highlight w:val="none"/>
          <w:u w:val="single"/>
        </w:rPr>
        <w:t xml:space="preserve">  （1）   </w:t>
      </w:r>
      <w:r>
        <w:rPr>
          <w:rFonts w:hint="eastAsia" w:cs="宋体"/>
          <w:sz w:val="21"/>
          <w:szCs w:val="21"/>
          <w:highlight w:val="none"/>
        </w:rPr>
        <w:t>种方式：</w:t>
      </w:r>
    </w:p>
    <w:p w14:paraId="0587D00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（1）质量保证金保函，保证金额为：</w:t>
      </w:r>
      <w:r>
        <w:rPr>
          <w:rFonts w:hint="eastAsia" w:cs="宋体"/>
          <w:sz w:val="21"/>
          <w:szCs w:val="21"/>
          <w:highlight w:val="none"/>
          <w:u w:val="single"/>
        </w:rPr>
        <w:t>结算审定金额的3%</w:t>
      </w:r>
      <w:r>
        <w:rPr>
          <w:rFonts w:hint="eastAsia" w:cs="宋体"/>
          <w:kern w:val="0"/>
          <w:sz w:val="21"/>
          <w:szCs w:val="21"/>
          <w:highlight w:val="none"/>
        </w:rPr>
        <w:t xml:space="preserve">； </w:t>
      </w:r>
    </w:p>
    <w:p w14:paraId="0716858D">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（2）</w:t>
      </w:r>
      <w:r>
        <w:rPr>
          <w:rFonts w:hint="eastAsia" w:cs="宋体"/>
          <w:kern w:val="0"/>
          <w:sz w:val="21"/>
          <w:szCs w:val="21"/>
          <w:highlight w:val="none"/>
          <w:u w:val="single"/>
        </w:rPr>
        <w:t xml:space="preserve">   /   </w:t>
      </w:r>
      <w:r>
        <w:rPr>
          <w:rFonts w:hint="eastAsia" w:cs="宋体"/>
          <w:kern w:val="0"/>
          <w:sz w:val="21"/>
          <w:szCs w:val="21"/>
          <w:highlight w:val="none"/>
        </w:rPr>
        <w:t>%的工程款；</w:t>
      </w:r>
    </w:p>
    <w:p w14:paraId="5DEF005F">
      <w:pPr>
        <w:pageBreakBefore w:val="0"/>
        <w:kinsoku/>
        <w:overflowPunct/>
        <w:autoSpaceDE w:val="0"/>
        <w:autoSpaceDN w:val="0"/>
        <w:bidi w:val="0"/>
        <w:adjustRightInd w:val="0"/>
        <w:spacing w:after="0" w:afterLines="0" w:line="360" w:lineRule="auto"/>
        <w:ind w:firstLine="420" w:firstLineChars="200"/>
        <w:jc w:val="left"/>
        <w:textAlignment w:val="auto"/>
        <w:rPr>
          <w:rFonts w:hint="eastAsia" w:cs="宋体"/>
          <w:kern w:val="0"/>
          <w:sz w:val="21"/>
          <w:szCs w:val="21"/>
          <w:highlight w:val="none"/>
        </w:rPr>
      </w:pPr>
      <w:r>
        <w:rPr>
          <w:rFonts w:hint="eastAsia" w:cs="宋体"/>
          <w:kern w:val="0"/>
          <w:sz w:val="21"/>
          <w:szCs w:val="21"/>
          <w:highlight w:val="none"/>
        </w:rPr>
        <w:t>（3）其他方式:</w:t>
      </w:r>
      <w:r>
        <w:rPr>
          <w:rFonts w:hint="eastAsia" w:cs="宋体"/>
          <w:kern w:val="0"/>
          <w:sz w:val="21"/>
          <w:szCs w:val="21"/>
          <w:highlight w:val="none"/>
          <w:u w:val="single"/>
        </w:rPr>
        <w:t xml:space="preserve">   /         </w:t>
      </w:r>
      <w:r>
        <w:rPr>
          <w:rFonts w:hint="eastAsia" w:cs="宋体"/>
          <w:kern w:val="0"/>
          <w:sz w:val="21"/>
          <w:szCs w:val="21"/>
          <w:highlight w:val="none"/>
        </w:rPr>
        <w:t>。</w:t>
      </w:r>
    </w:p>
    <w:p w14:paraId="76B382A9">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 xml:space="preserve">15.3.2 质量保证金的扣留 </w:t>
      </w:r>
    </w:p>
    <w:p w14:paraId="6474BAF1">
      <w:pPr>
        <w:pageBreakBefore w:val="0"/>
        <w:kinsoku/>
        <w:overflowPunct/>
        <w:bidi w:val="0"/>
        <w:spacing w:after="0" w:afterLines="0" w:line="360" w:lineRule="auto"/>
        <w:ind w:firstLine="420" w:firstLineChars="200"/>
        <w:textAlignment w:val="auto"/>
        <w:rPr>
          <w:rFonts w:hint="eastAsia" w:cs="宋体"/>
          <w:sz w:val="21"/>
          <w:szCs w:val="21"/>
          <w:highlight w:val="none"/>
        </w:rPr>
      </w:pPr>
      <w:r>
        <w:rPr>
          <w:rFonts w:hint="eastAsia" w:cs="宋体"/>
          <w:sz w:val="21"/>
          <w:szCs w:val="21"/>
          <w:highlight w:val="none"/>
        </w:rPr>
        <w:t>质量保证金的扣留采取以下第</w:t>
      </w:r>
      <w:r>
        <w:rPr>
          <w:rFonts w:hint="eastAsia" w:cs="宋体"/>
          <w:sz w:val="21"/>
          <w:szCs w:val="21"/>
          <w:highlight w:val="none"/>
          <w:u w:val="single"/>
        </w:rPr>
        <w:t xml:space="preserve">  3  </w:t>
      </w:r>
      <w:r>
        <w:rPr>
          <w:rFonts w:hint="eastAsia" w:cs="宋体"/>
          <w:sz w:val="21"/>
          <w:szCs w:val="21"/>
          <w:highlight w:val="none"/>
        </w:rPr>
        <w:t>种方式：</w:t>
      </w:r>
    </w:p>
    <w:p w14:paraId="7AE7A755">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（1）在支付工程进度款时逐次扣留，在此情形下，质量保证金的计算基数不包括预付款的支付、扣回以及价格调整的金额；</w:t>
      </w:r>
    </w:p>
    <w:p w14:paraId="215655E0">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（2）工程竣工结算时一次性扣留质量保证金；</w:t>
      </w:r>
    </w:p>
    <w:p w14:paraId="571CB3B1">
      <w:pPr>
        <w:pageBreakBefore w:val="0"/>
        <w:kinsoku/>
        <w:overflowPunct/>
        <w:autoSpaceDE w:val="0"/>
        <w:autoSpaceDN w:val="0"/>
        <w:bidi w:val="0"/>
        <w:adjustRightInd w:val="0"/>
        <w:spacing w:after="0" w:afterLines="0" w:line="360" w:lineRule="auto"/>
        <w:ind w:firstLine="420" w:firstLineChars="200"/>
        <w:textAlignment w:val="auto"/>
        <w:rPr>
          <w:rFonts w:hint="eastAsia" w:cs="宋体"/>
          <w:kern w:val="0"/>
          <w:sz w:val="21"/>
          <w:szCs w:val="21"/>
          <w:highlight w:val="none"/>
        </w:rPr>
      </w:pPr>
      <w:r>
        <w:rPr>
          <w:rFonts w:hint="eastAsia" w:cs="宋体"/>
          <w:kern w:val="0"/>
          <w:sz w:val="21"/>
          <w:szCs w:val="21"/>
          <w:highlight w:val="none"/>
        </w:rPr>
        <w:t>（3）其他扣留方式:</w:t>
      </w:r>
      <w:r>
        <w:rPr>
          <w:rFonts w:hint="eastAsia" w:cs="宋体"/>
          <w:kern w:val="0"/>
          <w:sz w:val="21"/>
          <w:szCs w:val="21"/>
          <w:highlight w:val="none"/>
          <w:u w:val="single"/>
        </w:rPr>
        <w:t xml:space="preserve">   工程竣工结算完成时，承包人向发包人提交质量保证金保函  </w:t>
      </w:r>
      <w:r>
        <w:rPr>
          <w:rFonts w:hint="eastAsia" w:cs="宋体"/>
          <w:kern w:val="0"/>
          <w:sz w:val="21"/>
          <w:szCs w:val="21"/>
          <w:highlight w:val="none"/>
        </w:rPr>
        <w:t>。</w:t>
      </w:r>
    </w:p>
    <w:p w14:paraId="7EDE58AF">
      <w:pPr>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cs="宋体"/>
          <w:sz w:val="21"/>
          <w:szCs w:val="21"/>
          <w:highlight w:val="none"/>
        </w:rPr>
        <w:t>关于质量保证金的补充约定：</w:t>
      </w:r>
      <w:r>
        <w:rPr>
          <w:rFonts w:hint="eastAsia" w:cs="宋体"/>
          <w:kern w:val="0"/>
          <w:sz w:val="21"/>
          <w:szCs w:val="21"/>
          <w:highlight w:val="none"/>
          <w:u w:val="single"/>
        </w:rPr>
        <w:t xml:space="preserve">   /   </w:t>
      </w:r>
      <w:r>
        <w:rPr>
          <w:rFonts w:hint="eastAsia" w:cs="宋体"/>
          <w:kern w:val="0"/>
          <w:sz w:val="21"/>
          <w:szCs w:val="21"/>
          <w:highlight w:val="none"/>
        </w:rPr>
        <w:t>。</w:t>
      </w:r>
    </w:p>
    <w:bookmarkEnd w:id="647"/>
    <w:bookmarkEnd w:id="648"/>
    <w:p w14:paraId="1235942B">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15.4保修</w:t>
      </w:r>
    </w:p>
    <w:bookmarkEnd w:id="649"/>
    <w:p w14:paraId="1449B94E">
      <w:pPr>
        <w:pageBreakBefore w:val="0"/>
        <w:kinsoku/>
        <w:wordWrap/>
        <w:overflowPunct/>
        <w:topLinePunct w:val="0"/>
        <w:bidi w:val="0"/>
        <w:snapToGrid/>
        <w:spacing w:after="0" w:afterLines="0" w:line="360" w:lineRule="auto"/>
        <w:ind w:firstLine="409" w:firstLineChars="195"/>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.1 保修责任</w:t>
      </w:r>
    </w:p>
    <w:p w14:paraId="6D1F94A4">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kern w:val="0"/>
          <w:sz w:val="21"/>
          <w:szCs w:val="21"/>
          <w:highlight w:val="none"/>
          <w:lang w:val="en-US"/>
        </w:rPr>
      </w:pPr>
      <w:r>
        <w:rPr>
          <w:rFonts w:hint="eastAsia" w:ascii="宋体" w:hAnsi="宋体" w:eastAsia="宋体" w:cs="宋体"/>
          <w:color w:val="auto"/>
          <w:kern w:val="2"/>
          <w:sz w:val="21"/>
          <w:szCs w:val="21"/>
          <w:highlight w:val="none"/>
          <w:lang w:val="en-US" w:eastAsia="zh-CN" w:bidi="ar"/>
        </w:rPr>
        <w:t>工程保修期为：</w:t>
      </w:r>
      <w:r>
        <w:rPr>
          <w:rFonts w:hint="eastAsia" w:ascii="宋体" w:hAnsi="宋体" w:eastAsia="宋体" w:cs="宋体"/>
          <w:color w:val="auto"/>
          <w:kern w:val="0"/>
          <w:sz w:val="21"/>
          <w:szCs w:val="21"/>
          <w:highlight w:val="none"/>
          <w:u w:val="single"/>
          <w:lang w:val="en-US" w:eastAsia="zh-CN" w:bidi="ar"/>
        </w:rPr>
        <w:t xml:space="preserve">按“附件1：工程质量保修书”约定执行 </w:t>
      </w:r>
      <w:r>
        <w:rPr>
          <w:rFonts w:hint="eastAsia" w:ascii="宋体" w:hAnsi="宋体" w:eastAsia="宋体" w:cs="宋体"/>
          <w:color w:val="auto"/>
          <w:kern w:val="0"/>
          <w:sz w:val="21"/>
          <w:szCs w:val="21"/>
          <w:highlight w:val="none"/>
          <w:lang w:val="en-US" w:eastAsia="zh-CN" w:bidi="ar"/>
        </w:rPr>
        <w:t>。</w:t>
      </w:r>
    </w:p>
    <w:p w14:paraId="5C6C2DE6">
      <w:pPr>
        <w:pageBreakBefore w:val="0"/>
        <w:kinsoku/>
        <w:wordWrap/>
        <w:overflowPunct/>
        <w:topLinePunct w:val="0"/>
        <w:bidi w:val="0"/>
        <w:snapToGrid/>
        <w:spacing w:after="0" w:afterLines="0" w:line="360" w:lineRule="auto"/>
        <w:ind w:firstLine="409" w:firstLineChars="195"/>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修复通知</w:t>
      </w:r>
    </w:p>
    <w:p w14:paraId="7E87F5E6">
      <w:pPr>
        <w:pageBreakBefore w:val="0"/>
        <w:kinsoku/>
        <w:wordWrap/>
        <w:overflowPunct/>
        <w:topLinePunct w:val="0"/>
        <w:bidi w:val="0"/>
        <w:snapToGrid/>
        <w:spacing w:after="0" w:afterLines="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承包人收到保修通知并到达工程现场的合理时间：</w:t>
      </w:r>
      <w:r>
        <w:rPr>
          <w:rFonts w:hint="eastAsia" w:ascii="宋体" w:hAnsi="宋体" w:eastAsia="宋体" w:cs="宋体"/>
          <w:color w:val="auto"/>
          <w:kern w:val="0"/>
          <w:sz w:val="21"/>
          <w:szCs w:val="21"/>
          <w:highlight w:val="none"/>
          <w:u w:val="single"/>
        </w:rPr>
        <w:t xml:space="preserve">  在接到报修通知后24小时内   </w:t>
      </w:r>
      <w:r>
        <w:rPr>
          <w:rFonts w:hint="eastAsia" w:ascii="宋体" w:hAnsi="宋体" w:eastAsia="宋体" w:cs="宋体"/>
          <w:color w:val="auto"/>
          <w:kern w:val="0"/>
          <w:sz w:val="21"/>
          <w:szCs w:val="21"/>
          <w:highlight w:val="none"/>
        </w:rPr>
        <w:t>。</w:t>
      </w:r>
    </w:p>
    <w:bookmarkEnd w:id="650"/>
    <w:bookmarkEnd w:id="651"/>
    <w:bookmarkEnd w:id="652"/>
    <w:bookmarkEnd w:id="653"/>
    <w:p w14:paraId="6764574F">
      <w:pPr>
        <w:pageBreakBefore w:val="0"/>
        <w:kinsoku/>
        <w:wordWrap/>
        <w:overflowPunct/>
        <w:topLinePunct w:val="0"/>
        <w:bidi w:val="0"/>
        <w:snapToGrid/>
        <w:spacing w:after="0" w:afterLines="0" w:line="360" w:lineRule="auto"/>
        <w:textAlignment w:val="auto"/>
        <w:outlineLvl w:val="1"/>
        <w:rPr>
          <w:rFonts w:hint="eastAsia" w:ascii="宋体" w:hAnsi="宋体" w:eastAsia="宋体" w:cs="宋体"/>
          <w:b w:val="0"/>
          <w:bCs w:val="0"/>
          <w:color w:val="auto"/>
          <w:kern w:val="2"/>
          <w:sz w:val="21"/>
          <w:szCs w:val="21"/>
          <w:highlight w:val="none"/>
          <w:lang w:val="en-US" w:eastAsia="zh-CN" w:bidi="ar-SA"/>
        </w:rPr>
      </w:pPr>
      <w:bookmarkStart w:id="676" w:name="_Toc351203648"/>
      <w:bookmarkStart w:id="677" w:name="_Toc24949"/>
      <w:bookmarkStart w:id="678" w:name="_Toc23638"/>
      <w:bookmarkStart w:id="679" w:name="_Toc5894"/>
      <w:bookmarkStart w:id="680" w:name="_Toc10617"/>
      <w:bookmarkStart w:id="681" w:name="_Toc26516"/>
      <w:bookmarkStart w:id="682" w:name="_Toc280868717"/>
      <w:bookmarkStart w:id="683" w:name="_Toc280868718"/>
      <w:r>
        <w:rPr>
          <w:rFonts w:hint="eastAsia" w:ascii="宋体" w:hAnsi="宋体" w:eastAsia="宋体" w:cs="宋体"/>
          <w:b w:val="0"/>
          <w:bCs w:val="0"/>
          <w:color w:val="auto"/>
          <w:kern w:val="2"/>
          <w:sz w:val="21"/>
          <w:szCs w:val="21"/>
          <w:highlight w:val="none"/>
          <w:lang w:val="en-US" w:eastAsia="zh-CN" w:bidi="ar-SA"/>
        </w:rPr>
        <w:t>16. 违约</w:t>
      </w:r>
      <w:bookmarkEnd w:id="676"/>
      <w:bookmarkEnd w:id="677"/>
      <w:bookmarkEnd w:id="678"/>
      <w:bookmarkEnd w:id="679"/>
      <w:bookmarkEnd w:id="680"/>
      <w:bookmarkEnd w:id="681"/>
    </w:p>
    <w:p w14:paraId="42F0F275">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16.1 发包人违约</w:t>
      </w:r>
    </w:p>
    <w:p w14:paraId="657C6CB0">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16.1.1发包人违约的情形</w:t>
      </w:r>
    </w:p>
    <w:p w14:paraId="5D997697">
      <w:pPr>
        <w:pageBreakBefore w:val="0"/>
        <w:kinsoku/>
        <w:wordWrap/>
        <w:overflowPunct/>
        <w:topLinePunct w:val="0"/>
        <w:bidi w:val="0"/>
        <w:snapToGrid/>
        <w:spacing w:after="0" w:afterLines="0" w:line="360" w:lineRule="auto"/>
        <w:ind w:left="1098" w:leftChars="195" w:hanging="630" w:hangingChars="3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发包人违约的其他情形：</w:t>
      </w:r>
      <w:r>
        <w:rPr>
          <w:rFonts w:hint="eastAsia" w:ascii="宋体" w:hAnsi="宋体" w:eastAsia="宋体" w:cs="宋体"/>
          <w:color w:val="auto"/>
          <w:kern w:val="0"/>
          <w:sz w:val="21"/>
          <w:szCs w:val="21"/>
          <w:highlight w:val="none"/>
          <w:u w:val="single"/>
        </w:rPr>
        <w:t xml:space="preserve">   /   </w:t>
      </w:r>
      <w:r>
        <w:rPr>
          <w:rFonts w:hint="eastAsia" w:ascii="宋体" w:hAnsi="宋体" w:eastAsia="宋体" w:cs="宋体"/>
          <w:color w:val="auto"/>
          <w:kern w:val="0"/>
          <w:sz w:val="21"/>
          <w:szCs w:val="21"/>
          <w:highlight w:val="none"/>
        </w:rPr>
        <w:t>。</w:t>
      </w:r>
    </w:p>
    <w:p w14:paraId="44105671">
      <w:pPr>
        <w:pageBreakBefore w:val="0"/>
        <w:kinsoku/>
        <w:wordWrap/>
        <w:overflowPunct/>
        <w:topLinePunct w:val="0"/>
        <w:bidi w:val="0"/>
        <w:snapToGrid/>
        <w:spacing w:after="0" w:afterLines="0" w:line="360" w:lineRule="auto"/>
        <w:ind w:left="1050" w:hanging="1050" w:hangingChars="5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16.1.2 发包人违约的责任</w:t>
      </w:r>
    </w:p>
    <w:p w14:paraId="7EE62D16">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发包人违约责任的承担方式和计算方法：</w:t>
      </w:r>
    </w:p>
    <w:p w14:paraId="4356BB83">
      <w:pPr>
        <w:pageBreakBefore w:val="0"/>
        <w:kinsoku/>
        <w:wordWrap/>
        <w:overflowPunct/>
        <w:topLinePunct w:val="0"/>
        <w:bidi w:val="0"/>
        <w:snapToGrid/>
        <w:spacing w:after="0" w:afterLines="0" w:line="360" w:lineRule="auto"/>
        <w:ind w:firstLine="420" w:firstLineChars="200"/>
        <w:jc w:val="both"/>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（1）因发包人原因未能在计划开工日期前7天内下达开工通知的违约责任：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lang w:val="en-US" w:eastAsia="zh-CN" w:bidi="ar"/>
        </w:rPr>
        <w:t>发包人不承担承包人由此增加的费用</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4F7A46DC">
      <w:pPr>
        <w:pageBreakBefore w:val="0"/>
        <w:kinsoku/>
        <w:wordWrap/>
        <w:overflowPunct/>
        <w:topLinePunct w:val="0"/>
        <w:bidi w:val="0"/>
        <w:snapToGrid/>
        <w:spacing w:after="0" w:afterLines="0" w:line="360" w:lineRule="auto"/>
        <w:ind w:firstLine="420" w:firstLineChars="200"/>
        <w:jc w:val="both"/>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（2）因发包人原因未能按合同约定支付合同价款的违约责任：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bidi="ar"/>
        </w:rPr>
        <w:t>由双方协商解决，协商期间承包人不得要求发包人支付未付工程进度款利息。逾期超过60日历天时，发包人按同期银行贷款利率向承包人支付拖欠工程款的利息</w:t>
      </w:r>
      <w:r>
        <w:rPr>
          <w:rFonts w:hint="eastAsia" w:ascii="宋体" w:hAnsi="宋体" w:eastAsia="宋体" w:cs="宋体"/>
          <w:color w:val="auto"/>
          <w:kern w:val="0"/>
          <w:sz w:val="21"/>
          <w:szCs w:val="21"/>
          <w:highlight w:val="none"/>
          <w:lang w:val="en-US" w:eastAsia="zh-CN" w:bidi="ar"/>
        </w:rPr>
        <w:t>。</w:t>
      </w:r>
    </w:p>
    <w:p w14:paraId="64520357">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（3）发包人违反第10.1款〔变更的范围〕第（2）项约定，自行实施被取消的工作或转由他人实施的违约责任：</w:t>
      </w:r>
      <w:r>
        <w:rPr>
          <w:rFonts w:hint="eastAsia" w:ascii="宋体" w:hAnsi="宋体" w:eastAsia="宋体" w:cs="宋体"/>
          <w:color w:val="auto"/>
          <w:kern w:val="0"/>
          <w:sz w:val="21"/>
          <w:szCs w:val="21"/>
          <w:highlight w:val="none"/>
          <w:u w:val="single"/>
        </w:rPr>
        <w:t xml:space="preserve">   /     </w:t>
      </w:r>
      <w:r>
        <w:rPr>
          <w:rFonts w:hint="eastAsia" w:ascii="宋体" w:hAnsi="宋体" w:eastAsia="宋体" w:cs="宋体"/>
          <w:color w:val="auto"/>
          <w:kern w:val="0"/>
          <w:sz w:val="21"/>
          <w:szCs w:val="21"/>
          <w:highlight w:val="none"/>
        </w:rPr>
        <w:t>。</w:t>
      </w:r>
    </w:p>
    <w:p w14:paraId="7500692A">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lang w:val="en-US" w:eastAsia="zh-CN" w:bidi="ar"/>
        </w:rPr>
        <w:t>发包人不提供材料、工程设备</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195E46FA">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（5）因发包人违反合同约定造成暂停施工的违约责任：</w:t>
      </w:r>
      <w:r>
        <w:rPr>
          <w:rFonts w:hint="eastAsia" w:ascii="宋体" w:hAnsi="宋体" w:eastAsia="宋体" w:cs="宋体"/>
          <w:color w:val="auto"/>
          <w:kern w:val="0"/>
          <w:sz w:val="21"/>
          <w:szCs w:val="21"/>
          <w:highlight w:val="none"/>
          <w:u w:val="single"/>
        </w:rPr>
        <w:t xml:space="preserve">   /   </w:t>
      </w:r>
      <w:r>
        <w:rPr>
          <w:rFonts w:hint="eastAsia" w:ascii="宋体" w:hAnsi="宋体" w:eastAsia="宋体" w:cs="宋体"/>
          <w:color w:val="auto"/>
          <w:kern w:val="0"/>
          <w:sz w:val="21"/>
          <w:szCs w:val="21"/>
          <w:highlight w:val="none"/>
        </w:rPr>
        <w:t>。</w:t>
      </w:r>
    </w:p>
    <w:p w14:paraId="09EA0321">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（6）发包人无正当理由没有在约定期限内发出复工指示，导致承包人无法复工的违约责任：</w:t>
      </w:r>
      <w:r>
        <w:rPr>
          <w:rFonts w:hint="eastAsia" w:ascii="宋体" w:hAnsi="宋体" w:eastAsia="宋体" w:cs="宋体"/>
          <w:color w:val="auto"/>
          <w:kern w:val="0"/>
          <w:sz w:val="21"/>
          <w:szCs w:val="21"/>
          <w:highlight w:val="none"/>
          <w:u w:val="single"/>
        </w:rPr>
        <w:t xml:space="preserve">         /           </w:t>
      </w:r>
      <w:r>
        <w:rPr>
          <w:rFonts w:hint="eastAsia" w:ascii="宋体" w:hAnsi="宋体" w:eastAsia="宋体" w:cs="宋体"/>
          <w:color w:val="auto"/>
          <w:kern w:val="0"/>
          <w:sz w:val="21"/>
          <w:szCs w:val="21"/>
          <w:highlight w:val="none"/>
        </w:rPr>
        <w:t>。</w:t>
      </w:r>
    </w:p>
    <w:p w14:paraId="671AFCB9">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（7）其他：</w:t>
      </w:r>
      <w:r>
        <w:rPr>
          <w:rFonts w:hint="eastAsia" w:ascii="宋体" w:hAnsi="宋体" w:eastAsia="宋体" w:cs="宋体"/>
          <w:color w:val="auto"/>
          <w:kern w:val="0"/>
          <w:sz w:val="21"/>
          <w:szCs w:val="21"/>
          <w:highlight w:val="none"/>
          <w:u w:val="single"/>
        </w:rPr>
        <w:t xml:space="preserve">                    /                      </w:t>
      </w:r>
      <w:r>
        <w:rPr>
          <w:rFonts w:hint="eastAsia" w:ascii="宋体" w:hAnsi="宋体" w:eastAsia="宋体" w:cs="宋体"/>
          <w:color w:val="auto"/>
          <w:kern w:val="0"/>
          <w:sz w:val="21"/>
          <w:szCs w:val="21"/>
          <w:highlight w:val="none"/>
        </w:rPr>
        <w:t>。</w:t>
      </w:r>
    </w:p>
    <w:p w14:paraId="4F925359">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16.1.3 因发包人违约解除合同</w:t>
      </w:r>
    </w:p>
    <w:p w14:paraId="01D41C30">
      <w:pPr>
        <w:pageBreakBefore w:val="0"/>
        <w:kinsoku/>
        <w:wordWrap/>
        <w:overflowPunct/>
        <w:topLinePunct w:val="0"/>
        <w:autoSpaceDE w:val="0"/>
        <w:autoSpaceDN w:val="0"/>
        <w:bidi w:val="0"/>
        <w:adjustRightInd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承包人按16.1.1项〔发包人违约的情形〕约定暂停施工满</w:t>
      </w:r>
      <w:r>
        <w:rPr>
          <w:rFonts w:hint="eastAsia" w:ascii="宋体" w:hAnsi="宋体" w:eastAsia="宋体" w:cs="宋体"/>
          <w:color w:val="auto"/>
          <w:kern w:val="0"/>
          <w:sz w:val="21"/>
          <w:szCs w:val="21"/>
          <w:highlight w:val="none"/>
          <w:u w:val="single"/>
        </w:rPr>
        <w:t xml:space="preserve"> 28 </w:t>
      </w:r>
      <w:r>
        <w:rPr>
          <w:rFonts w:hint="eastAsia" w:ascii="宋体" w:hAnsi="宋体" w:eastAsia="宋体" w:cs="宋体"/>
          <w:color w:val="auto"/>
          <w:kern w:val="0"/>
          <w:sz w:val="21"/>
          <w:szCs w:val="21"/>
          <w:highlight w:val="none"/>
        </w:rPr>
        <w:t>天后发包人仍不纠正其违约行为并致使合同目的不能实现的，承包人有权解除合同。</w:t>
      </w:r>
    </w:p>
    <w:p w14:paraId="0F4DE87D">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16.2 承包人违约</w:t>
      </w:r>
    </w:p>
    <w:p w14:paraId="69CF5FB3">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highlight w:val="none"/>
        </w:rPr>
        <w:t xml:space="preserve">16.2.1 </w:t>
      </w:r>
      <w:r>
        <w:rPr>
          <w:rFonts w:hint="eastAsia" w:ascii="宋体" w:hAnsi="宋体" w:eastAsia="宋体" w:cs="宋体"/>
          <w:color w:val="auto"/>
          <w:sz w:val="21"/>
          <w:szCs w:val="21"/>
        </w:rPr>
        <w:t>承包人违约的情形</w:t>
      </w:r>
    </w:p>
    <w:p w14:paraId="266095E1">
      <w:pPr>
        <w:pageBreakBefore w:val="0"/>
        <w:widowControl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承包人违约的其他情形：</w:t>
      </w:r>
      <w:r>
        <w:rPr>
          <w:rFonts w:hint="eastAsia" w:ascii="宋体" w:hAnsi="宋体" w:eastAsia="宋体" w:cs="宋体"/>
          <w:color w:val="auto"/>
          <w:sz w:val="21"/>
          <w:szCs w:val="21"/>
          <w:u w:val="single"/>
        </w:rPr>
        <w:t>（1）因承包人原因造成本合同被解除或终止时，按本合同总价款10%向发包人支付违约金，且发包人有权决定是否接受属于承包人在现场的一切设施、设备、材料使用于本工程；给发包人造成的损失超过违约金的，发包人还有进一步要求向承包人索赔的权利。（2）承包人逾期清场或退场、逾期向发包人交付全部工程、逾期交付符合海南省规定的建筑档案管理的内业资料的，按逾期竣工承担违约责任</w:t>
      </w:r>
      <w:r>
        <w:rPr>
          <w:rFonts w:hint="eastAsia" w:ascii="宋体" w:hAnsi="宋体" w:eastAsia="宋体" w:cs="宋体"/>
          <w:color w:val="auto"/>
          <w:sz w:val="21"/>
          <w:szCs w:val="21"/>
        </w:rPr>
        <w:t>。</w:t>
      </w:r>
    </w:p>
    <w:p w14:paraId="261410D7">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.2.2 通知改正</w:t>
      </w:r>
    </w:p>
    <w:p w14:paraId="7B51969E">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工程师通知承包人改正的合理期限是：</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677F8177">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.2.3 承包人违约的责任</w:t>
      </w:r>
    </w:p>
    <w:p w14:paraId="1E8876DE">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承包人违约责任的承担方式和计算方法： </w:t>
      </w:r>
      <w:r>
        <w:rPr>
          <w:rFonts w:hint="eastAsia" w:ascii="宋体" w:hAnsi="宋体" w:eastAsia="宋体" w:cs="宋体"/>
          <w:color w:val="auto"/>
          <w:sz w:val="21"/>
          <w:szCs w:val="21"/>
          <w:u w:val="single"/>
        </w:rPr>
        <w:t>（1）因承包人原因不能按照本合同约定的竣工日期或发包人同意顺延的工期竣工，每逾期一天，应向发包人支付合同总价万分之五的违约金；逾期超过30个日历天的，发包人有权单方解除合同。</w:t>
      </w:r>
    </w:p>
    <w:p w14:paraId="4F78F8C5">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u w:val="single"/>
        </w:rPr>
        <w:t>（2）因承包人原因工程质量达不到本合同约定的质量标准，经发包人通知整改一次后仍验收不合格的，发包人有权另行委托他人进行整改，除所需费用由承包人承担外，承包人还应向发包人支付本项不合格工程造价30%的违约金。</w:t>
      </w:r>
    </w:p>
    <w:p w14:paraId="3B0FA656">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u w:val="single"/>
        </w:rPr>
        <w:t>（3）如发现承包人供应的材料、设备属于假冒伪劣产品时，承包人除应按合同约定无条件退货并更换合格产品外，发包人还有权要求承包人支付合格产品市场价值二倍的违约金。</w:t>
      </w:r>
    </w:p>
    <w:p w14:paraId="5D1214B9">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u w:val="single"/>
        </w:rPr>
        <w:t>（4）本工程未经发包人同意不得分包或转包。承包人不得将其承包的全部工程转包给他人，也不得将其承包的全部工程肢解以后以分包的名义分别转包给他人，如经发现，发包人有权单方面解除合同，承包人应按分包或转包工程项目审核造价总额的30%支付违约金。</w:t>
      </w:r>
    </w:p>
    <w:p w14:paraId="0CEEBC1D">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u w:val="single"/>
        </w:rPr>
        <w:t>（5）不论双方因任何事项而发生纠纷时，若承包人或承包人的管理人员或施工队负责人带领、指使、教唆、怂恿工人或其他人员围攻、殴打、谩骂发包人人员、或围困发包人办公场所、工地，妨碍、影响了发包人的正常工作、经营秩序的，或因本工程民工工资问题到有关部门上访的，一旦这种情况出现时，承包人除应立即阻止外，每次承包人均应向发包人支付2万元/次/人违约金。</w:t>
      </w:r>
    </w:p>
    <w:p w14:paraId="4EACD709">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u w:val="single"/>
        </w:rPr>
        <w:t>（6）合同解除后，不影响双方在合同中约定的结算和质保金的效力，亦不能免除承包人对已完工程项目的保修责任</w:t>
      </w:r>
      <w:r>
        <w:rPr>
          <w:rFonts w:hint="eastAsia" w:ascii="宋体" w:hAnsi="宋体" w:eastAsia="宋体" w:cs="宋体"/>
          <w:color w:val="auto"/>
          <w:kern w:val="0"/>
          <w:sz w:val="21"/>
          <w:szCs w:val="21"/>
          <w:highlight w:val="none"/>
          <w:lang w:val="en-US" w:eastAsia="zh-CN" w:bidi="ar"/>
        </w:rPr>
        <w:t>。</w:t>
      </w:r>
    </w:p>
    <w:p w14:paraId="4C740047">
      <w:pPr>
        <w:pageBreakBefore w:val="0"/>
        <w:kinsoku/>
        <w:wordWrap/>
        <w:overflowPunct/>
        <w:topLinePunct w:val="0"/>
        <w:bidi w:val="0"/>
        <w:snapToGrid/>
        <w:spacing w:after="0" w:afterLines="0" w:line="360" w:lineRule="auto"/>
        <w:textAlignment w:val="auto"/>
        <w:outlineLvl w:val="1"/>
        <w:rPr>
          <w:rFonts w:hint="eastAsia" w:ascii="宋体" w:hAnsi="宋体" w:eastAsia="宋体" w:cs="宋体"/>
          <w:b w:val="0"/>
          <w:bCs w:val="0"/>
          <w:color w:val="auto"/>
          <w:kern w:val="2"/>
          <w:sz w:val="21"/>
          <w:szCs w:val="21"/>
          <w:highlight w:val="none"/>
          <w:lang w:val="en-US" w:eastAsia="zh-CN" w:bidi="ar-SA"/>
        </w:rPr>
      </w:pPr>
      <w:bookmarkStart w:id="684" w:name="_Toc351203649"/>
      <w:bookmarkStart w:id="685" w:name="_Toc6877"/>
      <w:bookmarkStart w:id="686" w:name="_Toc2401"/>
      <w:bookmarkStart w:id="687" w:name="_Toc17926"/>
      <w:bookmarkStart w:id="688" w:name="_Toc31716"/>
      <w:bookmarkStart w:id="689" w:name="_Toc27652"/>
      <w:r>
        <w:rPr>
          <w:rFonts w:hint="eastAsia" w:ascii="宋体" w:hAnsi="宋体" w:eastAsia="宋体" w:cs="宋体"/>
          <w:b w:val="0"/>
          <w:bCs w:val="0"/>
          <w:color w:val="auto"/>
          <w:kern w:val="2"/>
          <w:sz w:val="21"/>
          <w:szCs w:val="21"/>
          <w:highlight w:val="none"/>
          <w:lang w:val="en-US" w:eastAsia="zh-CN" w:bidi="ar-SA"/>
        </w:rPr>
        <w:t>17. 不可抗力</w:t>
      </w:r>
      <w:bookmarkEnd w:id="684"/>
      <w:bookmarkEnd w:id="685"/>
      <w:bookmarkEnd w:id="686"/>
      <w:bookmarkEnd w:id="687"/>
      <w:bookmarkEnd w:id="688"/>
      <w:bookmarkEnd w:id="689"/>
      <w:r>
        <w:rPr>
          <w:rFonts w:hint="eastAsia" w:ascii="宋体" w:hAnsi="宋体" w:eastAsia="宋体" w:cs="宋体"/>
          <w:b w:val="0"/>
          <w:bCs w:val="0"/>
          <w:color w:val="auto"/>
          <w:kern w:val="2"/>
          <w:sz w:val="21"/>
          <w:szCs w:val="21"/>
          <w:highlight w:val="none"/>
          <w:lang w:val="en-US" w:eastAsia="zh-CN" w:bidi="ar-SA"/>
        </w:rPr>
        <w:t xml:space="preserve"> </w:t>
      </w:r>
      <w:bookmarkEnd w:id="682"/>
    </w:p>
    <w:p w14:paraId="4623E9EA">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17.1 不可抗力的确认</w:t>
      </w:r>
    </w:p>
    <w:p w14:paraId="12B0814B">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sz w:val="21"/>
          <w:szCs w:val="21"/>
          <w:highlight w:val="none"/>
        </w:rPr>
        <w:t xml:space="preserve">除通用合同条款约定的不可抗力事件之外，视为不可抗力的其他情形： </w:t>
      </w:r>
      <w:r>
        <w:rPr>
          <w:rFonts w:hint="eastAsia" w:ascii="宋体" w:hAnsi="宋体" w:eastAsia="宋体" w:cs="宋体"/>
          <w:color w:val="auto"/>
          <w:kern w:val="0"/>
          <w:sz w:val="21"/>
          <w:szCs w:val="21"/>
          <w:highlight w:val="none"/>
          <w:u w:val="single"/>
        </w:rPr>
        <w:t xml:space="preserve"> </w:t>
      </w:r>
    </w:p>
    <w:p w14:paraId="690C93F2">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u w:val="single"/>
          <w:lang w:val="en-US"/>
        </w:rPr>
      </w:pPr>
      <w:r>
        <w:rPr>
          <w:rFonts w:hint="eastAsia" w:ascii="宋体" w:hAnsi="宋体" w:eastAsia="宋体" w:cs="宋体"/>
          <w:color w:val="auto"/>
          <w:kern w:val="0"/>
          <w:sz w:val="21"/>
          <w:szCs w:val="21"/>
          <w:highlight w:val="none"/>
          <w:u w:val="single"/>
          <w:lang w:val="en-US" w:eastAsia="zh-CN" w:bidi="ar"/>
        </w:rPr>
        <w:t>（1）6.5级以上的地震；</w:t>
      </w:r>
    </w:p>
    <w:p w14:paraId="195F8D54">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u w:val="single"/>
          <w:lang w:val="en-US"/>
        </w:rPr>
      </w:pPr>
      <w:r>
        <w:rPr>
          <w:rFonts w:hint="eastAsia" w:ascii="宋体" w:hAnsi="宋体" w:eastAsia="宋体" w:cs="宋体"/>
          <w:color w:val="auto"/>
          <w:kern w:val="0"/>
          <w:sz w:val="21"/>
          <w:szCs w:val="21"/>
          <w:highlight w:val="none"/>
          <w:u w:val="single"/>
          <w:lang w:val="en-US" w:eastAsia="zh-CN" w:bidi="ar"/>
        </w:rPr>
        <w:t>（2）持续24小时12级以上的大风；</w:t>
      </w:r>
    </w:p>
    <w:p w14:paraId="7FB4CDAF">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u w:val="single"/>
          <w:lang w:val="en-US"/>
        </w:rPr>
      </w:pPr>
      <w:r>
        <w:rPr>
          <w:rFonts w:hint="eastAsia" w:ascii="宋体" w:hAnsi="宋体" w:eastAsia="宋体" w:cs="宋体"/>
          <w:color w:val="auto"/>
          <w:kern w:val="0"/>
          <w:sz w:val="21"/>
          <w:szCs w:val="21"/>
          <w:highlight w:val="none"/>
          <w:u w:val="single"/>
          <w:lang w:val="en-US" w:eastAsia="zh-CN" w:bidi="ar"/>
        </w:rPr>
        <w:t>（3）持续降雨24小时且降雨量为200mm以上；</w:t>
      </w:r>
    </w:p>
    <w:p w14:paraId="3EB20AE5">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both"/>
        <w:textAlignment w:val="auto"/>
        <w:rPr>
          <w:rFonts w:hint="eastAsia" w:ascii="宋体" w:hAnsi="宋体" w:eastAsia="宋体" w:cs="宋体"/>
          <w:color w:val="auto"/>
          <w:kern w:val="0"/>
          <w:sz w:val="21"/>
          <w:szCs w:val="21"/>
          <w:highlight w:val="none"/>
          <w:u w:val="single"/>
          <w:lang w:val="en-US"/>
        </w:rPr>
      </w:pPr>
      <w:r>
        <w:rPr>
          <w:rFonts w:hint="eastAsia" w:ascii="宋体" w:hAnsi="宋体" w:eastAsia="宋体" w:cs="宋体"/>
          <w:color w:val="auto"/>
          <w:kern w:val="0"/>
          <w:sz w:val="21"/>
          <w:szCs w:val="21"/>
          <w:highlight w:val="none"/>
          <w:u w:val="single"/>
          <w:lang w:val="en-US" w:eastAsia="zh-CN" w:bidi="ar"/>
        </w:rPr>
        <w:t>（4）40摄氏度以上并持续3天以上的高温天气。</w:t>
      </w:r>
    </w:p>
    <w:p w14:paraId="7DADE892">
      <w:pPr>
        <w:pageBreakBefore w:val="0"/>
        <w:kinsoku/>
        <w:wordWrap/>
        <w:overflowPunct/>
        <w:topLinePunct w:val="0"/>
        <w:bidi w:val="0"/>
        <w:snapToGrid/>
        <w:spacing w:after="0" w:afterLines="0" w:line="360" w:lineRule="auto"/>
        <w:ind w:firstLine="420" w:firstLineChars="200"/>
        <w:jc w:val="both"/>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上述气象情况以气象部门发布的公告为准</w:t>
      </w:r>
      <w:r>
        <w:rPr>
          <w:rFonts w:hint="eastAsia" w:ascii="宋体" w:hAnsi="宋体" w:eastAsia="宋体" w:cs="宋体"/>
          <w:color w:val="auto"/>
          <w:kern w:val="0"/>
          <w:sz w:val="21"/>
          <w:szCs w:val="21"/>
          <w:highlight w:val="none"/>
          <w:lang w:val="en-US" w:eastAsia="zh-CN" w:bidi="ar"/>
        </w:rPr>
        <w:t>。</w:t>
      </w:r>
    </w:p>
    <w:p w14:paraId="26381602">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17.2 因不可抗力解除合同</w:t>
      </w:r>
    </w:p>
    <w:p w14:paraId="5F013EC3">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合同解除后，发包人应在商定或确定发包人应支付款项后</w:t>
      </w:r>
      <w:r>
        <w:rPr>
          <w:rFonts w:hint="eastAsia" w:ascii="宋体" w:hAnsi="宋体" w:eastAsia="宋体" w:cs="宋体"/>
          <w:color w:val="auto"/>
          <w:sz w:val="21"/>
          <w:szCs w:val="21"/>
          <w:highlight w:val="none"/>
          <w:u w:val="single"/>
        </w:rPr>
        <w:t xml:space="preserve"> 60 </w:t>
      </w:r>
      <w:r>
        <w:rPr>
          <w:rFonts w:hint="eastAsia" w:ascii="宋体" w:hAnsi="宋体" w:eastAsia="宋体" w:cs="宋体"/>
          <w:color w:val="auto"/>
          <w:sz w:val="21"/>
          <w:szCs w:val="21"/>
          <w:highlight w:val="none"/>
        </w:rPr>
        <w:t>天内完成款项的支付。</w:t>
      </w:r>
    </w:p>
    <w:p w14:paraId="1C5FAFF7">
      <w:pPr>
        <w:pStyle w:val="6"/>
        <w:pageBreakBefore w:val="0"/>
        <w:kinsoku/>
        <w:wordWrap/>
        <w:overflowPunct/>
        <w:topLinePunct w:val="0"/>
        <w:bidi w:val="0"/>
        <w:snapToGrid/>
        <w:spacing w:after="0" w:afterLines="0" w:line="360" w:lineRule="auto"/>
        <w:textAlignment w:val="auto"/>
        <w:outlineLvl w:val="1"/>
        <w:rPr>
          <w:rFonts w:hint="eastAsia" w:ascii="宋体" w:hAnsi="宋体" w:eastAsia="宋体" w:cs="宋体"/>
          <w:b w:val="0"/>
          <w:bCs w:val="0"/>
          <w:color w:val="auto"/>
          <w:kern w:val="2"/>
          <w:sz w:val="21"/>
          <w:szCs w:val="21"/>
          <w:highlight w:val="none"/>
          <w:lang w:val="en-US" w:eastAsia="zh-CN" w:bidi="ar-SA"/>
        </w:rPr>
      </w:pPr>
      <w:bookmarkStart w:id="690" w:name="_Toc32492"/>
      <w:bookmarkStart w:id="691" w:name="_Toc9578"/>
      <w:bookmarkStart w:id="692" w:name="_Toc24172"/>
      <w:bookmarkStart w:id="693" w:name="_Toc19062"/>
      <w:bookmarkStart w:id="694" w:name="_Toc16507"/>
      <w:bookmarkStart w:id="695" w:name="_Toc351203650"/>
      <w:r>
        <w:rPr>
          <w:rFonts w:hint="eastAsia" w:ascii="宋体" w:hAnsi="宋体" w:eastAsia="宋体" w:cs="宋体"/>
          <w:b w:val="0"/>
          <w:bCs w:val="0"/>
          <w:color w:val="auto"/>
          <w:kern w:val="2"/>
          <w:sz w:val="21"/>
          <w:szCs w:val="21"/>
          <w:highlight w:val="none"/>
          <w:lang w:val="en-US" w:eastAsia="zh-CN" w:bidi="ar-SA"/>
        </w:rPr>
        <w:t>18. 保险</w:t>
      </w:r>
      <w:bookmarkEnd w:id="690"/>
      <w:bookmarkEnd w:id="691"/>
      <w:bookmarkEnd w:id="692"/>
      <w:bookmarkEnd w:id="693"/>
      <w:bookmarkEnd w:id="694"/>
      <w:bookmarkEnd w:id="695"/>
    </w:p>
    <w:bookmarkEnd w:id="683"/>
    <w:p w14:paraId="18F5DCFF">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18.1 工程保险</w:t>
      </w:r>
    </w:p>
    <w:p w14:paraId="62B2BF64">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关于工程保险的特别约定：</w:t>
      </w:r>
      <w:r>
        <w:rPr>
          <w:rFonts w:hint="eastAsia" w:ascii="宋体" w:hAnsi="宋体" w:eastAsia="宋体" w:cs="宋体"/>
          <w:color w:val="auto"/>
          <w:kern w:val="0"/>
          <w:sz w:val="21"/>
          <w:szCs w:val="21"/>
          <w:highlight w:val="none"/>
          <w:u w:val="single"/>
        </w:rPr>
        <w:t xml:space="preserve">  按合同通用条款执行   </w:t>
      </w:r>
      <w:r>
        <w:rPr>
          <w:rFonts w:hint="eastAsia" w:ascii="宋体" w:hAnsi="宋体" w:eastAsia="宋体" w:cs="宋体"/>
          <w:color w:val="auto"/>
          <w:kern w:val="0"/>
          <w:sz w:val="21"/>
          <w:szCs w:val="21"/>
          <w:highlight w:val="none"/>
        </w:rPr>
        <w:t>。</w:t>
      </w:r>
    </w:p>
    <w:p w14:paraId="79D32F62">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18.3 其他保险</w:t>
      </w:r>
    </w:p>
    <w:p w14:paraId="5FD76FD8">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关于其他保险的约定：</w:t>
      </w:r>
      <w:r>
        <w:rPr>
          <w:rFonts w:hint="eastAsia" w:ascii="宋体" w:hAnsi="宋体" w:eastAsia="宋体" w:cs="宋体"/>
          <w:color w:val="auto"/>
          <w:kern w:val="0"/>
          <w:sz w:val="21"/>
          <w:szCs w:val="21"/>
          <w:highlight w:val="none"/>
          <w:u w:val="single"/>
        </w:rPr>
        <w:t xml:space="preserve">  按合同通用条款执行   </w:t>
      </w:r>
      <w:r>
        <w:rPr>
          <w:rFonts w:hint="eastAsia" w:ascii="宋体" w:hAnsi="宋体" w:eastAsia="宋体" w:cs="宋体"/>
          <w:color w:val="auto"/>
          <w:kern w:val="0"/>
          <w:sz w:val="21"/>
          <w:szCs w:val="21"/>
          <w:highlight w:val="none"/>
        </w:rPr>
        <w:t>。</w:t>
      </w:r>
    </w:p>
    <w:p w14:paraId="502466E8">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承包人是否应为其施工设备等办理财产保险：</w:t>
      </w:r>
      <w:r>
        <w:rPr>
          <w:rFonts w:hint="eastAsia" w:ascii="宋体" w:hAnsi="宋体" w:eastAsia="宋体" w:cs="宋体"/>
          <w:color w:val="auto"/>
          <w:sz w:val="21"/>
          <w:szCs w:val="21"/>
          <w:highlight w:val="none"/>
          <w:u w:val="single"/>
        </w:rPr>
        <w:t xml:space="preserve">   是   </w:t>
      </w:r>
      <w:r>
        <w:rPr>
          <w:rFonts w:hint="eastAsia" w:ascii="宋体" w:hAnsi="宋体" w:eastAsia="宋体" w:cs="宋体"/>
          <w:color w:val="auto"/>
          <w:sz w:val="21"/>
          <w:szCs w:val="21"/>
          <w:highlight w:val="none"/>
        </w:rPr>
        <w:t>。</w:t>
      </w:r>
    </w:p>
    <w:p w14:paraId="0F37A2DE">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18.7 通知义务</w:t>
      </w:r>
    </w:p>
    <w:p w14:paraId="28143E21">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关于变更保险合同时的通知义务的约定：</w:t>
      </w:r>
      <w:r>
        <w:rPr>
          <w:rFonts w:hint="eastAsia" w:ascii="宋体" w:hAnsi="宋体" w:eastAsia="宋体" w:cs="宋体"/>
          <w:color w:val="auto"/>
          <w:sz w:val="21"/>
          <w:szCs w:val="21"/>
          <w:highlight w:val="none"/>
          <w:u w:val="single"/>
        </w:rPr>
        <w:t xml:space="preserve">  按合同通用条款执行   </w:t>
      </w:r>
      <w:r>
        <w:rPr>
          <w:rFonts w:hint="eastAsia" w:ascii="宋体" w:hAnsi="宋体" w:eastAsia="宋体" w:cs="宋体"/>
          <w:color w:val="auto"/>
          <w:sz w:val="21"/>
          <w:szCs w:val="21"/>
          <w:highlight w:val="none"/>
        </w:rPr>
        <w:t>。</w:t>
      </w:r>
    </w:p>
    <w:bookmarkEnd w:id="654"/>
    <w:bookmarkEnd w:id="655"/>
    <w:bookmarkEnd w:id="656"/>
    <w:bookmarkEnd w:id="657"/>
    <w:bookmarkEnd w:id="658"/>
    <w:bookmarkEnd w:id="659"/>
    <w:bookmarkEnd w:id="660"/>
    <w:bookmarkEnd w:id="661"/>
    <w:bookmarkEnd w:id="662"/>
    <w:bookmarkEnd w:id="663"/>
    <w:bookmarkEnd w:id="664"/>
    <w:bookmarkEnd w:id="665"/>
    <w:p w14:paraId="30F0B022">
      <w:pPr>
        <w:pStyle w:val="6"/>
        <w:pageBreakBefore w:val="0"/>
        <w:kinsoku/>
        <w:wordWrap/>
        <w:overflowPunct/>
        <w:topLinePunct w:val="0"/>
        <w:bidi w:val="0"/>
        <w:snapToGrid/>
        <w:spacing w:after="0" w:afterLines="0" w:line="360" w:lineRule="auto"/>
        <w:textAlignment w:val="auto"/>
        <w:rPr>
          <w:rFonts w:hint="eastAsia" w:ascii="宋体" w:hAnsi="宋体" w:eastAsia="宋体" w:cs="宋体"/>
          <w:b w:val="0"/>
          <w:bCs w:val="0"/>
          <w:color w:val="auto"/>
          <w:kern w:val="2"/>
          <w:sz w:val="21"/>
          <w:szCs w:val="21"/>
          <w:highlight w:val="none"/>
          <w:lang w:val="en-US" w:eastAsia="zh-CN" w:bidi="ar-SA"/>
        </w:rPr>
      </w:pPr>
      <w:bookmarkStart w:id="696" w:name="_Toc351203651"/>
      <w:r>
        <w:rPr>
          <w:rFonts w:hint="eastAsia" w:ascii="宋体" w:hAnsi="宋体" w:eastAsia="宋体" w:cs="宋体"/>
          <w:b w:val="0"/>
          <w:bCs w:val="0"/>
          <w:color w:val="auto"/>
          <w:kern w:val="2"/>
          <w:sz w:val="21"/>
          <w:szCs w:val="21"/>
          <w:highlight w:val="none"/>
          <w:lang w:val="en-US" w:eastAsia="zh-CN" w:bidi="ar-SA"/>
        </w:rPr>
        <w:t>20. 争议解决</w:t>
      </w:r>
      <w:bookmarkEnd w:id="696"/>
    </w:p>
    <w:bookmarkEnd w:id="666"/>
    <w:bookmarkEnd w:id="667"/>
    <w:p w14:paraId="564FC9C7">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20.3 争</w:t>
      </w:r>
      <w:bookmarkEnd w:id="668"/>
      <w:r>
        <w:rPr>
          <w:rFonts w:hint="eastAsia" w:ascii="宋体" w:hAnsi="宋体" w:eastAsia="宋体" w:cs="宋体"/>
          <w:b w:val="0"/>
          <w:bCs w:val="0"/>
          <w:color w:val="auto"/>
          <w:kern w:val="2"/>
          <w:sz w:val="21"/>
          <w:szCs w:val="21"/>
          <w:highlight w:val="none"/>
          <w:lang w:val="en-US" w:eastAsia="zh-CN" w:bidi="ar-SA"/>
        </w:rPr>
        <w:t>议评审</w:t>
      </w:r>
    </w:p>
    <w:p w14:paraId="4E922F07">
      <w:pPr>
        <w:pageBreakBefore w:val="0"/>
        <w:kinsoku/>
        <w:wordWrap/>
        <w:overflowPunct/>
        <w:topLinePunct w:val="0"/>
        <w:bidi w:val="0"/>
        <w:snapToGrid/>
        <w:spacing w:after="0" w:afterLines="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合同当事人是否同意将工程争议提交争议评审小组决定：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否</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511EF4DE">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.1 争议评审小组的确定</w:t>
      </w:r>
    </w:p>
    <w:p w14:paraId="42F20383">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争议评审小组成员的确定：</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3C3FA0E9">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选定争议评审员的期限：</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07F48C06">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争议评审小组成员的报酬承担方式：</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20809B85">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其他事项的约定：</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49935BB2">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.2 争议评审小组的决定</w:t>
      </w:r>
    </w:p>
    <w:p w14:paraId="4775BAB8">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合同当事人关于本项的约定：</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3907BF96">
      <w:pPr>
        <w:pageBreakBefore w:val="0"/>
        <w:kinsoku/>
        <w:wordWrap/>
        <w:overflowPunct/>
        <w:topLinePunct w:val="0"/>
        <w:bidi w:val="0"/>
        <w:snapToGrid/>
        <w:spacing w:after="0" w:afterLines="0" w:line="360" w:lineRule="auto"/>
        <w:ind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20.4仲裁或诉讼</w:t>
      </w:r>
      <w:bookmarkEnd w:id="669"/>
    </w:p>
    <w:p w14:paraId="56C93C68">
      <w:pPr>
        <w:pageBreakBefore w:val="0"/>
        <w:kinsoku/>
        <w:wordWrap/>
        <w:overflowPunct/>
        <w:topLinePunct w:val="0"/>
        <w:bidi w:val="0"/>
        <w:snapToGrid/>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因合同及合同有关事项发生的争议，按下列第</w:t>
      </w:r>
      <w:r>
        <w:rPr>
          <w:rFonts w:hint="eastAsia" w:ascii="宋体" w:hAnsi="宋体" w:eastAsia="宋体" w:cs="宋体"/>
          <w:color w:val="auto"/>
          <w:sz w:val="21"/>
          <w:szCs w:val="21"/>
          <w:highlight w:val="none"/>
          <w:u w:val="single"/>
        </w:rPr>
        <w:t xml:space="preserve"> 2 </w:t>
      </w:r>
      <w:r>
        <w:rPr>
          <w:rFonts w:hint="eastAsia" w:ascii="宋体" w:hAnsi="宋体" w:eastAsia="宋体" w:cs="宋体"/>
          <w:color w:val="auto"/>
          <w:sz w:val="21"/>
          <w:szCs w:val="21"/>
          <w:highlight w:val="none"/>
        </w:rPr>
        <w:t>种方式解决：</w:t>
      </w:r>
    </w:p>
    <w:p w14:paraId="5253A1F7">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（1）向</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仲裁委员会申请仲裁；</w:t>
      </w:r>
    </w:p>
    <w:p w14:paraId="764C596F">
      <w:pPr>
        <w:pageBreakBefore w:val="0"/>
        <w:kinsoku/>
        <w:wordWrap/>
        <w:overflowPunct/>
        <w:topLinePunct w:val="0"/>
        <w:bidi w:val="0"/>
        <w:snapToGrid/>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（2）向</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bidi="ar"/>
        </w:rPr>
        <w:t>项目所在地具有管辖权的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人民法院起诉。</w:t>
      </w:r>
      <w:bookmarkEnd w:id="670"/>
      <w:bookmarkEnd w:id="671"/>
      <w:bookmarkEnd w:id="672"/>
      <w:bookmarkEnd w:id="673"/>
      <w:bookmarkEnd w:id="674"/>
      <w:bookmarkEnd w:id="675"/>
      <w:bookmarkStart w:id="697" w:name="_Toc51829185"/>
      <w:bookmarkStart w:id="698" w:name="_Toc54768823"/>
    </w:p>
    <w:p w14:paraId="63AAE917">
      <w:pPr>
        <w:pageBreakBefore w:val="0"/>
        <w:kinsoku/>
        <w:wordWrap/>
        <w:overflowPunct/>
        <w:topLinePunct w:val="0"/>
        <w:bidi w:val="0"/>
        <w:snapToGrid/>
        <w:spacing w:after="0" w:afterLines="0" w:line="360" w:lineRule="auto"/>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21.补充条款</w:t>
      </w:r>
      <w:bookmarkEnd w:id="697"/>
      <w:bookmarkEnd w:id="698"/>
    </w:p>
    <w:p w14:paraId="52100E5D">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b w:val="0"/>
          <w:bCs w:val="0"/>
          <w:color w:val="auto"/>
          <w:kern w:val="2"/>
          <w:sz w:val="21"/>
          <w:szCs w:val="21"/>
          <w:highlight w:val="none"/>
          <w:lang w:val="en-US" w:eastAsia="zh-CN" w:bidi="ar-SA"/>
        </w:rPr>
        <w:t>21.1</w:t>
      </w:r>
      <w:r>
        <w:rPr>
          <w:rFonts w:hint="eastAsia" w:ascii="宋体" w:hAnsi="宋体" w:eastAsia="宋体" w:cs="宋体"/>
          <w:color w:val="auto"/>
          <w:kern w:val="2"/>
          <w:sz w:val="21"/>
          <w:szCs w:val="21"/>
          <w:highlight w:val="none"/>
          <w:lang w:val="en-US" w:eastAsia="zh-CN" w:bidi="ar"/>
        </w:rPr>
        <w:t xml:space="preserve"> 本合同未尽事宜，按照本招标文件的有关规定、中标人的投标文件及其澄清、说明或者补充文件执行。</w:t>
      </w:r>
    </w:p>
    <w:p w14:paraId="2CCE8643">
      <w:pPr>
        <w:keepNext w:val="0"/>
        <w:keepLines w:val="0"/>
        <w:pageBreakBefore w:val="0"/>
        <w:widowControl w:val="0"/>
        <w:suppressLineNumbers w:val="0"/>
        <w:kinsoku/>
        <w:wordWrap/>
        <w:overflowPunct/>
        <w:topLinePunct w:val="0"/>
        <w:bidi w:val="0"/>
        <w:snapToGrid/>
        <w:spacing w:beforeAutospacing="0" w:after="0" w:afterLines="0" w:afterAutospacing="0" w:line="360" w:lineRule="auto"/>
        <w:ind w:left="0" w:right="0" w:firstLine="420" w:firstLineChars="200"/>
        <w:jc w:val="left"/>
        <w:textAlignment w:val="auto"/>
        <w:rPr>
          <w:rFonts w:hint="eastAsia" w:ascii="宋体" w:hAnsi="宋体" w:eastAsia="宋体" w:cs="宋体"/>
          <w:b/>
          <w:color w:val="auto"/>
          <w:sz w:val="21"/>
          <w:szCs w:val="21"/>
          <w:highlight w:val="none"/>
          <w:lang w:val="en-US"/>
        </w:rPr>
      </w:pPr>
      <w:r>
        <w:rPr>
          <w:rFonts w:hint="eastAsia" w:ascii="宋体" w:hAnsi="宋体" w:eastAsia="宋体" w:cs="宋体"/>
          <w:b w:val="0"/>
          <w:bCs w:val="0"/>
          <w:color w:val="auto"/>
          <w:kern w:val="2"/>
          <w:sz w:val="21"/>
          <w:szCs w:val="21"/>
          <w:highlight w:val="none"/>
          <w:lang w:val="en-US" w:eastAsia="zh-CN" w:bidi="ar-SA"/>
        </w:rPr>
        <w:t>21.2</w:t>
      </w:r>
      <w:r>
        <w:rPr>
          <w:rFonts w:hint="eastAsia" w:ascii="宋体" w:hAnsi="宋体" w:eastAsia="宋体" w:cs="宋体"/>
          <w:color w:val="auto"/>
          <w:kern w:val="2"/>
          <w:sz w:val="21"/>
          <w:szCs w:val="21"/>
          <w:highlight w:val="none"/>
          <w:lang w:val="en-US" w:eastAsia="zh-CN" w:bidi="ar"/>
        </w:rPr>
        <w:t xml:space="preserve"> 其余未尽事宜，双方另行签订补充合同。</w:t>
      </w:r>
    </w:p>
    <w:p w14:paraId="3E93DAB9">
      <w:pPr>
        <w:keepNext w:val="0"/>
        <w:keepLines w:val="0"/>
        <w:pageBreakBefore w:val="0"/>
        <w:widowControl/>
        <w:suppressLineNumbers w:val="0"/>
        <w:kinsoku/>
        <w:overflowPunct/>
        <w:bidi w:val="0"/>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eastAsia="zh-CN"/>
        </w:rPr>
      </w:pPr>
    </w:p>
    <w:p w14:paraId="0ADE550C">
      <w:pPr>
        <w:keepNext w:val="0"/>
        <w:keepLines w:val="0"/>
        <w:pageBreakBefore w:val="0"/>
        <w:widowControl/>
        <w:suppressLineNumbers w:val="0"/>
        <w:kinsoku/>
        <w:overflowPunct/>
        <w:bidi w:val="0"/>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（以下无正文）</w:t>
      </w:r>
    </w:p>
    <w:p w14:paraId="3A9FB32D">
      <w:pPr>
        <w:keepNext w:val="0"/>
        <w:keepLines w:val="0"/>
        <w:pageBreakBefore w:val="0"/>
        <w:widowControl/>
        <w:suppressLineNumbers w:val="0"/>
        <w:kinsoku/>
        <w:overflowPunct/>
        <w:bidi w:val="0"/>
        <w:spacing w:beforeAutospacing="0" w:after="0" w:afterLines="0" w:afterAutospacing="0" w:line="360" w:lineRule="auto"/>
        <w:ind w:left="0" w:right="0" w:firstLine="420" w:firstLineChars="200"/>
        <w:jc w:val="left"/>
        <w:textAlignment w:val="auto"/>
        <w:rPr>
          <w:rFonts w:hint="eastAsia" w:ascii="宋体" w:hAnsi="宋体" w:eastAsia="宋体" w:cs="宋体"/>
          <w:color w:val="auto"/>
          <w:sz w:val="21"/>
          <w:szCs w:val="21"/>
          <w:highlight w:val="none"/>
          <w:lang w:val="en-US" w:eastAsia="zh-CN"/>
        </w:rPr>
      </w:pPr>
    </w:p>
    <w:p w14:paraId="0C41A2F7">
      <w:pPr>
        <w:pStyle w:val="2"/>
        <w:pageBreakBefore w:val="0"/>
        <w:kinsoku/>
        <w:overflowPunct/>
        <w:bidi w:val="0"/>
        <w:spacing w:after="0" w:afterLines="0" w:line="360" w:lineRule="auto"/>
        <w:textAlignment w:val="auto"/>
        <w:rPr>
          <w:rFonts w:hint="eastAsia" w:ascii="宋体" w:hAnsi="宋体" w:eastAsia="宋体" w:cs="宋体"/>
          <w:color w:val="auto"/>
          <w:sz w:val="21"/>
          <w:szCs w:val="21"/>
          <w:highlight w:val="none"/>
          <w:lang w:val="en-US" w:eastAsia="zh-CN"/>
        </w:rPr>
      </w:pPr>
    </w:p>
    <w:p w14:paraId="686A46F5">
      <w:pPr>
        <w:pageBreakBefore w:val="0"/>
        <w:kinsoku/>
        <w:overflowPunct/>
        <w:bidi w:val="0"/>
        <w:spacing w:after="0" w:afterLines="0" w:line="360" w:lineRule="auto"/>
        <w:textAlignment w:val="auto"/>
        <w:rPr>
          <w:rFonts w:hint="eastAsia" w:ascii="宋体" w:hAnsi="宋体" w:eastAsia="宋体" w:cs="宋体"/>
          <w:color w:val="auto"/>
          <w:sz w:val="21"/>
          <w:szCs w:val="21"/>
          <w:highlight w:val="none"/>
          <w:lang w:val="en-US" w:eastAsia="zh-CN"/>
        </w:rPr>
      </w:pPr>
    </w:p>
    <w:p w14:paraId="3BC02E3D">
      <w:pPr>
        <w:pStyle w:val="2"/>
        <w:pageBreakBefore w:val="0"/>
        <w:kinsoku/>
        <w:overflowPunct/>
        <w:bidi w:val="0"/>
        <w:spacing w:after="0" w:afterLines="0" w:line="360" w:lineRule="auto"/>
        <w:textAlignment w:val="auto"/>
        <w:rPr>
          <w:rFonts w:hint="eastAsia" w:ascii="宋体" w:hAnsi="宋体" w:eastAsia="宋体" w:cs="宋体"/>
          <w:color w:val="auto"/>
          <w:sz w:val="21"/>
          <w:szCs w:val="21"/>
          <w:highlight w:val="none"/>
          <w:lang w:val="en-US" w:eastAsia="zh-CN"/>
        </w:rPr>
      </w:pPr>
    </w:p>
    <w:p w14:paraId="303DCE90">
      <w:pPr>
        <w:pageBreakBefore w:val="0"/>
        <w:kinsoku/>
        <w:overflowPunct/>
        <w:bidi w:val="0"/>
        <w:spacing w:after="0" w:afterLines="0" w:line="360" w:lineRule="auto"/>
        <w:textAlignment w:val="auto"/>
        <w:rPr>
          <w:rFonts w:hint="eastAsia"/>
          <w:lang w:val="en-US" w:eastAsia="zh-CN"/>
        </w:rPr>
      </w:pPr>
    </w:p>
    <w:p w14:paraId="2EAEC610">
      <w:pPr>
        <w:pStyle w:val="2"/>
        <w:pageBreakBefore w:val="0"/>
        <w:kinsoku/>
        <w:overflowPunct/>
        <w:bidi w:val="0"/>
        <w:spacing w:after="0" w:afterLines="0" w:line="360" w:lineRule="auto"/>
        <w:textAlignment w:val="auto"/>
        <w:rPr>
          <w:rFonts w:hint="eastAsia" w:ascii="宋体" w:hAnsi="宋体" w:eastAsia="宋体" w:cs="宋体"/>
          <w:color w:val="auto"/>
          <w:sz w:val="21"/>
          <w:szCs w:val="21"/>
          <w:lang w:val="en-US" w:eastAsia="zh-CN"/>
        </w:rPr>
      </w:pPr>
    </w:p>
    <w:tbl>
      <w:tblPr>
        <w:tblStyle w:val="35"/>
        <w:tblpPr w:leftFromText="180" w:rightFromText="180" w:vertAnchor="text" w:horzAnchor="page" w:tblpX="1702" w:tblpY="119"/>
        <w:tblW w:w="0" w:type="auto"/>
        <w:tblInd w:w="0" w:type="dxa"/>
        <w:tblLayout w:type="fixed"/>
        <w:tblCellMar>
          <w:top w:w="0" w:type="dxa"/>
          <w:left w:w="108" w:type="dxa"/>
          <w:bottom w:w="0" w:type="dxa"/>
          <w:right w:w="108" w:type="dxa"/>
        </w:tblCellMar>
      </w:tblPr>
      <w:tblGrid>
        <w:gridCol w:w="4507"/>
        <w:gridCol w:w="4565"/>
      </w:tblGrid>
      <w:tr w14:paraId="67F25C55">
        <w:tblPrEx>
          <w:tblCellMar>
            <w:top w:w="0" w:type="dxa"/>
            <w:left w:w="108" w:type="dxa"/>
            <w:bottom w:w="0" w:type="dxa"/>
            <w:right w:w="108" w:type="dxa"/>
          </w:tblCellMar>
        </w:tblPrEx>
        <w:tc>
          <w:tcPr>
            <w:tcW w:w="4507" w:type="dxa"/>
            <w:noWrap w:val="0"/>
            <w:vAlign w:val="top"/>
          </w:tcPr>
          <w:p w14:paraId="443A5392">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发包人：（公章）</w:t>
            </w:r>
          </w:p>
          <w:p w14:paraId="57F28516">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p>
          <w:p w14:paraId="6EE71022">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p>
        </w:tc>
        <w:tc>
          <w:tcPr>
            <w:tcW w:w="4565" w:type="dxa"/>
            <w:noWrap w:val="0"/>
            <w:vAlign w:val="top"/>
          </w:tcPr>
          <w:p w14:paraId="4500D502">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承包人：（公章）</w:t>
            </w:r>
          </w:p>
          <w:p w14:paraId="348D6B5C">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p>
          <w:p w14:paraId="2DBD12D8">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p>
        </w:tc>
      </w:tr>
      <w:tr w14:paraId="16C13D47">
        <w:tblPrEx>
          <w:tblCellMar>
            <w:top w:w="0" w:type="dxa"/>
            <w:left w:w="108" w:type="dxa"/>
            <w:bottom w:w="0" w:type="dxa"/>
            <w:right w:w="108" w:type="dxa"/>
          </w:tblCellMar>
        </w:tblPrEx>
        <w:tc>
          <w:tcPr>
            <w:tcW w:w="4507" w:type="dxa"/>
            <w:noWrap w:val="0"/>
            <w:vAlign w:val="top"/>
          </w:tcPr>
          <w:p w14:paraId="0A33A2EB">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法定代表人或其委托代理人：</w:t>
            </w:r>
          </w:p>
          <w:p w14:paraId="7DFA67B7">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（签字）</w:t>
            </w:r>
          </w:p>
          <w:p w14:paraId="2A3835C9">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p>
        </w:tc>
        <w:tc>
          <w:tcPr>
            <w:tcW w:w="4565" w:type="dxa"/>
            <w:noWrap w:val="0"/>
            <w:vAlign w:val="top"/>
          </w:tcPr>
          <w:p w14:paraId="283B49A4">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法定代表人或其委托代理人：</w:t>
            </w:r>
          </w:p>
          <w:p w14:paraId="21CC7479">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（签字）</w:t>
            </w:r>
          </w:p>
          <w:p w14:paraId="0EFC400C">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p>
        </w:tc>
      </w:tr>
      <w:tr w14:paraId="2B120E2A">
        <w:tblPrEx>
          <w:tblCellMar>
            <w:top w:w="0" w:type="dxa"/>
            <w:left w:w="108" w:type="dxa"/>
            <w:bottom w:w="0" w:type="dxa"/>
            <w:right w:w="108" w:type="dxa"/>
          </w:tblCellMar>
        </w:tblPrEx>
        <w:tc>
          <w:tcPr>
            <w:tcW w:w="4507" w:type="dxa"/>
            <w:noWrap w:val="0"/>
            <w:vAlign w:val="top"/>
          </w:tcPr>
          <w:p w14:paraId="62D10AB2">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统一社会信用代码：</w:t>
            </w:r>
            <w:r>
              <w:rPr>
                <w:rFonts w:hint="eastAsia" w:ascii="宋体" w:hAnsi="宋体" w:eastAsia="宋体" w:cs="宋体"/>
                <w:color w:val="auto"/>
                <w:kern w:val="0"/>
                <w:sz w:val="21"/>
                <w:szCs w:val="21"/>
                <w:u w:val="single"/>
              </w:rPr>
              <w:t xml:space="preserve">            </w:t>
            </w:r>
          </w:p>
          <w:p w14:paraId="099D5ED4">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地址：</w:t>
            </w:r>
            <w:r>
              <w:rPr>
                <w:rFonts w:hint="eastAsia" w:ascii="宋体" w:hAnsi="宋体" w:eastAsia="宋体" w:cs="宋体"/>
                <w:color w:val="auto"/>
                <w:kern w:val="0"/>
                <w:sz w:val="21"/>
                <w:szCs w:val="21"/>
                <w:u w:val="single"/>
              </w:rPr>
              <w:t xml:space="preserve">                       </w:t>
            </w:r>
          </w:p>
          <w:p w14:paraId="0F17E26B">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邮政编码：</w:t>
            </w:r>
            <w:r>
              <w:rPr>
                <w:rFonts w:hint="eastAsia" w:ascii="宋体" w:hAnsi="宋体" w:eastAsia="宋体" w:cs="宋体"/>
                <w:color w:val="auto"/>
                <w:kern w:val="0"/>
                <w:sz w:val="21"/>
                <w:szCs w:val="21"/>
                <w:u w:val="single"/>
              </w:rPr>
              <w:t xml:space="preserve">                      </w:t>
            </w:r>
          </w:p>
          <w:p w14:paraId="68CB79B6">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法定代表人：</w:t>
            </w:r>
            <w:r>
              <w:rPr>
                <w:rFonts w:hint="eastAsia" w:ascii="宋体" w:hAnsi="宋体" w:eastAsia="宋体" w:cs="宋体"/>
                <w:color w:val="auto"/>
                <w:kern w:val="0"/>
                <w:sz w:val="21"/>
                <w:szCs w:val="21"/>
                <w:u w:val="single"/>
              </w:rPr>
              <w:t xml:space="preserve">                 </w:t>
            </w:r>
          </w:p>
          <w:p w14:paraId="42DABDB9">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委托代理人：</w:t>
            </w:r>
            <w:r>
              <w:rPr>
                <w:rFonts w:hint="eastAsia" w:ascii="宋体" w:hAnsi="宋体" w:eastAsia="宋体" w:cs="宋体"/>
                <w:color w:val="auto"/>
                <w:kern w:val="0"/>
                <w:sz w:val="21"/>
                <w:szCs w:val="21"/>
                <w:u w:val="single"/>
              </w:rPr>
              <w:t xml:space="preserve">                 </w:t>
            </w:r>
          </w:p>
          <w:p w14:paraId="2B82455F">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电话：</w:t>
            </w:r>
            <w:r>
              <w:rPr>
                <w:rFonts w:hint="eastAsia" w:ascii="宋体" w:hAnsi="宋体" w:eastAsia="宋体" w:cs="宋体"/>
                <w:color w:val="auto"/>
                <w:kern w:val="0"/>
                <w:sz w:val="21"/>
                <w:szCs w:val="21"/>
                <w:u w:val="single"/>
              </w:rPr>
              <w:t xml:space="preserve">                       </w:t>
            </w:r>
          </w:p>
          <w:p w14:paraId="4A09B7D5">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传真： </w:t>
            </w:r>
            <w:r>
              <w:rPr>
                <w:rFonts w:hint="eastAsia" w:ascii="宋体" w:hAnsi="宋体" w:eastAsia="宋体" w:cs="宋体"/>
                <w:color w:val="auto"/>
                <w:kern w:val="0"/>
                <w:sz w:val="21"/>
                <w:szCs w:val="21"/>
                <w:u w:val="single"/>
              </w:rPr>
              <w:t xml:space="preserve">                      </w:t>
            </w:r>
          </w:p>
          <w:p w14:paraId="5FC1A780">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kern w:val="0"/>
                <w:sz w:val="21"/>
                <w:szCs w:val="21"/>
                <w:u w:val="single"/>
              </w:rPr>
              <w:t xml:space="preserve">                    </w:t>
            </w:r>
          </w:p>
          <w:p w14:paraId="208CF6D3">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开户银行：</w:t>
            </w:r>
            <w:r>
              <w:rPr>
                <w:rFonts w:hint="eastAsia" w:ascii="宋体" w:hAnsi="宋体" w:eastAsia="宋体" w:cs="宋体"/>
                <w:color w:val="auto"/>
                <w:kern w:val="0"/>
                <w:sz w:val="21"/>
                <w:szCs w:val="21"/>
                <w:u w:val="single"/>
              </w:rPr>
              <w:t xml:space="preserve">                   </w:t>
            </w:r>
          </w:p>
          <w:p w14:paraId="60D13C0B">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账号：</w:t>
            </w:r>
            <w:r>
              <w:rPr>
                <w:rFonts w:hint="eastAsia" w:ascii="宋体" w:hAnsi="宋体" w:eastAsia="宋体" w:cs="宋体"/>
                <w:color w:val="auto"/>
                <w:kern w:val="0"/>
                <w:sz w:val="21"/>
                <w:szCs w:val="21"/>
                <w:u w:val="single"/>
              </w:rPr>
              <w:t xml:space="preserve">                       </w:t>
            </w:r>
          </w:p>
        </w:tc>
        <w:tc>
          <w:tcPr>
            <w:tcW w:w="4565" w:type="dxa"/>
            <w:noWrap w:val="0"/>
            <w:vAlign w:val="top"/>
          </w:tcPr>
          <w:p w14:paraId="30BD8DF1">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统一社会信用代码：</w:t>
            </w:r>
            <w:r>
              <w:rPr>
                <w:rFonts w:hint="eastAsia" w:hAnsi="宋体" w:eastAsia="宋体" w:cs="宋体"/>
                <w:color w:val="auto"/>
                <w:kern w:val="0"/>
                <w:sz w:val="21"/>
                <w:szCs w:val="21"/>
                <w:u w:val="single"/>
                <w:lang w:eastAsia="zh-CN"/>
              </w:rPr>
              <w:t xml:space="preserve">          </w:t>
            </w:r>
            <w:r>
              <w:rPr>
                <w:rFonts w:hint="eastAsia" w:ascii="宋体" w:hAnsi="宋体" w:eastAsia="宋体" w:cs="宋体"/>
                <w:color w:val="auto"/>
                <w:kern w:val="0"/>
                <w:sz w:val="21"/>
                <w:szCs w:val="21"/>
                <w:u w:val="single"/>
              </w:rPr>
              <w:t xml:space="preserve">  </w:t>
            </w:r>
          </w:p>
          <w:p w14:paraId="1102F641">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地址：</w:t>
            </w:r>
            <w:r>
              <w:rPr>
                <w:rFonts w:hint="eastAsia" w:ascii="宋体" w:hAnsi="宋体" w:eastAsia="宋体" w:cs="宋体"/>
                <w:color w:val="auto"/>
                <w:kern w:val="0"/>
                <w:sz w:val="21"/>
                <w:szCs w:val="21"/>
                <w:u w:val="single"/>
              </w:rPr>
              <w:t xml:space="preserve"> </w:t>
            </w:r>
            <w:r>
              <w:rPr>
                <w:rFonts w:hint="eastAsia" w:hAnsi="宋体" w:eastAsia="宋体" w:cs="宋体"/>
                <w:color w:val="auto"/>
                <w:kern w:val="0"/>
                <w:sz w:val="21"/>
                <w:szCs w:val="21"/>
                <w:u w:val="single"/>
                <w:lang w:eastAsia="zh-CN"/>
              </w:rPr>
              <w:t xml:space="preserve">          </w:t>
            </w:r>
            <w:r>
              <w:rPr>
                <w:rFonts w:hint="eastAsia" w:ascii="宋体" w:hAnsi="宋体" w:eastAsia="宋体" w:cs="宋体"/>
                <w:color w:val="auto"/>
                <w:kern w:val="0"/>
                <w:sz w:val="21"/>
                <w:szCs w:val="21"/>
                <w:u w:val="single"/>
              </w:rPr>
              <w:t xml:space="preserve">    </w:t>
            </w:r>
          </w:p>
          <w:p w14:paraId="09E8EBF7">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邮政编码：</w:t>
            </w:r>
            <w:r>
              <w:rPr>
                <w:rFonts w:hint="eastAsia" w:ascii="宋体" w:hAnsi="宋体" w:eastAsia="宋体" w:cs="宋体"/>
                <w:color w:val="auto"/>
                <w:kern w:val="0"/>
                <w:sz w:val="21"/>
                <w:szCs w:val="21"/>
                <w:u w:val="single"/>
              </w:rPr>
              <w:t xml:space="preserve">                      </w:t>
            </w:r>
          </w:p>
          <w:p w14:paraId="01B85FDA">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法定代表人：</w:t>
            </w:r>
            <w:r>
              <w:rPr>
                <w:rFonts w:hint="eastAsia" w:ascii="宋体" w:hAnsi="宋体" w:eastAsia="宋体" w:cs="宋体"/>
                <w:color w:val="auto"/>
                <w:kern w:val="0"/>
                <w:sz w:val="21"/>
                <w:szCs w:val="21"/>
                <w:u w:val="single"/>
              </w:rPr>
              <w:t xml:space="preserve">  </w:t>
            </w:r>
            <w:r>
              <w:rPr>
                <w:rFonts w:hint="eastAsia"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p>
          <w:p w14:paraId="330D3DA8">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委托代理人：</w:t>
            </w:r>
            <w:r>
              <w:rPr>
                <w:rFonts w:hint="eastAsia" w:ascii="宋体" w:hAnsi="宋体" w:eastAsia="宋体" w:cs="宋体"/>
                <w:color w:val="auto"/>
                <w:kern w:val="0"/>
                <w:sz w:val="21"/>
                <w:szCs w:val="21"/>
                <w:u w:val="single"/>
              </w:rPr>
              <w:t xml:space="preserve">                 </w:t>
            </w:r>
          </w:p>
          <w:p w14:paraId="18E19A49">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电话：</w:t>
            </w:r>
            <w:r>
              <w:rPr>
                <w:rFonts w:hint="eastAsia" w:ascii="宋体" w:hAnsi="宋体" w:eastAsia="宋体" w:cs="宋体"/>
                <w:color w:val="auto"/>
                <w:kern w:val="0"/>
                <w:sz w:val="21"/>
                <w:szCs w:val="21"/>
                <w:u w:val="single"/>
              </w:rPr>
              <w:t xml:space="preserve">  </w:t>
            </w:r>
            <w:r>
              <w:rPr>
                <w:rFonts w:hint="eastAsia" w:hAnsi="宋体" w:eastAsia="宋体" w:cs="宋体"/>
                <w:color w:val="auto"/>
                <w:kern w:val="0"/>
                <w:sz w:val="21"/>
                <w:szCs w:val="21"/>
                <w:u w:val="single"/>
                <w:lang w:eastAsia="zh-CN"/>
              </w:rPr>
              <w:t xml:space="preserve">          </w:t>
            </w:r>
            <w:r>
              <w:rPr>
                <w:rFonts w:hint="eastAsia" w:ascii="宋体" w:hAnsi="宋体" w:eastAsia="宋体" w:cs="宋体"/>
                <w:color w:val="auto"/>
                <w:kern w:val="0"/>
                <w:sz w:val="21"/>
                <w:szCs w:val="21"/>
                <w:u w:val="single"/>
              </w:rPr>
              <w:t xml:space="preserve">      </w:t>
            </w:r>
          </w:p>
          <w:p w14:paraId="2C557C0B">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传真：</w:t>
            </w:r>
            <w:r>
              <w:rPr>
                <w:rFonts w:hint="eastAsia" w:ascii="宋体" w:hAnsi="宋体" w:eastAsia="宋体" w:cs="宋体"/>
                <w:color w:val="auto"/>
                <w:kern w:val="0"/>
                <w:sz w:val="21"/>
                <w:szCs w:val="21"/>
                <w:u w:val="single"/>
              </w:rPr>
              <w:t xml:space="preserve">                       </w:t>
            </w:r>
          </w:p>
          <w:p w14:paraId="63514DD7">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kern w:val="0"/>
                <w:sz w:val="21"/>
                <w:szCs w:val="21"/>
                <w:u w:val="single"/>
              </w:rPr>
              <w:t xml:space="preserve">                   </w:t>
            </w:r>
          </w:p>
          <w:p w14:paraId="0EFDE499">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开户银行：</w:t>
            </w:r>
            <w:r>
              <w:rPr>
                <w:rFonts w:hint="eastAsia" w:ascii="宋体" w:hAnsi="宋体" w:eastAsia="宋体" w:cs="宋体"/>
                <w:color w:val="auto"/>
                <w:kern w:val="0"/>
                <w:sz w:val="21"/>
                <w:szCs w:val="21"/>
                <w:u w:val="single"/>
              </w:rPr>
              <w:t xml:space="preserve"> </w:t>
            </w:r>
            <w:r>
              <w:rPr>
                <w:rFonts w:hint="eastAsia" w:hAnsi="宋体" w:eastAsia="宋体" w:cs="宋体"/>
                <w:color w:val="auto"/>
                <w:kern w:val="0"/>
                <w:sz w:val="21"/>
                <w:szCs w:val="21"/>
                <w:u w:val="single"/>
                <w:lang w:eastAsia="zh-CN"/>
              </w:rPr>
              <w:t xml:space="preserve">          </w:t>
            </w:r>
            <w:r>
              <w:rPr>
                <w:rFonts w:hint="eastAsia" w:ascii="宋体" w:hAnsi="宋体" w:eastAsia="宋体" w:cs="宋体"/>
                <w:color w:val="auto"/>
                <w:kern w:val="0"/>
                <w:sz w:val="21"/>
                <w:szCs w:val="21"/>
                <w:u w:val="single"/>
              </w:rPr>
              <w:t xml:space="preserve">    </w:t>
            </w:r>
          </w:p>
          <w:p w14:paraId="0AFEEA78">
            <w:pPr>
              <w:pStyle w:val="84"/>
              <w:pageBreakBefore w:val="0"/>
              <w:framePr w:hSpace="0" w:wrap="auto" w:vAnchor="margin" w:hAnchor="text" w:yAlign="inline"/>
              <w:kinsoku/>
              <w:overflowPunct/>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账号：</w:t>
            </w:r>
            <w:r>
              <w:rPr>
                <w:rFonts w:hint="eastAsia" w:ascii="宋体" w:hAnsi="宋体" w:eastAsia="宋体" w:cs="宋体"/>
                <w:color w:val="auto"/>
                <w:sz w:val="21"/>
                <w:szCs w:val="21"/>
                <w:u w:val="single"/>
              </w:rPr>
              <w:t xml:space="preserve">  </w:t>
            </w:r>
            <w:r>
              <w:rPr>
                <w:rFonts w:hint="eastAsia" w:hAnsi="宋体" w:eastAsia="宋体" w:cs="宋体"/>
                <w:color w:val="auto"/>
                <w:sz w:val="21"/>
                <w:szCs w:val="21"/>
                <w:u w:val="single"/>
                <w:lang w:eastAsia="zh-CN"/>
              </w:rPr>
              <w:t xml:space="preserve">          </w:t>
            </w:r>
            <w:r>
              <w:rPr>
                <w:rFonts w:hint="eastAsia" w:ascii="宋体" w:hAnsi="宋体" w:eastAsia="宋体" w:cs="宋体"/>
                <w:color w:val="auto"/>
                <w:sz w:val="21"/>
                <w:szCs w:val="21"/>
                <w:u w:val="single"/>
              </w:rPr>
              <w:t xml:space="preserve">     </w:t>
            </w:r>
          </w:p>
        </w:tc>
      </w:tr>
    </w:tbl>
    <w:p w14:paraId="2798F625">
      <w:pPr>
        <w:pageBreakBefore w:val="0"/>
        <w:kinsoku/>
        <w:overflowPunct/>
        <w:bidi w:val="0"/>
        <w:spacing w:after="0" w:afterLines="0" w:line="360" w:lineRule="auto"/>
        <w:jc w:val="right"/>
        <w:textAlignment w:val="auto"/>
        <w:rPr>
          <w:rFonts w:hint="eastAsia" w:ascii="宋体" w:hAnsi="宋体" w:eastAsia="宋体" w:cs="宋体"/>
          <w:color w:val="auto"/>
          <w:sz w:val="21"/>
          <w:szCs w:val="21"/>
          <w:highlight w:val="none"/>
        </w:rPr>
      </w:pPr>
    </w:p>
    <w:p w14:paraId="15FAB917">
      <w:pPr>
        <w:pStyle w:val="98"/>
        <w:keepNext w:val="0"/>
        <w:keepLines w:val="0"/>
        <w:pageBreakBefore w:val="0"/>
        <w:widowControl/>
        <w:kinsoku/>
        <w:overflowPunct/>
        <w:bidi w:val="0"/>
        <w:adjustRightInd w:val="0"/>
        <w:snapToGrid w:val="0"/>
        <w:spacing w:before="0" w:after="0" w:line="360" w:lineRule="auto"/>
        <w:textAlignment w:val="auto"/>
        <w:rPr>
          <w:rFonts w:hint="eastAsia" w:ascii="宋体" w:hAnsi="宋体" w:eastAsia="宋体" w:cs="宋体"/>
          <w:color w:val="auto"/>
          <w:sz w:val="21"/>
          <w:szCs w:val="21"/>
        </w:rPr>
      </w:pPr>
    </w:p>
    <w:p w14:paraId="24593B38">
      <w:pPr>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39D830AB">
      <w:pPr>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23F0C5EC">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284CE405">
      <w:pPr>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1A5CED13">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010E6388">
      <w:pPr>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5375B653">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41215DBC">
      <w:pPr>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15957D01">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5F79CF1B">
      <w:pPr>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2FE7B936">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1EEA5B7D">
      <w:pPr>
        <w:pStyle w:val="98"/>
        <w:keepNext w:val="0"/>
        <w:keepLines w:val="0"/>
        <w:pageBreakBefore w:val="0"/>
        <w:widowControl/>
        <w:kinsoku/>
        <w:overflowPunct/>
        <w:bidi w:val="0"/>
        <w:adjustRightInd w:val="0"/>
        <w:snapToGrid w:val="0"/>
        <w:spacing w:before="0" w:after="0" w:line="360" w:lineRule="auto"/>
        <w:textAlignment w:val="auto"/>
        <w:rPr>
          <w:rFonts w:hint="eastAsia" w:ascii="宋体" w:hAnsi="宋体" w:eastAsia="宋体" w:cs="宋体"/>
          <w:color w:val="auto"/>
          <w:sz w:val="21"/>
          <w:szCs w:val="21"/>
        </w:rPr>
      </w:pPr>
      <w:bookmarkStart w:id="699" w:name="_Toc7481"/>
      <w:r>
        <w:rPr>
          <w:rFonts w:hint="eastAsia" w:ascii="宋体" w:hAnsi="宋体" w:eastAsia="宋体" w:cs="宋体"/>
          <w:color w:val="auto"/>
          <w:sz w:val="21"/>
          <w:szCs w:val="21"/>
        </w:rPr>
        <w:t>专用合同条件附件</w:t>
      </w:r>
      <w:bookmarkEnd w:id="125"/>
      <w:bookmarkEnd w:id="126"/>
      <w:bookmarkEnd w:id="699"/>
    </w:p>
    <w:p w14:paraId="068C04E4">
      <w:pPr>
        <w:pageBreakBefore w:val="0"/>
        <w:kinsoku/>
        <w:wordWrap/>
        <w:overflowPunct/>
        <w:topLinePunct w:val="0"/>
        <w:bidi w:val="0"/>
        <w:spacing w:after="0" w:afterLines="0" w:line="360" w:lineRule="auto"/>
        <w:textAlignment w:val="auto"/>
        <w:rPr>
          <w:rFonts w:hint="eastAsia" w:ascii="宋体" w:hAnsi="宋体" w:eastAsia="宋体" w:cs="宋体"/>
          <w:color w:val="auto"/>
          <w:sz w:val="21"/>
          <w:szCs w:val="21"/>
        </w:rPr>
      </w:pPr>
    </w:p>
    <w:p w14:paraId="04D5077C">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附件</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：工程质量保修书</w:t>
      </w:r>
    </w:p>
    <w:p w14:paraId="45086329">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附件</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：承包人主要管理人员表</w:t>
      </w:r>
    </w:p>
    <w:p w14:paraId="080C5EE2">
      <w:pPr>
        <w:pStyle w:val="2"/>
        <w:pageBreakBefore w:val="0"/>
        <w:kinsoku/>
        <w:overflowPunct/>
        <w:bidi w:val="0"/>
        <w:spacing w:after="0" w:afterLines="0" w:line="360" w:lineRule="auto"/>
        <w:ind w:firstLine="420" w:firstLineChars="200"/>
        <w:textAlignment w:val="auto"/>
        <w:rPr>
          <w:rFonts w:hint="eastAsia"/>
        </w:rPr>
      </w:pPr>
      <w:r>
        <w:rPr>
          <w:color w:val="auto"/>
          <w:sz w:val="21"/>
          <w:szCs w:val="21"/>
          <w:highlight w:val="none"/>
        </w:rPr>
        <w:t>附件</w:t>
      </w:r>
      <w:r>
        <w:rPr>
          <w:rFonts w:hint="eastAsia"/>
          <w:color w:val="auto"/>
          <w:sz w:val="21"/>
          <w:szCs w:val="21"/>
          <w:highlight w:val="none"/>
        </w:rPr>
        <w:t>3</w:t>
      </w:r>
      <w:r>
        <w:rPr>
          <w:color w:val="auto"/>
          <w:sz w:val="21"/>
          <w:szCs w:val="21"/>
          <w:highlight w:val="none"/>
        </w:rPr>
        <w:t>：履约担保</w:t>
      </w:r>
      <w:r>
        <w:rPr>
          <w:rFonts w:hint="eastAsia"/>
          <w:color w:val="auto"/>
          <w:sz w:val="21"/>
          <w:szCs w:val="21"/>
          <w:highlight w:val="none"/>
        </w:rPr>
        <w:t>格式</w:t>
      </w:r>
    </w:p>
    <w:p w14:paraId="69934406">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附件</w:t>
      </w:r>
      <w:r>
        <w:rPr>
          <w:rFonts w:hint="eastAsia" w:ascii="宋体" w:hAnsi="宋体" w:cs="宋体"/>
          <w:color w:val="auto"/>
          <w:sz w:val="21"/>
          <w:szCs w:val="21"/>
          <w:lang w:val="en-US" w:eastAsia="zh-CN"/>
        </w:rPr>
        <w:t>4</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预付款保函格式</w:t>
      </w:r>
    </w:p>
    <w:p w14:paraId="2DFF2DDD">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附件</w:t>
      </w:r>
      <w:r>
        <w:rPr>
          <w:rFonts w:hint="eastAsia" w:ascii="宋体" w:hAnsi="宋体" w:cs="宋体"/>
          <w:color w:val="auto"/>
          <w:sz w:val="21"/>
          <w:szCs w:val="21"/>
          <w:lang w:val="en-US" w:eastAsia="zh-CN"/>
        </w:rPr>
        <w:t>5</w:t>
      </w:r>
      <w:r>
        <w:rPr>
          <w:rFonts w:hint="eastAsia" w:ascii="宋体" w:hAnsi="宋体" w:eastAsia="宋体" w:cs="宋体"/>
          <w:color w:val="auto"/>
          <w:sz w:val="21"/>
          <w:szCs w:val="21"/>
        </w:rPr>
        <w:t>：工程建设项目廉政责任书</w:t>
      </w:r>
    </w:p>
    <w:p w14:paraId="4C33C2A1">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附件</w:t>
      </w:r>
      <w:r>
        <w:rPr>
          <w:rFonts w:hint="eastAsia" w:ascii="宋体" w:hAnsi="宋体" w:cs="宋体"/>
          <w:color w:val="auto"/>
          <w:sz w:val="21"/>
          <w:szCs w:val="21"/>
          <w:lang w:val="en-US" w:eastAsia="zh-CN"/>
        </w:rPr>
        <w:t>6</w:t>
      </w:r>
      <w:r>
        <w:rPr>
          <w:rFonts w:hint="eastAsia" w:ascii="宋体" w:hAnsi="宋体" w:eastAsia="宋体" w:cs="宋体"/>
          <w:color w:val="auto"/>
          <w:sz w:val="21"/>
          <w:szCs w:val="21"/>
        </w:rPr>
        <w:t>：在建工程安全生产协议</w:t>
      </w:r>
    </w:p>
    <w:p w14:paraId="4AC3815F">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附件</w:t>
      </w:r>
      <w:r>
        <w:rPr>
          <w:rFonts w:hint="eastAsia" w:ascii="宋体" w:hAnsi="宋体" w:cs="宋体"/>
          <w:color w:val="auto"/>
          <w:sz w:val="21"/>
          <w:szCs w:val="21"/>
          <w:lang w:val="en-US" w:eastAsia="zh-CN"/>
        </w:rPr>
        <w:t>7</w:t>
      </w:r>
      <w:r>
        <w:rPr>
          <w:rFonts w:hint="eastAsia" w:ascii="宋体" w:hAnsi="宋体" w:eastAsia="宋体" w:cs="宋体"/>
          <w:color w:val="auto"/>
          <w:sz w:val="21"/>
          <w:szCs w:val="21"/>
        </w:rPr>
        <w:t>：施工参考品牌一览表</w:t>
      </w:r>
    </w:p>
    <w:p w14:paraId="17513F84">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b w:val="0"/>
          <w:bCs w:val="0"/>
          <w:color w:val="auto"/>
          <w:sz w:val="21"/>
          <w:szCs w:val="21"/>
          <w:highlight w:val="none"/>
        </w:rPr>
        <w:t>附件</w:t>
      </w:r>
      <w:r>
        <w:rPr>
          <w:rFonts w:hint="eastAsia" w:ascii="宋体" w:hAnsi="宋体" w:eastAsia="宋体" w:cs="宋体"/>
          <w:b w:val="0"/>
          <w:bCs w:val="0"/>
          <w:color w:val="auto"/>
          <w:sz w:val="21"/>
          <w:szCs w:val="21"/>
          <w:highlight w:val="none"/>
          <w:lang w:val="en-US" w:eastAsia="zh-CN"/>
        </w:rPr>
        <w:t>8</w:t>
      </w:r>
      <w:r>
        <w:rPr>
          <w:rFonts w:hint="eastAsia" w:ascii="宋体" w:hAnsi="宋体" w:eastAsia="宋体" w:cs="宋体"/>
          <w:b w:val="0"/>
          <w:bCs w:val="0"/>
          <w:color w:val="auto"/>
          <w:sz w:val="21"/>
          <w:szCs w:val="21"/>
          <w:highlight w:val="none"/>
        </w:rPr>
        <w:t>：工程资金监管协议主要条款</w:t>
      </w:r>
    </w:p>
    <w:p w14:paraId="4EF1F5D3">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p>
    <w:p w14:paraId="52CFA25D">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24D78A0C">
      <w:pPr>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49D69ECE">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07A6F27F">
      <w:pPr>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7F4AD3AE">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701D7679">
      <w:pPr>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666B8919">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47459B0B">
      <w:pPr>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54927ED9">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33772F9D">
      <w:pPr>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325B9339">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1CF9D882">
      <w:pPr>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13EFB2AE">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04F97F39">
      <w:pPr>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57EDACF4">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66FFF2D2">
      <w:pPr>
        <w:pageBreakBefore w:val="0"/>
        <w:kinsoku/>
        <w:overflowPunct/>
        <w:bidi w:val="0"/>
        <w:spacing w:after="0" w:afterLines="0" w:line="360" w:lineRule="auto"/>
        <w:textAlignment w:val="auto"/>
        <w:rPr>
          <w:rFonts w:hint="eastAsia"/>
        </w:rPr>
      </w:pPr>
    </w:p>
    <w:p w14:paraId="3BDB19E6">
      <w:pPr>
        <w:pageBreakBefore w:val="0"/>
        <w:kinsoku/>
        <w:wordWrap/>
        <w:overflowPunct/>
        <w:topLinePunct w:val="0"/>
        <w:bidi w:val="0"/>
        <w:adjustRightInd/>
        <w:snapToGrid/>
        <w:spacing w:after="0" w:afterLines="0" w:line="360" w:lineRule="auto"/>
        <w:ind w:firstLine="0" w:firstLineChars="0"/>
        <w:jc w:val="left"/>
        <w:textAlignment w:val="auto"/>
        <w:rPr>
          <w:rFonts w:hint="eastAsia" w:ascii="宋体" w:hAnsi="宋体" w:eastAsia="宋体" w:cs="宋体"/>
          <w:color w:val="auto"/>
          <w:sz w:val="21"/>
          <w:szCs w:val="21"/>
        </w:rPr>
      </w:pPr>
    </w:p>
    <w:p w14:paraId="0F57D203">
      <w:pPr>
        <w:pStyle w:val="2"/>
        <w:rPr>
          <w:rFonts w:hint="eastAsia" w:ascii="宋体" w:hAnsi="宋体" w:eastAsia="宋体" w:cs="宋体"/>
          <w:color w:val="auto"/>
          <w:sz w:val="21"/>
          <w:szCs w:val="21"/>
        </w:rPr>
      </w:pPr>
    </w:p>
    <w:p w14:paraId="25B69159">
      <w:pPr>
        <w:rPr>
          <w:rFonts w:hint="eastAsia"/>
        </w:rPr>
      </w:pPr>
    </w:p>
    <w:p w14:paraId="1C2485A0">
      <w:pPr>
        <w:pStyle w:val="80"/>
        <w:pageBreakBefore w:val="0"/>
        <w:numPr>
          <w:ilvl w:val="0"/>
          <w:numId w:val="0"/>
        </w:numPr>
        <w:kinsoku/>
        <w:overflowPunct/>
        <w:bidi w:val="0"/>
        <w:spacing w:after="0" w:afterLines="0" w:line="360" w:lineRule="auto"/>
        <w:textAlignment w:val="auto"/>
        <w:rPr>
          <w:rFonts w:hint="eastAsia" w:ascii="宋体" w:hAnsi="宋体" w:eastAsia="宋体" w:cs="宋体"/>
          <w:color w:val="auto"/>
          <w:sz w:val="21"/>
          <w:szCs w:val="21"/>
        </w:rPr>
      </w:pPr>
      <w:bookmarkStart w:id="700" w:name="_Toc20171895"/>
      <w:bookmarkStart w:id="701" w:name="_Toc11256"/>
      <w:bookmarkStart w:id="702" w:name="_Toc54862354"/>
      <w:bookmarkStart w:id="703" w:name="_Toc1948"/>
      <w:r>
        <w:rPr>
          <w:rFonts w:hint="eastAsia" w:ascii="宋体" w:hAnsi="宋体" w:eastAsia="宋体" w:cs="宋体"/>
          <w:color w:val="auto"/>
          <w:sz w:val="21"/>
          <w:szCs w:val="21"/>
        </w:rPr>
        <w:t>附件</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 xml:space="preserve"> 工程质量保修书</w:t>
      </w:r>
      <w:bookmarkEnd w:id="700"/>
      <w:bookmarkEnd w:id="701"/>
      <w:bookmarkEnd w:id="702"/>
      <w:bookmarkEnd w:id="703"/>
    </w:p>
    <w:p w14:paraId="5D13C6BC">
      <w:pPr>
        <w:pageBreakBefore w:val="0"/>
        <w:kinsoku/>
        <w:wordWrap/>
        <w:overflowPunct/>
        <w:topLinePunct w:val="0"/>
        <w:bidi w:val="0"/>
        <w:spacing w:after="0" w:afterLines="0" w:line="360" w:lineRule="auto"/>
        <w:ind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发包人（全称）：</w:t>
      </w:r>
      <w:r>
        <w:rPr>
          <w:rFonts w:hint="eastAsia" w:eastAsia="宋体" w:cs="宋体"/>
          <w:color w:val="auto"/>
          <w:sz w:val="21"/>
          <w:szCs w:val="21"/>
          <w:u w:val="single"/>
          <w:lang w:eastAsia="zh-CN"/>
        </w:rPr>
        <w:t>三亚市教育局</w:t>
      </w:r>
    </w:p>
    <w:p w14:paraId="7E7575E4">
      <w:pPr>
        <w:pageBreakBefore w:val="0"/>
        <w:kinsoku/>
        <w:wordWrap/>
        <w:overflowPunct/>
        <w:topLinePunct w:val="0"/>
        <w:bidi w:val="0"/>
        <w:spacing w:after="0" w:afterLines="0" w:line="360" w:lineRule="auto"/>
        <w:ind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承包人（全称）：</w:t>
      </w:r>
      <w:r>
        <w:rPr>
          <w:rFonts w:hint="eastAsia" w:eastAsia="宋体" w:cs="宋体"/>
          <w:color w:val="auto"/>
          <w:sz w:val="21"/>
          <w:szCs w:val="21"/>
          <w:u w:val="single"/>
          <w:lang w:eastAsia="zh-CN"/>
        </w:rPr>
        <w:t xml:space="preserve">         </w:t>
      </w:r>
      <w:r>
        <w:rPr>
          <w:rFonts w:hint="eastAsia" w:eastAsia="宋体" w:cs="宋体"/>
          <w:color w:val="auto"/>
          <w:sz w:val="21"/>
          <w:szCs w:val="21"/>
          <w:u w:val="single"/>
          <w:lang w:val="en-US" w:eastAsia="zh-CN"/>
        </w:rPr>
        <w:t xml:space="preserve">                   </w:t>
      </w:r>
      <w:r>
        <w:rPr>
          <w:rFonts w:hint="eastAsia" w:eastAsia="宋体" w:cs="宋体"/>
          <w:color w:val="auto"/>
          <w:sz w:val="21"/>
          <w:szCs w:val="21"/>
          <w:u w:val="single"/>
          <w:lang w:eastAsia="zh-CN"/>
        </w:rPr>
        <w:t xml:space="preserve"> </w:t>
      </w:r>
      <w:r>
        <w:rPr>
          <w:rFonts w:hint="eastAsia" w:ascii="宋体" w:hAnsi="宋体" w:eastAsia="宋体" w:cs="宋体"/>
          <w:color w:val="auto"/>
          <w:sz w:val="21"/>
          <w:szCs w:val="21"/>
          <w:u w:val="single"/>
        </w:rPr>
        <w:t xml:space="preserve"> </w:t>
      </w:r>
    </w:p>
    <w:p w14:paraId="33B7C4F7">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发包人和承包人根据《中华人民共和国建筑法》和《建设工程质量管理条例》，经协商一致就</w:t>
      </w:r>
      <w:r>
        <w:rPr>
          <w:rFonts w:hint="eastAsia" w:eastAsia="宋体" w:cs="宋体"/>
          <w:color w:val="auto"/>
          <w:sz w:val="21"/>
          <w:szCs w:val="21"/>
          <w:u w:val="single"/>
          <w:lang w:eastAsia="zh-CN"/>
        </w:rPr>
        <w:t>中央民族大学附属中学三亚学校校舍维修改造项目</w:t>
      </w:r>
      <w:r>
        <w:rPr>
          <w:rFonts w:hint="eastAsia" w:ascii="宋体" w:hAnsi="宋体" w:eastAsia="宋体" w:cs="宋体"/>
          <w:color w:val="auto"/>
          <w:sz w:val="21"/>
          <w:szCs w:val="21"/>
        </w:rPr>
        <w:t>（工程全称）订立工程质量保修书。</w:t>
      </w:r>
    </w:p>
    <w:p w14:paraId="38638324">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一、工程质量保修范围和内容</w:t>
      </w:r>
    </w:p>
    <w:p w14:paraId="02CBDCAB">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承包人在质量保修期内，按照有关法律规定和合同约定，承担工程质量保修责任。</w:t>
      </w:r>
    </w:p>
    <w:p w14:paraId="6193B6EC">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eastAsia="宋体" w:cs="宋体"/>
          <w:color w:val="auto"/>
          <w:sz w:val="21"/>
          <w:szCs w:val="21"/>
          <w:u w:val="single"/>
        </w:rPr>
        <w:t xml:space="preserve">  本工程承包范围内的全部工程内容  </w:t>
      </w:r>
      <w:r>
        <w:rPr>
          <w:rFonts w:hint="eastAsia" w:ascii="宋体" w:hAnsi="宋体" w:eastAsia="宋体" w:cs="宋体"/>
          <w:color w:val="auto"/>
          <w:sz w:val="21"/>
          <w:szCs w:val="21"/>
        </w:rPr>
        <w:t>。</w:t>
      </w:r>
    </w:p>
    <w:p w14:paraId="53164C91">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二、质量保修期</w:t>
      </w:r>
    </w:p>
    <w:p w14:paraId="550DE750">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根据《建设工程质量管理条例》及有关规定，工程的质量保修期如下：</w:t>
      </w:r>
    </w:p>
    <w:p w14:paraId="54C60A30">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1．地基基础工程和主体结构工程为设计文件规定的工程合理使用年限；</w:t>
      </w:r>
    </w:p>
    <w:p w14:paraId="2D73BEBD">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2．屋面防水工程、有防水要求的卫生间、房间和外墙面的防渗为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10</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p>
    <w:p w14:paraId="60A9BF64">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3．装修工程为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2</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p>
    <w:p w14:paraId="1C86DB4A">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4．电气管线、给排水管道、设备安装工程为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2</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p>
    <w:p w14:paraId="3B0F317A">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5．供热与供冷系统为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2</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个采暖期、供冷期；</w:t>
      </w:r>
    </w:p>
    <w:p w14:paraId="6322F15C">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6．住宅小区内的给排水设施、道路等配套工程为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p>
    <w:p w14:paraId="0D9B63B4">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7．其他项目保修期限约定如下：</w:t>
      </w:r>
    </w:p>
    <w:p w14:paraId="152907C8">
      <w:pPr>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u w:val="single"/>
        </w:rPr>
        <w:t>（1）电梯工程质量保修期为两年，且不少于电梯设备取得政府主管部门《电梯使用标志》合格证之日起一年；</w:t>
      </w:r>
    </w:p>
    <w:p w14:paraId="668E590A">
      <w:pPr>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u w:val="single"/>
        </w:rPr>
        <w:t>（2）其他项目保修期限约定如下：有国家规定的，按国家规定执行，无规定的保修期为二年。</w:t>
      </w:r>
    </w:p>
    <w:p w14:paraId="60BA6DBB">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质量保修期自工程竣工验收合格之日起计算。</w:t>
      </w:r>
    </w:p>
    <w:p w14:paraId="434948F0">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三、缺陷责任期</w:t>
      </w:r>
    </w:p>
    <w:p w14:paraId="2C9E8495">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工程缺陷责任期为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24</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个月，缺陷责任期自工程通过竣工验收之日起计算。单位/区段工程先于全部工程进行验收，单位/区段工程缺陷责任期自单位/区段工程验收合格之日起算</w:t>
      </w:r>
      <w:r>
        <w:rPr>
          <w:rFonts w:hint="eastAsia" w:ascii="宋体" w:hAnsi="宋体" w:eastAsia="宋体" w:cs="宋体"/>
          <w:color w:val="auto"/>
          <w:sz w:val="21"/>
          <w:szCs w:val="21"/>
          <w:lang w:val="en-US" w:eastAsia="zh-CN"/>
        </w:rPr>
        <w:t>;</w:t>
      </w:r>
    </w:p>
    <w:p w14:paraId="1B6F09D6">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缺陷责任期终止后，发包人应返还剩余的质量保证金。</w:t>
      </w:r>
    </w:p>
    <w:p w14:paraId="09425579">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四、质量保修责任</w:t>
      </w:r>
    </w:p>
    <w:p w14:paraId="7C8AE51D">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1．属于保修范围、内容的项目，承包人应当在接到保修通知之日起7天内派人保修。承包人不在约定期限内派人保修的，发包人可以委托他人修理。</w:t>
      </w:r>
    </w:p>
    <w:p w14:paraId="76389348">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2．发生紧急事故需抢修的，承包人在接到事故通知后，应当立即到达事故现场抢修。</w:t>
      </w:r>
    </w:p>
    <w:p w14:paraId="0138FD14">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对于涉及结构安全的质量问题，应当按照《建设工程质量管理条例》的规定，立即向当地建设行政主管部门和有关部门报告，采取安全防范措施，并由承包人提出保修方案，承包人将设计业务分包的，应由原设计分包人或具有相应资质等级的设计人提出保修方案，承包人实施保修。</w:t>
      </w:r>
    </w:p>
    <w:p w14:paraId="725E0CA5">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4．质量保修完成后，由发包人组织验收。</w:t>
      </w:r>
    </w:p>
    <w:p w14:paraId="756D3CF5">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五、保修费用</w:t>
      </w:r>
    </w:p>
    <w:p w14:paraId="50C3B090">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保修费用由造成质量缺陷的责任方承担。</w:t>
      </w:r>
    </w:p>
    <w:p w14:paraId="2EDA4D7A">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六、双方约定的其他工程质量保修事项：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09ECF438">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工程质量保修书由发包人、承包人在工程竣工验收前共同签署，作为工程</w:t>
      </w:r>
      <w:r>
        <w:rPr>
          <w:rFonts w:hint="eastAsia" w:eastAsia="宋体" w:cs="宋体"/>
          <w:color w:val="auto"/>
          <w:sz w:val="21"/>
          <w:szCs w:val="21"/>
          <w:lang w:eastAsia="zh-CN"/>
        </w:rPr>
        <w:t>施工</w:t>
      </w:r>
      <w:r>
        <w:rPr>
          <w:rFonts w:hint="eastAsia" w:ascii="宋体" w:hAnsi="宋体" w:eastAsia="宋体" w:cs="宋体"/>
          <w:color w:val="auto"/>
          <w:sz w:val="21"/>
          <w:szCs w:val="21"/>
        </w:rPr>
        <w:t>合同附件，其有效期限至保修期满。</w:t>
      </w:r>
    </w:p>
    <w:p w14:paraId="501777EF">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p>
    <w:p w14:paraId="3A654B88">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发包人(公章)：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承包人(公章)：          </w:t>
      </w:r>
    </w:p>
    <w:p w14:paraId="5796960F">
      <w:pPr>
        <w:pageBreakBefore w:val="0"/>
        <w:kinsoku/>
        <w:wordWrap/>
        <w:overflowPunct/>
        <w:topLinePunct w:val="0"/>
        <w:bidi w:val="0"/>
        <w:spacing w:after="0" w:afterLines="0" w:line="360" w:lineRule="auto"/>
        <w:ind w:left="4380" w:leftChars="250" w:hanging="3780" w:hangingChars="18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地  址：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地  址：</w:t>
      </w:r>
      <w:r>
        <w:rPr>
          <w:rFonts w:hint="eastAsia" w:eastAsia="宋体" w:cs="宋体"/>
          <w:color w:val="auto"/>
          <w:sz w:val="21"/>
          <w:szCs w:val="21"/>
          <w:lang w:eastAsia="zh-CN"/>
        </w:rPr>
        <w:t xml:space="preserve">          </w:t>
      </w:r>
      <w:r>
        <w:rPr>
          <w:rFonts w:hint="eastAsia" w:ascii="宋体" w:hAnsi="宋体" w:eastAsia="宋体" w:cs="宋体"/>
          <w:color w:val="auto"/>
          <w:sz w:val="21"/>
          <w:szCs w:val="21"/>
        </w:rPr>
        <w:t xml:space="preserve">       </w:t>
      </w:r>
    </w:p>
    <w:p w14:paraId="7312872C">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法定代表人(签字)：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法定代表人(签字)：       </w:t>
      </w:r>
    </w:p>
    <w:p w14:paraId="020D0091">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委托代理人(签字)：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委托代理人(签字)：       </w:t>
      </w:r>
    </w:p>
    <w:p w14:paraId="2D342A9A">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 xml:space="preserve">电  话：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电  话：</w:t>
      </w:r>
      <w:r>
        <w:rPr>
          <w:rFonts w:hint="eastAsia" w:eastAsia="宋体" w:cs="宋体"/>
          <w:color w:val="auto"/>
          <w:sz w:val="21"/>
          <w:szCs w:val="21"/>
          <w:lang w:eastAsia="zh-CN"/>
        </w:rPr>
        <w:t xml:space="preserve">          </w:t>
      </w:r>
    </w:p>
    <w:p w14:paraId="63FA680D">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传  真：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传  真：  </w:t>
      </w:r>
    </w:p>
    <w:p w14:paraId="0B52C6C7">
      <w:pPr>
        <w:pageBreakBefore w:val="0"/>
        <w:kinsoku/>
        <w:wordWrap/>
        <w:overflowPunct/>
        <w:topLinePunct w:val="0"/>
        <w:bidi w:val="0"/>
        <w:spacing w:after="0" w:afterLines="0" w:line="360" w:lineRule="auto"/>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 xml:space="preserve">开户银行：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开户银行：</w:t>
      </w:r>
      <w:r>
        <w:rPr>
          <w:rFonts w:hint="eastAsia" w:eastAsia="宋体" w:cs="宋体"/>
          <w:color w:val="auto"/>
          <w:sz w:val="21"/>
          <w:szCs w:val="21"/>
          <w:lang w:eastAsia="zh-CN"/>
        </w:rPr>
        <w:t xml:space="preserve">          </w:t>
      </w:r>
    </w:p>
    <w:p w14:paraId="3F84127B">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账  号：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账  号：</w:t>
      </w:r>
      <w:r>
        <w:rPr>
          <w:rFonts w:hint="eastAsia" w:eastAsia="宋体" w:cs="宋体"/>
          <w:color w:val="auto"/>
          <w:sz w:val="21"/>
          <w:szCs w:val="21"/>
          <w:lang w:eastAsia="zh-CN"/>
        </w:rPr>
        <w:t xml:space="preserve">          </w:t>
      </w:r>
      <w:r>
        <w:rPr>
          <w:rFonts w:hint="eastAsia" w:ascii="宋体" w:hAnsi="宋体" w:eastAsia="宋体" w:cs="宋体"/>
          <w:color w:val="auto"/>
          <w:sz w:val="21"/>
          <w:szCs w:val="21"/>
        </w:rPr>
        <w:t xml:space="preserve"> </w:t>
      </w:r>
    </w:p>
    <w:p w14:paraId="1FD89C6D">
      <w:pPr>
        <w:pageBreakBefore w:val="0"/>
        <w:kinsoku/>
        <w:wordWrap/>
        <w:overflowPunct/>
        <w:topLinePunct w:val="0"/>
        <w:bidi w:val="0"/>
        <w:spacing w:after="0" w:afterLines="0" w:line="360" w:lineRule="auto"/>
        <w:ind w:firstLine="6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邮政编码：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邮政编码：   </w:t>
      </w:r>
    </w:p>
    <w:p w14:paraId="4B4C704A">
      <w:pPr>
        <w:pageBreakBefore w:val="0"/>
        <w:kinsoku/>
        <w:wordWrap/>
        <w:overflowPunct/>
        <w:topLinePunct w:val="0"/>
        <w:bidi w:val="0"/>
        <w:adjustRightInd/>
        <w:snapToGrid/>
        <w:spacing w:after="0" w:afterLines="0" w:line="360" w:lineRule="auto"/>
        <w:ind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br w:type="page"/>
      </w:r>
    </w:p>
    <w:p w14:paraId="5C4A203C">
      <w:pPr>
        <w:pStyle w:val="80"/>
        <w:pageBreakBefore w:val="0"/>
        <w:numPr>
          <w:ilvl w:val="0"/>
          <w:numId w:val="0"/>
        </w:numPr>
        <w:kinsoku/>
        <w:overflowPunct/>
        <w:bidi w:val="0"/>
        <w:spacing w:after="0" w:afterLines="0" w:line="360" w:lineRule="auto"/>
        <w:textAlignment w:val="auto"/>
        <w:rPr>
          <w:rFonts w:hint="eastAsia" w:ascii="宋体" w:hAnsi="宋体" w:eastAsia="宋体" w:cs="宋体"/>
          <w:color w:val="auto"/>
          <w:sz w:val="21"/>
          <w:szCs w:val="21"/>
        </w:rPr>
      </w:pPr>
      <w:bookmarkStart w:id="704" w:name="_Toc32383"/>
      <w:bookmarkStart w:id="705" w:name="_Toc20171897"/>
      <w:bookmarkStart w:id="706" w:name="_Toc54862356"/>
      <w:bookmarkStart w:id="707" w:name="_Toc19242"/>
      <w:r>
        <w:rPr>
          <w:rFonts w:hint="eastAsia" w:ascii="宋体" w:hAnsi="宋体" w:eastAsia="宋体" w:cs="宋体"/>
          <w:color w:val="auto"/>
          <w:sz w:val="21"/>
          <w:szCs w:val="21"/>
        </w:rPr>
        <w:t>附件</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 xml:space="preserve"> 承包人主要管理人员表</w:t>
      </w:r>
      <w:bookmarkEnd w:id="704"/>
      <w:bookmarkEnd w:id="705"/>
      <w:bookmarkEnd w:id="706"/>
      <w:bookmarkEnd w:id="707"/>
    </w:p>
    <w:tbl>
      <w:tblPr>
        <w:tblStyle w:val="35"/>
        <w:tblW w:w="90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05"/>
        <w:gridCol w:w="1418"/>
        <w:gridCol w:w="1134"/>
        <w:gridCol w:w="1134"/>
        <w:gridCol w:w="3896"/>
      </w:tblGrid>
      <w:tr w14:paraId="7DCFD8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12" w:space="0"/>
              <w:bottom w:val="double" w:color="auto" w:sz="6" w:space="0"/>
            </w:tcBorders>
            <w:noWrap w:val="0"/>
            <w:vAlign w:val="center"/>
          </w:tcPr>
          <w:p w14:paraId="7A2A8E26">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名    称</w:t>
            </w:r>
          </w:p>
        </w:tc>
        <w:tc>
          <w:tcPr>
            <w:tcW w:w="1418" w:type="dxa"/>
            <w:tcBorders>
              <w:top w:val="single" w:color="auto" w:sz="12" w:space="0"/>
              <w:bottom w:val="double" w:color="auto" w:sz="6" w:space="0"/>
            </w:tcBorders>
            <w:noWrap w:val="0"/>
            <w:vAlign w:val="center"/>
          </w:tcPr>
          <w:p w14:paraId="108EAB38">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姓名</w:t>
            </w:r>
          </w:p>
        </w:tc>
        <w:tc>
          <w:tcPr>
            <w:tcW w:w="1134" w:type="dxa"/>
            <w:tcBorders>
              <w:top w:val="single" w:color="auto" w:sz="12" w:space="0"/>
              <w:bottom w:val="double" w:color="auto" w:sz="6" w:space="0"/>
            </w:tcBorders>
            <w:noWrap w:val="0"/>
            <w:vAlign w:val="center"/>
          </w:tcPr>
          <w:p w14:paraId="1242A8E2">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职务</w:t>
            </w:r>
          </w:p>
        </w:tc>
        <w:tc>
          <w:tcPr>
            <w:tcW w:w="1134" w:type="dxa"/>
            <w:tcBorders>
              <w:top w:val="single" w:color="auto" w:sz="12" w:space="0"/>
              <w:bottom w:val="double" w:color="auto" w:sz="6" w:space="0"/>
            </w:tcBorders>
            <w:noWrap w:val="0"/>
            <w:vAlign w:val="center"/>
          </w:tcPr>
          <w:p w14:paraId="424CD0DF">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职称</w:t>
            </w:r>
          </w:p>
        </w:tc>
        <w:tc>
          <w:tcPr>
            <w:tcW w:w="3896" w:type="dxa"/>
            <w:tcBorders>
              <w:top w:val="single" w:color="auto" w:sz="12" w:space="0"/>
              <w:bottom w:val="double" w:color="auto" w:sz="6" w:space="0"/>
            </w:tcBorders>
            <w:noWrap w:val="0"/>
            <w:vAlign w:val="center"/>
          </w:tcPr>
          <w:p w14:paraId="50415EBC">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主要资历、经验及承担过的项目</w:t>
            </w:r>
          </w:p>
        </w:tc>
      </w:tr>
      <w:tr w14:paraId="0F4A2E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double" w:color="auto" w:sz="6" w:space="0"/>
              <w:bottom w:val="single" w:color="auto" w:sz="6" w:space="0"/>
            </w:tcBorders>
            <w:noWrap w:val="0"/>
            <w:vAlign w:val="center"/>
          </w:tcPr>
          <w:p w14:paraId="725C097D">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一、总部人员</w:t>
            </w:r>
          </w:p>
        </w:tc>
      </w:tr>
      <w:tr w14:paraId="034E1C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78EBF0DA">
            <w:pPr>
              <w:pStyle w:val="16"/>
              <w:pageBreakBefore w:val="0"/>
              <w:kinsoku/>
              <w:wordWrap/>
              <w:overflowPunct/>
              <w:topLinePunct w:val="0"/>
              <w:bidi w:val="0"/>
              <w:spacing w:after="0" w:afterLines="0"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项目主管</w:t>
            </w:r>
          </w:p>
        </w:tc>
        <w:tc>
          <w:tcPr>
            <w:tcW w:w="1418" w:type="dxa"/>
            <w:tcBorders>
              <w:top w:val="nil"/>
            </w:tcBorders>
            <w:noWrap w:val="0"/>
            <w:vAlign w:val="center"/>
          </w:tcPr>
          <w:p w14:paraId="0E39CB78">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134" w:type="dxa"/>
            <w:tcBorders>
              <w:top w:val="nil"/>
            </w:tcBorders>
            <w:noWrap w:val="0"/>
            <w:vAlign w:val="center"/>
          </w:tcPr>
          <w:p w14:paraId="75471914">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134" w:type="dxa"/>
            <w:tcBorders>
              <w:top w:val="nil"/>
            </w:tcBorders>
            <w:noWrap w:val="0"/>
            <w:vAlign w:val="center"/>
          </w:tcPr>
          <w:p w14:paraId="1F6F4598">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3896" w:type="dxa"/>
            <w:tcBorders>
              <w:top w:val="nil"/>
            </w:tcBorders>
            <w:noWrap w:val="0"/>
            <w:vAlign w:val="center"/>
          </w:tcPr>
          <w:p w14:paraId="58270E15">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1254CD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nil"/>
            </w:tcBorders>
            <w:noWrap w:val="0"/>
            <w:vAlign w:val="center"/>
          </w:tcPr>
          <w:p w14:paraId="760B22A3">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418" w:type="dxa"/>
            <w:noWrap w:val="0"/>
            <w:vAlign w:val="center"/>
          </w:tcPr>
          <w:p w14:paraId="79E9AB19">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134" w:type="dxa"/>
            <w:noWrap w:val="0"/>
            <w:vAlign w:val="center"/>
          </w:tcPr>
          <w:p w14:paraId="0B47B8E1">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134" w:type="dxa"/>
            <w:noWrap w:val="0"/>
            <w:vAlign w:val="center"/>
          </w:tcPr>
          <w:p w14:paraId="50935A4C">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3896" w:type="dxa"/>
            <w:noWrap w:val="0"/>
            <w:vAlign w:val="center"/>
          </w:tcPr>
          <w:p w14:paraId="6EEA3E25">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7B781A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5382D07B">
            <w:pPr>
              <w:pStyle w:val="16"/>
              <w:pageBreakBefore w:val="0"/>
              <w:kinsoku/>
              <w:wordWrap/>
              <w:overflowPunct/>
              <w:topLinePunct w:val="0"/>
              <w:bidi w:val="0"/>
              <w:spacing w:after="0" w:afterLines="0"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其他人员</w:t>
            </w:r>
          </w:p>
        </w:tc>
        <w:tc>
          <w:tcPr>
            <w:tcW w:w="1418" w:type="dxa"/>
            <w:noWrap w:val="0"/>
            <w:vAlign w:val="center"/>
          </w:tcPr>
          <w:p w14:paraId="3137A56E">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134" w:type="dxa"/>
            <w:noWrap w:val="0"/>
            <w:vAlign w:val="center"/>
          </w:tcPr>
          <w:p w14:paraId="352C9BFE">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134" w:type="dxa"/>
            <w:noWrap w:val="0"/>
            <w:vAlign w:val="center"/>
          </w:tcPr>
          <w:p w14:paraId="45DBB44E">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3896" w:type="dxa"/>
            <w:noWrap w:val="0"/>
            <w:vAlign w:val="center"/>
          </w:tcPr>
          <w:p w14:paraId="280BFA34">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0135EE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1866EEBE">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418" w:type="dxa"/>
            <w:noWrap w:val="0"/>
            <w:vAlign w:val="center"/>
          </w:tcPr>
          <w:p w14:paraId="61C391E6">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134" w:type="dxa"/>
            <w:noWrap w:val="0"/>
            <w:vAlign w:val="center"/>
          </w:tcPr>
          <w:p w14:paraId="35C99F3A">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134" w:type="dxa"/>
            <w:noWrap w:val="0"/>
            <w:vAlign w:val="center"/>
          </w:tcPr>
          <w:p w14:paraId="6147D0C6">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3896" w:type="dxa"/>
            <w:noWrap w:val="0"/>
            <w:vAlign w:val="center"/>
          </w:tcPr>
          <w:p w14:paraId="4A3F5312">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7D740E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single" w:color="auto" w:sz="6" w:space="0"/>
              <w:bottom w:val="single" w:color="auto" w:sz="6" w:space="0"/>
            </w:tcBorders>
            <w:noWrap w:val="0"/>
            <w:vAlign w:val="center"/>
          </w:tcPr>
          <w:p w14:paraId="73E8AEA8">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二、现场人员</w:t>
            </w:r>
          </w:p>
        </w:tc>
      </w:tr>
      <w:tr w14:paraId="32BBCC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9" w:hRule="atLeast"/>
          <w:jc w:val="center"/>
        </w:trPr>
        <w:tc>
          <w:tcPr>
            <w:tcW w:w="1505" w:type="dxa"/>
            <w:tcBorders>
              <w:top w:val="single" w:color="auto" w:sz="6" w:space="0"/>
              <w:bottom w:val="single" w:color="auto" w:sz="6" w:space="0"/>
            </w:tcBorders>
            <w:noWrap w:val="0"/>
            <w:vAlign w:val="center"/>
          </w:tcPr>
          <w:p w14:paraId="247E4DF2">
            <w:pPr>
              <w:pStyle w:val="16"/>
              <w:pageBreakBefore w:val="0"/>
              <w:kinsoku/>
              <w:wordWrap/>
              <w:overflowPunct/>
              <w:topLinePunct w:val="0"/>
              <w:bidi w:val="0"/>
              <w:spacing w:after="0" w:afterLines="0"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项目经理</w:t>
            </w:r>
          </w:p>
        </w:tc>
        <w:tc>
          <w:tcPr>
            <w:tcW w:w="1418" w:type="dxa"/>
            <w:noWrap w:val="0"/>
            <w:vAlign w:val="center"/>
          </w:tcPr>
          <w:p w14:paraId="488B9334">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lang w:eastAsia="zh-CN"/>
              </w:rPr>
            </w:pPr>
            <w:r>
              <w:rPr>
                <w:rFonts w:hint="eastAsia" w:eastAsia="宋体" w:cs="宋体"/>
                <w:color w:val="auto"/>
                <w:sz w:val="21"/>
                <w:szCs w:val="21"/>
                <w:lang w:eastAsia="zh-CN"/>
              </w:rPr>
              <w:t xml:space="preserve">          </w:t>
            </w:r>
          </w:p>
        </w:tc>
        <w:tc>
          <w:tcPr>
            <w:tcW w:w="1134" w:type="dxa"/>
            <w:noWrap w:val="0"/>
            <w:vAlign w:val="center"/>
          </w:tcPr>
          <w:p w14:paraId="4808785A">
            <w:pPr>
              <w:pStyle w:val="16"/>
              <w:pageBreakBefore w:val="0"/>
              <w:kinsoku/>
              <w:wordWrap/>
              <w:overflowPunct/>
              <w:topLinePunct w:val="0"/>
              <w:bidi w:val="0"/>
              <w:spacing w:after="0" w:afterLines="0" w:line="360" w:lineRule="auto"/>
              <w:ind w:left="0" w:leftChars="0" w:firstLine="0" w:firstLineChars="0"/>
              <w:textAlignment w:val="auto"/>
              <w:rPr>
                <w:rFonts w:hint="eastAsia" w:ascii="宋体" w:hAnsi="宋体" w:eastAsia="宋体" w:cs="宋体"/>
                <w:color w:val="auto"/>
                <w:sz w:val="21"/>
                <w:szCs w:val="21"/>
              </w:rPr>
            </w:pPr>
          </w:p>
        </w:tc>
        <w:tc>
          <w:tcPr>
            <w:tcW w:w="1134" w:type="dxa"/>
            <w:noWrap w:val="0"/>
            <w:vAlign w:val="center"/>
          </w:tcPr>
          <w:p w14:paraId="36F31636">
            <w:pPr>
              <w:pStyle w:val="16"/>
              <w:pageBreakBefore w:val="0"/>
              <w:kinsoku/>
              <w:wordWrap/>
              <w:overflowPunct/>
              <w:topLinePunct w:val="0"/>
              <w:bidi w:val="0"/>
              <w:spacing w:after="0" w:afterLines="0" w:line="360" w:lineRule="auto"/>
              <w:ind w:left="0" w:leftChars="0" w:firstLine="0" w:firstLineChars="0"/>
              <w:textAlignment w:val="auto"/>
              <w:rPr>
                <w:rFonts w:hint="eastAsia" w:ascii="宋体" w:hAnsi="宋体" w:eastAsia="宋体" w:cs="宋体"/>
                <w:color w:val="auto"/>
                <w:sz w:val="21"/>
                <w:szCs w:val="21"/>
              </w:rPr>
            </w:pPr>
          </w:p>
        </w:tc>
        <w:tc>
          <w:tcPr>
            <w:tcW w:w="3896" w:type="dxa"/>
            <w:noWrap w:val="0"/>
            <w:vAlign w:val="center"/>
          </w:tcPr>
          <w:p w14:paraId="4867D1A8">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p w14:paraId="30FB959F">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4FEF04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1EA4F25D">
            <w:pPr>
              <w:pStyle w:val="16"/>
              <w:pageBreakBefore w:val="0"/>
              <w:kinsoku/>
              <w:wordWrap/>
              <w:overflowPunct/>
              <w:topLinePunct w:val="0"/>
              <w:bidi w:val="0"/>
              <w:spacing w:after="0" w:afterLines="0"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项目副经理</w:t>
            </w:r>
          </w:p>
        </w:tc>
        <w:tc>
          <w:tcPr>
            <w:tcW w:w="1418" w:type="dxa"/>
            <w:noWrap w:val="0"/>
            <w:vAlign w:val="center"/>
          </w:tcPr>
          <w:p w14:paraId="4592D900">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5014B972">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0F2C0988">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3896" w:type="dxa"/>
            <w:noWrap w:val="0"/>
            <w:vAlign w:val="center"/>
          </w:tcPr>
          <w:p w14:paraId="6DCD98B4">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53A5D4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16B101FC">
            <w:pPr>
              <w:pStyle w:val="16"/>
              <w:pageBreakBefore w:val="0"/>
              <w:kinsoku/>
              <w:wordWrap/>
              <w:overflowPunct/>
              <w:topLinePunct w:val="0"/>
              <w:bidi w:val="0"/>
              <w:spacing w:after="0" w:afterLines="0"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施工负责人</w:t>
            </w:r>
          </w:p>
        </w:tc>
        <w:tc>
          <w:tcPr>
            <w:tcW w:w="1418" w:type="dxa"/>
            <w:noWrap w:val="0"/>
            <w:vAlign w:val="center"/>
          </w:tcPr>
          <w:p w14:paraId="6FA9C306">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303EFAE9">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2D56166A">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3896" w:type="dxa"/>
            <w:noWrap w:val="0"/>
            <w:vAlign w:val="center"/>
          </w:tcPr>
          <w:p w14:paraId="49CC9A1B">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3AD88A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1DE33CAF">
            <w:pPr>
              <w:pStyle w:val="16"/>
              <w:pageBreakBefore w:val="0"/>
              <w:kinsoku/>
              <w:wordWrap/>
              <w:overflowPunct/>
              <w:topLinePunct w:val="0"/>
              <w:bidi w:val="0"/>
              <w:spacing w:after="0" w:afterLines="0"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技术负责人</w:t>
            </w:r>
          </w:p>
        </w:tc>
        <w:tc>
          <w:tcPr>
            <w:tcW w:w="1418" w:type="dxa"/>
            <w:noWrap w:val="0"/>
            <w:vAlign w:val="center"/>
          </w:tcPr>
          <w:p w14:paraId="1CADEE56">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63795B0F">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0289637B">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3896" w:type="dxa"/>
            <w:noWrap w:val="0"/>
            <w:vAlign w:val="center"/>
          </w:tcPr>
          <w:p w14:paraId="29E26BB6">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7F635B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2EDDF4A3">
            <w:pPr>
              <w:pStyle w:val="16"/>
              <w:pageBreakBefore w:val="0"/>
              <w:kinsoku/>
              <w:wordWrap/>
              <w:overflowPunct/>
              <w:topLinePunct w:val="0"/>
              <w:bidi w:val="0"/>
              <w:spacing w:after="0" w:afterLines="0"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造价管理</w:t>
            </w:r>
          </w:p>
        </w:tc>
        <w:tc>
          <w:tcPr>
            <w:tcW w:w="1418" w:type="dxa"/>
            <w:noWrap w:val="0"/>
            <w:vAlign w:val="center"/>
          </w:tcPr>
          <w:p w14:paraId="70197DCA">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45001602">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3C97127E">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3896" w:type="dxa"/>
            <w:noWrap w:val="0"/>
            <w:vAlign w:val="center"/>
          </w:tcPr>
          <w:p w14:paraId="2A08CFEA">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1C633D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28615911">
            <w:pPr>
              <w:pStyle w:val="16"/>
              <w:pageBreakBefore w:val="0"/>
              <w:kinsoku/>
              <w:wordWrap/>
              <w:overflowPunct/>
              <w:topLinePunct w:val="0"/>
              <w:bidi w:val="0"/>
              <w:spacing w:after="0" w:afterLines="0"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质量管理</w:t>
            </w:r>
          </w:p>
        </w:tc>
        <w:tc>
          <w:tcPr>
            <w:tcW w:w="1418" w:type="dxa"/>
            <w:noWrap w:val="0"/>
            <w:vAlign w:val="center"/>
          </w:tcPr>
          <w:p w14:paraId="4E16ACEC">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2FDECE21">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78D0EAD7">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3896" w:type="dxa"/>
            <w:noWrap w:val="0"/>
            <w:vAlign w:val="center"/>
          </w:tcPr>
          <w:p w14:paraId="1A04380A">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47449D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185F13C0">
            <w:pPr>
              <w:pStyle w:val="16"/>
              <w:pageBreakBefore w:val="0"/>
              <w:kinsoku/>
              <w:wordWrap/>
              <w:overflowPunct/>
              <w:topLinePunct w:val="0"/>
              <w:bidi w:val="0"/>
              <w:spacing w:after="0" w:afterLines="0"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计划管理</w:t>
            </w:r>
          </w:p>
        </w:tc>
        <w:tc>
          <w:tcPr>
            <w:tcW w:w="1418" w:type="dxa"/>
            <w:noWrap w:val="0"/>
            <w:vAlign w:val="center"/>
          </w:tcPr>
          <w:p w14:paraId="247BB912">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3612C4B3">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1CF6BBF1">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3896" w:type="dxa"/>
            <w:noWrap w:val="0"/>
            <w:vAlign w:val="center"/>
          </w:tcPr>
          <w:p w14:paraId="36E83F98">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154183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667671A1">
            <w:pPr>
              <w:pStyle w:val="16"/>
              <w:pageBreakBefore w:val="0"/>
              <w:kinsoku/>
              <w:wordWrap/>
              <w:overflowPunct/>
              <w:topLinePunct w:val="0"/>
              <w:bidi w:val="0"/>
              <w:spacing w:after="0" w:afterLines="0"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安全管理</w:t>
            </w:r>
          </w:p>
        </w:tc>
        <w:tc>
          <w:tcPr>
            <w:tcW w:w="1418" w:type="dxa"/>
            <w:noWrap w:val="0"/>
            <w:vAlign w:val="center"/>
          </w:tcPr>
          <w:p w14:paraId="3247927F">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3D012763">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254F7709">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3896" w:type="dxa"/>
            <w:noWrap w:val="0"/>
            <w:vAlign w:val="center"/>
          </w:tcPr>
          <w:p w14:paraId="259971F4">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6650C5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757AC5E9">
            <w:pPr>
              <w:pStyle w:val="16"/>
              <w:pageBreakBefore w:val="0"/>
              <w:kinsoku/>
              <w:wordWrap/>
              <w:overflowPunct/>
              <w:topLinePunct w:val="0"/>
              <w:bidi w:val="0"/>
              <w:spacing w:after="0" w:afterLines="0"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环境管理</w:t>
            </w:r>
          </w:p>
        </w:tc>
        <w:tc>
          <w:tcPr>
            <w:tcW w:w="1418" w:type="dxa"/>
            <w:noWrap w:val="0"/>
            <w:vAlign w:val="center"/>
          </w:tcPr>
          <w:p w14:paraId="4C79F6A0">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224BA6BE">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75F8B1D0">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3896" w:type="dxa"/>
            <w:noWrap w:val="0"/>
            <w:vAlign w:val="center"/>
          </w:tcPr>
          <w:p w14:paraId="38CCA650">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2C7CDC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restart"/>
            <w:tcBorders>
              <w:top w:val="single" w:color="auto" w:sz="6" w:space="0"/>
            </w:tcBorders>
            <w:noWrap w:val="0"/>
            <w:vAlign w:val="center"/>
          </w:tcPr>
          <w:p w14:paraId="12CD16ED">
            <w:pPr>
              <w:pStyle w:val="16"/>
              <w:pageBreakBefore w:val="0"/>
              <w:kinsoku/>
              <w:wordWrap/>
              <w:overflowPunct/>
              <w:topLinePunct w:val="0"/>
              <w:bidi w:val="0"/>
              <w:spacing w:after="0" w:afterLines="0"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其他人员</w:t>
            </w:r>
          </w:p>
        </w:tc>
        <w:tc>
          <w:tcPr>
            <w:tcW w:w="1418" w:type="dxa"/>
            <w:noWrap w:val="0"/>
            <w:vAlign w:val="center"/>
          </w:tcPr>
          <w:p w14:paraId="60DD12ED">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03DC6BC5">
            <w:pPr>
              <w:pStyle w:val="16"/>
              <w:pageBreakBefore w:val="0"/>
              <w:kinsoku/>
              <w:wordWrap/>
              <w:overflowPunct/>
              <w:topLinePunct w:val="0"/>
              <w:bidi w:val="0"/>
              <w:spacing w:after="0" w:afterLines="0" w:line="360" w:lineRule="auto"/>
              <w:ind w:left="0" w:leftChars="0" w:firstLine="0" w:firstLineChars="0"/>
              <w:textAlignment w:val="auto"/>
              <w:rPr>
                <w:rFonts w:hint="eastAsia" w:ascii="宋体" w:hAnsi="宋体" w:eastAsia="宋体" w:cs="宋体"/>
                <w:color w:val="auto"/>
                <w:sz w:val="21"/>
                <w:szCs w:val="21"/>
              </w:rPr>
            </w:pPr>
          </w:p>
        </w:tc>
        <w:tc>
          <w:tcPr>
            <w:tcW w:w="1134" w:type="dxa"/>
            <w:noWrap w:val="0"/>
            <w:vAlign w:val="center"/>
          </w:tcPr>
          <w:p w14:paraId="7CDE0BDF">
            <w:pPr>
              <w:pStyle w:val="16"/>
              <w:pageBreakBefore w:val="0"/>
              <w:kinsoku/>
              <w:wordWrap/>
              <w:overflowPunct/>
              <w:topLinePunct w:val="0"/>
              <w:bidi w:val="0"/>
              <w:spacing w:after="0" w:afterLines="0" w:line="360" w:lineRule="auto"/>
              <w:ind w:left="0" w:leftChars="0" w:firstLine="0" w:firstLineChars="0"/>
              <w:textAlignment w:val="auto"/>
              <w:rPr>
                <w:rFonts w:hint="eastAsia" w:ascii="宋体" w:hAnsi="宋体" w:eastAsia="宋体" w:cs="宋体"/>
                <w:color w:val="auto"/>
                <w:sz w:val="21"/>
                <w:szCs w:val="21"/>
                <w:lang w:val="en-US" w:eastAsia="zh-CN"/>
              </w:rPr>
            </w:pPr>
          </w:p>
        </w:tc>
        <w:tc>
          <w:tcPr>
            <w:tcW w:w="3896" w:type="dxa"/>
            <w:noWrap w:val="0"/>
            <w:vAlign w:val="center"/>
          </w:tcPr>
          <w:p w14:paraId="197FC094">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5CA27E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163A56E9">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418" w:type="dxa"/>
            <w:tcBorders>
              <w:bottom w:val="nil"/>
            </w:tcBorders>
            <w:noWrap w:val="0"/>
            <w:vAlign w:val="center"/>
          </w:tcPr>
          <w:p w14:paraId="372161F7">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tcBorders>
              <w:bottom w:val="nil"/>
            </w:tcBorders>
            <w:noWrap w:val="0"/>
            <w:vAlign w:val="center"/>
          </w:tcPr>
          <w:p w14:paraId="03EADD83">
            <w:pPr>
              <w:pStyle w:val="16"/>
              <w:pageBreakBefore w:val="0"/>
              <w:kinsoku/>
              <w:wordWrap/>
              <w:overflowPunct/>
              <w:topLinePunct w:val="0"/>
              <w:bidi w:val="0"/>
              <w:spacing w:after="0" w:afterLines="0" w:line="360" w:lineRule="auto"/>
              <w:ind w:left="0" w:leftChars="0" w:firstLine="0" w:firstLineChars="0"/>
              <w:textAlignment w:val="auto"/>
              <w:rPr>
                <w:rFonts w:hint="eastAsia" w:ascii="宋体" w:hAnsi="宋体" w:eastAsia="宋体" w:cs="宋体"/>
                <w:color w:val="auto"/>
                <w:sz w:val="21"/>
                <w:szCs w:val="21"/>
              </w:rPr>
            </w:pPr>
          </w:p>
        </w:tc>
        <w:tc>
          <w:tcPr>
            <w:tcW w:w="1134" w:type="dxa"/>
            <w:tcBorders>
              <w:bottom w:val="nil"/>
            </w:tcBorders>
            <w:noWrap w:val="0"/>
            <w:vAlign w:val="center"/>
          </w:tcPr>
          <w:p w14:paraId="4626C68D">
            <w:pPr>
              <w:pStyle w:val="16"/>
              <w:pageBreakBefore w:val="0"/>
              <w:kinsoku/>
              <w:wordWrap/>
              <w:overflowPunct/>
              <w:topLinePunct w:val="0"/>
              <w:bidi w:val="0"/>
              <w:spacing w:after="0" w:afterLines="0" w:line="360" w:lineRule="auto"/>
              <w:ind w:firstLine="0" w:firstLineChars="0"/>
              <w:textAlignment w:val="auto"/>
              <w:rPr>
                <w:rFonts w:hint="eastAsia" w:ascii="宋体" w:hAnsi="宋体" w:eastAsia="宋体" w:cs="宋体"/>
                <w:color w:val="auto"/>
                <w:sz w:val="21"/>
                <w:szCs w:val="21"/>
                <w:lang w:val="en-US" w:eastAsia="zh-CN"/>
              </w:rPr>
            </w:pPr>
          </w:p>
        </w:tc>
        <w:tc>
          <w:tcPr>
            <w:tcW w:w="3896" w:type="dxa"/>
            <w:tcBorders>
              <w:bottom w:val="nil"/>
            </w:tcBorders>
            <w:noWrap w:val="0"/>
            <w:vAlign w:val="center"/>
          </w:tcPr>
          <w:p w14:paraId="329001BF">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722131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5E474DE4">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418" w:type="dxa"/>
            <w:noWrap w:val="0"/>
            <w:vAlign w:val="center"/>
          </w:tcPr>
          <w:p w14:paraId="3D71B727">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48D17454">
            <w:pPr>
              <w:pStyle w:val="16"/>
              <w:pageBreakBefore w:val="0"/>
              <w:kinsoku/>
              <w:wordWrap/>
              <w:overflowPunct/>
              <w:topLinePunct w:val="0"/>
              <w:bidi w:val="0"/>
              <w:spacing w:after="0" w:afterLines="0" w:line="360" w:lineRule="auto"/>
              <w:ind w:left="0" w:leftChars="0" w:firstLine="0" w:firstLineChars="0"/>
              <w:textAlignment w:val="auto"/>
              <w:rPr>
                <w:rFonts w:hint="eastAsia" w:ascii="宋体" w:hAnsi="宋体" w:eastAsia="宋体" w:cs="宋体"/>
                <w:color w:val="auto"/>
                <w:sz w:val="21"/>
                <w:szCs w:val="21"/>
              </w:rPr>
            </w:pPr>
          </w:p>
        </w:tc>
        <w:tc>
          <w:tcPr>
            <w:tcW w:w="1134" w:type="dxa"/>
            <w:noWrap w:val="0"/>
            <w:vAlign w:val="center"/>
          </w:tcPr>
          <w:p w14:paraId="2DA707CC">
            <w:pPr>
              <w:pStyle w:val="16"/>
              <w:pageBreakBefore w:val="0"/>
              <w:kinsoku/>
              <w:wordWrap/>
              <w:overflowPunct/>
              <w:topLinePunct w:val="0"/>
              <w:bidi w:val="0"/>
              <w:spacing w:after="0" w:afterLines="0" w:line="360" w:lineRule="auto"/>
              <w:ind w:left="0" w:leftChars="0" w:firstLine="0" w:firstLineChars="0"/>
              <w:textAlignment w:val="auto"/>
              <w:rPr>
                <w:rFonts w:hint="eastAsia" w:ascii="宋体" w:hAnsi="宋体" w:eastAsia="宋体" w:cs="宋体"/>
                <w:color w:val="auto"/>
                <w:sz w:val="21"/>
                <w:szCs w:val="21"/>
                <w:lang w:val="en-US" w:eastAsia="zh-CN"/>
              </w:rPr>
            </w:pPr>
          </w:p>
        </w:tc>
        <w:tc>
          <w:tcPr>
            <w:tcW w:w="3896" w:type="dxa"/>
            <w:noWrap w:val="0"/>
            <w:vAlign w:val="center"/>
          </w:tcPr>
          <w:p w14:paraId="4F937EFE">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65FA37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7DE758A2">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418" w:type="dxa"/>
            <w:noWrap w:val="0"/>
            <w:vAlign w:val="center"/>
          </w:tcPr>
          <w:p w14:paraId="3ADDB0D9">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0FA2D81D">
            <w:pPr>
              <w:pStyle w:val="16"/>
              <w:pageBreakBefore w:val="0"/>
              <w:kinsoku/>
              <w:wordWrap/>
              <w:overflowPunct/>
              <w:topLinePunct w:val="0"/>
              <w:bidi w:val="0"/>
              <w:spacing w:after="0" w:afterLines="0" w:line="360" w:lineRule="auto"/>
              <w:ind w:left="0" w:leftChars="0" w:firstLine="0" w:firstLineChars="0"/>
              <w:textAlignment w:val="auto"/>
              <w:rPr>
                <w:rFonts w:hint="eastAsia" w:ascii="宋体" w:hAnsi="宋体" w:eastAsia="宋体" w:cs="宋体"/>
                <w:color w:val="auto"/>
                <w:sz w:val="21"/>
                <w:szCs w:val="21"/>
              </w:rPr>
            </w:pPr>
          </w:p>
        </w:tc>
        <w:tc>
          <w:tcPr>
            <w:tcW w:w="1134" w:type="dxa"/>
            <w:noWrap w:val="0"/>
            <w:vAlign w:val="center"/>
          </w:tcPr>
          <w:p w14:paraId="0ACC8C1F">
            <w:pPr>
              <w:pStyle w:val="16"/>
              <w:pageBreakBefore w:val="0"/>
              <w:kinsoku/>
              <w:wordWrap/>
              <w:overflowPunct/>
              <w:topLinePunct w:val="0"/>
              <w:bidi w:val="0"/>
              <w:spacing w:after="0" w:afterLines="0" w:line="360" w:lineRule="auto"/>
              <w:ind w:firstLine="0" w:firstLineChars="0"/>
              <w:textAlignment w:val="auto"/>
              <w:rPr>
                <w:rFonts w:hint="eastAsia" w:ascii="宋体" w:hAnsi="宋体" w:eastAsia="宋体" w:cs="宋体"/>
                <w:color w:val="auto"/>
                <w:sz w:val="21"/>
                <w:szCs w:val="21"/>
                <w:lang w:val="en-US" w:eastAsia="zh-CN"/>
              </w:rPr>
            </w:pPr>
          </w:p>
        </w:tc>
        <w:tc>
          <w:tcPr>
            <w:tcW w:w="3896" w:type="dxa"/>
            <w:noWrap w:val="0"/>
            <w:vAlign w:val="center"/>
          </w:tcPr>
          <w:p w14:paraId="06AE3209">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22DF5D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749D19AE">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c>
          <w:tcPr>
            <w:tcW w:w="1418" w:type="dxa"/>
            <w:noWrap w:val="0"/>
            <w:vAlign w:val="center"/>
          </w:tcPr>
          <w:p w14:paraId="7BA7AC64">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noWrap w:val="0"/>
            <w:vAlign w:val="center"/>
          </w:tcPr>
          <w:p w14:paraId="55C82EAE">
            <w:pPr>
              <w:pStyle w:val="16"/>
              <w:pageBreakBefore w:val="0"/>
              <w:kinsoku/>
              <w:wordWrap/>
              <w:overflowPunct/>
              <w:topLinePunct w:val="0"/>
              <w:bidi w:val="0"/>
              <w:spacing w:after="0" w:afterLines="0" w:line="360" w:lineRule="auto"/>
              <w:ind w:left="0" w:leftChars="0" w:firstLine="0" w:firstLineChars="0"/>
              <w:textAlignment w:val="auto"/>
              <w:rPr>
                <w:rFonts w:hint="eastAsia" w:ascii="宋体" w:hAnsi="宋体" w:eastAsia="宋体" w:cs="宋体"/>
                <w:color w:val="auto"/>
                <w:sz w:val="21"/>
                <w:szCs w:val="21"/>
              </w:rPr>
            </w:pPr>
          </w:p>
        </w:tc>
        <w:tc>
          <w:tcPr>
            <w:tcW w:w="1134" w:type="dxa"/>
            <w:noWrap w:val="0"/>
            <w:vAlign w:val="center"/>
          </w:tcPr>
          <w:p w14:paraId="53AB8D4F">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lang w:val="en-US" w:eastAsia="zh-CN"/>
              </w:rPr>
            </w:pPr>
          </w:p>
        </w:tc>
        <w:tc>
          <w:tcPr>
            <w:tcW w:w="3896" w:type="dxa"/>
            <w:noWrap w:val="0"/>
            <w:vAlign w:val="center"/>
          </w:tcPr>
          <w:p w14:paraId="22A11222">
            <w:pPr>
              <w:pStyle w:val="16"/>
              <w:pageBreakBefore w:val="0"/>
              <w:kinsoku/>
              <w:wordWrap/>
              <w:overflowPunct/>
              <w:topLinePunct w:val="0"/>
              <w:bidi w:val="0"/>
              <w:spacing w:after="0" w:afterLines="0" w:line="360" w:lineRule="auto"/>
              <w:ind w:firstLine="420"/>
              <w:textAlignment w:val="auto"/>
              <w:rPr>
                <w:rFonts w:hint="eastAsia" w:ascii="宋体" w:hAnsi="宋体" w:eastAsia="宋体" w:cs="宋体"/>
                <w:color w:val="auto"/>
                <w:sz w:val="21"/>
                <w:szCs w:val="21"/>
              </w:rPr>
            </w:pPr>
          </w:p>
        </w:tc>
      </w:tr>
      <w:tr w14:paraId="0DDEE3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tcBorders>
              <w:bottom w:val="single" w:color="auto" w:sz="12" w:space="0"/>
            </w:tcBorders>
            <w:noWrap w:val="0"/>
            <w:vAlign w:val="center"/>
          </w:tcPr>
          <w:p w14:paraId="46B81B59">
            <w:pPr>
              <w:pStyle w:val="16"/>
              <w:pageBreakBefore w:val="0"/>
              <w:kinsoku/>
              <w:wordWrap/>
              <w:overflowPunct/>
              <w:topLinePunct w:val="0"/>
              <w:bidi w:val="0"/>
              <w:spacing w:after="0" w:afterLines="0" w:line="360" w:lineRule="auto"/>
              <w:textAlignment w:val="auto"/>
              <w:rPr>
                <w:rFonts w:hint="eastAsia" w:ascii="宋体" w:hAnsi="宋体" w:eastAsia="宋体" w:cs="宋体"/>
                <w:color w:val="auto"/>
                <w:sz w:val="21"/>
                <w:szCs w:val="21"/>
              </w:rPr>
            </w:pPr>
          </w:p>
        </w:tc>
        <w:tc>
          <w:tcPr>
            <w:tcW w:w="1418" w:type="dxa"/>
            <w:tcBorders>
              <w:bottom w:val="single" w:color="auto" w:sz="12" w:space="0"/>
            </w:tcBorders>
            <w:noWrap w:val="0"/>
            <w:vAlign w:val="center"/>
          </w:tcPr>
          <w:p w14:paraId="66BF1F8E">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tcBorders>
              <w:bottom w:val="single" w:color="auto" w:sz="12" w:space="0"/>
            </w:tcBorders>
            <w:noWrap w:val="0"/>
            <w:vAlign w:val="center"/>
          </w:tcPr>
          <w:p w14:paraId="3A058A4B">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1134" w:type="dxa"/>
            <w:tcBorders>
              <w:bottom w:val="single" w:color="auto" w:sz="12" w:space="0"/>
            </w:tcBorders>
            <w:noWrap w:val="0"/>
            <w:vAlign w:val="center"/>
          </w:tcPr>
          <w:p w14:paraId="31BFBC3A">
            <w:pPr>
              <w:pStyle w:val="16"/>
              <w:pageBreakBefore w:val="0"/>
              <w:kinsoku/>
              <w:wordWrap/>
              <w:overflowPunct/>
              <w:topLinePunct w:val="0"/>
              <w:bidi w:val="0"/>
              <w:spacing w:after="0" w:afterLines="0" w:line="360" w:lineRule="auto"/>
              <w:ind w:firstLine="420" w:firstLineChars="200"/>
              <w:textAlignment w:val="auto"/>
              <w:rPr>
                <w:rFonts w:hint="eastAsia" w:ascii="宋体" w:hAnsi="宋体" w:eastAsia="宋体" w:cs="宋体"/>
                <w:color w:val="auto"/>
                <w:sz w:val="21"/>
                <w:szCs w:val="21"/>
              </w:rPr>
            </w:pPr>
          </w:p>
        </w:tc>
        <w:tc>
          <w:tcPr>
            <w:tcW w:w="3896" w:type="dxa"/>
            <w:tcBorders>
              <w:bottom w:val="single" w:color="auto" w:sz="12" w:space="0"/>
            </w:tcBorders>
            <w:noWrap w:val="0"/>
            <w:vAlign w:val="center"/>
          </w:tcPr>
          <w:p w14:paraId="6B24908D">
            <w:pPr>
              <w:pStyle w:val="16"/>
              <w:pageBreakBefore w:val="0"/>
              <w:kinsoku/>
              <w:wordWrap/>
              <w:overflowPunct/>
              <w:topLinePunct w:val="0"/>
              <w:bidi w:val="0"/>
              <w:spacing w:after="0" w:afterLines="0" w:line="360" w:lineRule="auto"/>
              <w:textAlignment w:val="auto"/>
              <w:rPr>
                <w:rFonts w:hint="eastAsia" w:ascii="宋体" w:hAnsi="宋体" w:eastAsia="宋体" w:cs="宋体"/>
                <w:color w:val="auto"/>
                <w:sz w:val="21"/>
                <w:szCs w:val="21"/>
              </w:rPr>
            </w:pPr>
          </w:p>
        </w:tc>
      </w:tr>
    </w:tbl>
    <w:p w14:paraId="65B5BDC3">
      <w:pPr>
        <w:pStyle w:val="7"/>
        <w:pageBreakBefore w:val="0"/>
        <w:kinsoku/>
        <w:overflowPunct/>
        <w:bidi w:val="0"/>
        <w:spacing w:before="0" w:after="0" w:afterLines="0" w:line="360" w:lineRule="auto"/>
        <w:ind w:left="0" w:firstLine="0" w:firstLineChars="0"/>
        <w:textAlignment w:val="auto"/>
        <w:rPr>
          <w:color w:val="auto"/>
          <w:sz w:val="21"/>
          <w:szCs w:val="21"/>
          <w:highlight w:val="none"/>
        </w:rPr>
      </w:pPr>
      <w:r>
        <w:rPr>
          <w:rFonts w:hint="eastAsia" w:ascii="宋体" w:hAnsi="宋体" w:eastAsia="宋体" w:cs="宋体"/>
          <w:color w:val="auto"/>
          <w:sz w:val="21"/>
          <w:szCs w:val="21"/>
        </w:rPr>
        <w:br w:type="page"/>
      </w:r>
      <w:bookmarkStart w:id="708" w:name="_Toc23664_WPSOffice_Level1"/>
      <w:bookmarkStart w:id="709" w:name="_Toc9386"/>
      <w:bookmarkStart w:id="710" w:name="_Toc12519"/>
      <w:bookmarkStart w:id="711" w:name="_Toc22595"/>
      <w:bookmarkStart w:id="712" w:name="_Toc7674"/>
      <w:bookmarkStart w:id="713" w:name="_Toc22100"/>
      <w:bookmarkStart w:id="714" w:name="_Toc10343"/>
      <w:bookmarkStart w:id="715" w:name="_Toc4780"/>
      <w:bookmarkStart w:id="716" w:name="_Toc29946_WPSOffice_Level1"/>
      <w:r>
        <w:rPr>
          <w:color w:val="auto"/>
          <w:sz w:val="21"/>
          <w:szCs w:val="21"/>
          <w:highlight w:val="none"/>
        </w:rPr>
        <w:t>附件</w:t>
      </w:r>
      <w:r>
        <w:rPr>
          <w:rFonts w:hint="eastAsia"/>
          <w:color w:val="auto"/>
          <w:sz w:val="21"/>
          <w:szCs w:val="21"/>
          <w:highlight w:val="none"/>
        </w:rPr>
        <w:t>3</w:t>
      </w:r>
      <w:r>
        <w:rPr>
          <w:color w:val="auto"/>
          <w:sz w:val="21"/>
          <w:szCs w:val="21"/>
          <w:highlight w:val="none"/>
        </w:rPr>
        <w:t>：履约担保</w:t>
      </w:r>
      <w:bookmarkEnd w:id="708"/>
      <w:r>
        <w:rPr>
          <w:rFonts w:hint="eastAsia"/>
          <w:color w:val="auto"/>
          <w:sz w:val="21"/>
          <w:szCs w:val="21"/>
          <w:highlight w:val="none"/>
        </w:rPr>
        <w:t>格式</w:t>
      </w:r>
      <w:bookmarkEnd w:id="709"/>
    </w:p>
    <w:p w14:paraId="28A76C2C">
      <w:pPr>
        <w:pageBreakBefore w:val="0"/>
        <w:kinsoku/>
        <w:overflowPunct/>
        <w:bidi w:val="0"/>
        <w:spacing w:after="0" w:afterLines="0" w:line="360" w:lineRule="auto"/>
        <w:ind w:left="3375" w:right="3375"/>
        <w:jc w:val="center"/>
        <w:textAlignment w:val="auto"/>
        <w:rPr>
          <w:rFonts w:hint="eastAsia" w:cs="宋体"/>
          <w:b/>
          <w:color w:val="auto"/>
          <w:sz w:val="21"/>
          <w:szCs w:val="21"/>
          <w:highlight w:val="none"/>
        </w:rPr>
      </w:pPr>
      <w:r>
        <w:rPr>
          <w:rFonts w:hint="eastAsia" w:cs="宋体"/>
          <w:b/>
          <w:color w:val="auto"/>
          <w:sz w:val="21"/>
          <w:szCs w:val="21"/>
          <w:highlight w:val="none"/>
        </w:rPr>
        <w:t>履约担保</w:t>
      </w:r>
    </w:p>
    <w:p w14:paraId="451D61F8">
      <w:pPr>
        <w:pStyle w:val="16"/>
        <w:pageBreakBefore w:val="0"/>
        <w:kinsoku/>
        <w:overflowPunct/>
        <w:bidi w:val="0"/>
        <w:spacing w:after="0" w:afterLines="0" w:line="360" w:lineRule="auto"/>
        <w:textAlignment w:val="auto"/>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XXX公司</w:t>
      </w:r>
      <w:r>
        <w:rPr>
          <w:rFonts w:hint="eastAsia" w:ascii="宋体" w:hAnsi="宋体" w:cs="宋体"/>
          <w:color w:val="auto"/>
          <w:sz w:val="21"/>
          <w:szCs w:val="21"/>
          <w:highlight w:val="none"/>
        </w:rPr>
        <w:t>：</w:t>
      </w:r>
    </w:p>
    <w:p w14:paraId="1B76EE2E">
      <w:pPr>
        <w:pStyle w:val="16"/>
        <w:pageBreakBefore w:val="0"/>
        <w:kinsoku/>
        <w:overflowPunct/>
        <w:bidi w:val="0"/>
        <w:spacing w:after="0" w:afterLines="0" w:line="360" w:lineRule="auto"/>
        <w:ind w:left="679"/>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鉴于</w:t>
      </w:r>
      <w:r>
        <w:rPr>
          <w:rFonts w:hint="eastAsia" w:ascii="宋体" w:hAnsi="宋体" w:cs="宋体"/>
          <w:color w:val="auto"/>
          <w:sz w:val="21"/>
          <w:szCs w:val="21"/>
          <w:highlight w:val="none"/>
          <w:u w:val="single"/>
        </w:rPr>
        <w:t xml:space="preserve">                                              </w:t>
      </w:r>
    </w:p>
    <w:p w14:paraId="1A7D96A1">
      <w:pPr>
        <w:pStyle w:val="16"/>
        <w:pageBreakBefore w:val="0"/>
        <w:kinsoku/>
        <w:overflowPunct/>
        <w:bidi w:val="0"/>
        <w:spacing w:after="0" w:afterLines="0" w:line="360" w:lineRule="auto"/>
        <w:ind w:right="302"/>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w:t>
      </w:r>
      <w:r>
        <w:rPr>
          <w:rFonts w:hint="eastAsia" w:ascii="宋体" w:hAnsi="宋体" w:cs="宋体"/>
          <w:color w:val="auto"/>
          <w:spacing w:val="-3"/>
          <w:sz w:val="21"/>
          <w:szCs w:val="21"/>
          <w:highlight w:val="none"/>
        </w:rPr>
        <w:t>以下简称“你方</w:t>
      </w:r>
      <w:r>
        <w:rPr>
          <w:rFonts w:hint="eastAsia" w:ascii="宋体" w:hAnsi="宋体" w:cs="宋体"/>
          <w:color w:val="auto"/>
          <w:sz w:val="21"/>
          <w:szCs w:val="21"/>
          <w:highlight w:val="none"/>
        </w:rPr>
        <w:t>”）</w:t>
      </w:r>
      <w:r>
        <w:rPr>
          <w:rFonts w:hint="eastAsia" w:ascii="宋体" w:hAnsi="宋体" w:cs="宋体"/>
          <w:color w:val="auto"/>
          <w:spacing w:val="17"/>
          <w:sz w:val="21"/>
          <w:szCs w:val="21"/>
          <w:highlight w:val="none"/>
        </w:rPr>
        <w:t xml:space="preserve">与 </w:t>
      </w:r>
      <w:r>
        <w:rPr>
          <w:rFonts w:hint="eastAsia" w:ascii="宋体" w:hAnsi="宋体" w:cs="宋体"/>
          <w:color w:val="auto"/>
          <w:spacing w:val="-3"/>
          <w:sz w:val="21"/>
          <w:szCs w:val="21"/>
          <w:highlight w:val="none"/>
          <w:u w:val="single"/>
        </w:rPr>
        <w:t xml:space="preserve">                </w:t>
      </w:r>
      <w:r>
        <w:rPr>
          <w:rFonts w:hint="eastAsia" w:ascii="宋体" w:hAnsi="宋体" w:cs="宋体"/>
          <w:color w:val="auto"/>
          <w:spacing w:val="-2"/>
          <w:sz w:val="21"/>
          <w:szCs w:val="21"/>
          <w:highlight w:val="none"/>
        </w:rPr>
        <w:t xml:space="preserve">(以下称“承包人”)于 </w:t>
      </w:r>
      <w:r>
        <w:rPr>
          <w:rFonts w:hint="eastAsia" w:ascii="宋体" w:hAnsi="宋体" w:cs="宋体"/>
          <w:color w:val="auto"/>
          <w:sz w:val="21"/>
          <w:szCs w:val="21"/>
          <w:highlight w:val="none"/>
        </w:rPr>
        <w:t xml:space="preserve">   </w:t>
      </w:r>
      <w:r>
        <w:rPr>
          <w:rFonts w:hint="eastAsia" w:ascii="宋体" w:hAnsi="宋体" w:cs="宋体"/>
          <w:color w:val="auto"/>
          <w:spacing w:val="-24"/>
          <w:sz w:val="21"/>
          <w:szCs w:val="21"/>
          <w:highlight w:val="none"/>
        </w:rPr>
        <w:t xml:space="preserve">年 </w:t>
      </w:r>
      <w:r>
        <w:rPr>
          <w:rFonts w:hint="eastAsia" w:ascii="宋体" w:hAnsi="宋体" w:cs="宋体"/>
          <w:color w:val="auto"/>
          <w:sz w:val="21"/>
          <w:szCs w:val="21"/>
          <w:highlight w:val="none"/>
        </w:rPr>
        <w:t xml:space="preserve">   </w:t>
      </w:r>
      <w:r>
        <w:rPr>
          <w:rFonts w:hint="eastAsia" w:ascii="宋体" w:hAnsi="宋体" w:cs="宋体"/>
          <w:color w:val="auto"/>
          <w:spacing w:val="-48"/>
          <w:sz w:val="21"/>
          <w:szCs w:val="21"/>
          <w:highlight w:val="none"/>
        </w:rPr>
        <w:t xml:space="preserve">月 </w:t>
      </w:r>
      <w:r>
        <w:rPr>
          <w:rFonts w:hint="eastAsia" w:ascii="宋体" w:hAnsi="宋体" w:cs="宋体"/>
          <w:color w:val="auto"/>
          <w:sz w:val="21"/>
          <w:szCs w:val="21"/>
          <w:highlight w:val="none"/>
        </w:rPr>
        <w:t xml:space="preserve">   </w:t>
      </w:r>
      <w:r>
        <w:rPr>
          <w:rFonts w:hint="eastAsia" w:ascii="宋体" w:hAnsi="宋体" w:cs="宋体"/>
          <w:color w:val="auto"/>
          <w:spacing w:val="-24"/>
          <w:sz w:val="21"/>
          <w:szCs w:val="21"/>
          <w:highlight w:val="none"/>
        </w:rPr>
        <w:t>日就</w:t>
      </w:r>
      <w:r>
        <w:rPr>
          <w:rFonts w:hint="eastAsia" w:ascii="宋体" w:hAnsi="宋体" w:cs="宋体"/>
          <w:color w:val="auto"/>
          <w:spacing w:val="-3"/>
          <w:sz w:val="21"/>
          <w:szCs w:val="21"/>
          <w:highlight w:val="none"/>
          <w:u w:val="single"/>
        </w:rPr>
        <w:t xml:space="preserve">                          </w:t>
      </w:r>
      <w:r>
        <w:rPr>
          <w:rFonts w:hint="eastAsia" w:ascii="宋体" w:hAnsi="宋体" w:cs="宋体"/>
          <w:color w:val="auto"/>
          <w:sz w:val="21"/>
          <w:szCs w:val="21"/>
          <w:highlight w:val="none"/>
          <w:u w:val="single"/>
        </w:rPr>
        <w:t>项目</w:t>
      </w:r>
      <w:r>
        <w:rPr>
          <w:rFonts w:hint="eastAsia" w:ascii="宋体" w:hAnsi="宋体" w:cs="宋体"/>
          <w:color w:val="auto"/>
          <w:spacing w:val="-3"/>
          <w:sz w:val="21"/>
          <w:szCs w:val="21"/>
          <w:highlight w:val="none"/>
        </w:rPr>
        <w:t>施工及有关事项协商一致共同签订《          》。我方愿意就承包人履行与你方签订的合同，向你方提供无条件、不可撤销、见索即付的担保。</w:t>
      </w:r>
    </w:p>
    <w:p w14:paraId="4A0A7EAB">
      <w:pPr>
        <w:pStyle w:val="95"/>
        <w:pageBreakBefore w:val="0"/>
        <w:numPr>
          <w:ilvl w:val="0"/>
          <w:numId w:val="16"/>
        </w:numPr>
        <w:tabs>
          <w:tab w:val="left" w:pos="542"/>
          <w:tab w:val="clear" w:pos="993"/>
        </w:tabs>
        <w:kinsoku/>
        <w:overflowPunct/>
        <w:bidi w:val="0"/>
        <w:spacing w:after="0" w:afterLines="0" w:line="360" w:lineRule="auto"/>
        <w:ind w:firstLine="408"/>
        <w:textAlignment w:val="auto"/>
        <w:rPr>
          <w:rFonts w:hint="eastAsia" w:ascii="宋体" w:hAnsi="宋体" w:cs="宋体"/>
          <w:color w:val="auto"/>
          <w:sz w:val="21"/>
          <w:szCs w:val="21"/>
          <w:highlight w:val="none"/>
        </w:rPr>
      </w:pPr>
      <w:r>
        <w:rPr>
          <w:rFonts w:hint="eastAsia" w:ascii="宋体" w:hAnsi="宋体" w:cs="宋体"/>
          <w:color w:val="auto"/>
          <w:spacing w:val="-3"/>
          <w:sz w:val="21"/>
          <w:szCs w:val="21"/>
          <w:highlight w:val="none"/>
        </w:rPr>
        <w:t>担保金额人民币</w:t>
      </w:r>
      <w:r>
        <w:rPr>
          <w:rFonts w:hint="eastAsia" w:ascii="宋体" w:hAnsi="宋体" w:cs="宋体"/>
          <w:color w:val="auto"/>
          <w:sz w:val="21"/>
          <w:szCs w:val="21"/>
          <w:highlight w:val="none"/>
        </w:rPr>
        <w:t>（</w:t>
      </w:r>
      <w:r>
        <w:rPr>
          <w:rFonts w:hint="eastAsia" w:ascii="宋体" w:hAnsi="宋体" w:cs="宋体"/>
          <w:color w:val="auto"/>
          <w:spacing w:val="-2"/>
          <w:sz w:val="21"/>
          <w:szCs w:val="21"/>
          <w:highlight w:val="none"/>
        </w:rPr>
        <w:t>大写</w:t>
      </w:r>
      <w:r>
        <w:rPr>
          <w:rFonts w:hint="eastAsia" w:ascii="宋体" w:hAnsi="宋体" w:cs="宋体"/>
          <w:color w:val="auto"/>
          <w:sz w:val="21"/>
          <w:szCs w:val="21"/>
          <w:highlight w:val="none"/>
        </w:rPr>
        <w:t>）</w:t>
      </w:r>
      <w:r>
        <w:rPr>
          <w:rFonts w:hint="eastAsia" w:ascii="宋体" w:hAnsi="宋体" w:cs="宋体"/>
          <w:color w:val="auto"/>
          <w:spacing w:val="-3"/>
          <w:sz w:val="21"/>
          <w:szCs w:val="21"/>
          <w:highlight w:val="none"/>
          <w:u w:val="single"/>
        </w:rPr>
        <w:t xml:space="preserve">                 </w:t>
      </w:r>
      <w:r>
        <w:rPr>
          <w:rFonts w:hint="eastAsia" w:ascii="宋体" w:hAnsi="宋体" w:cs="宋体"/>
          <w:color w:val="auto"/>
          <w:sz w:val="21"/>
          <w:szCs w:val="21"/>
          <w:highlight w:val="none"/>
        </w:rPr>
        <w:t>（¥          元 ）</w:t>
      </w:r>
    </w:p>
    <w:p w14:paraId="77AC6C3A">
      <w:pPr>
        <w:pStyle w:val="95"/>
        <w:pageBreakBefore w:val="0"/>
        <w:numPr>
          <w:ilvl w:val="0"/>
          <w:numId w:val="16"/>
        </w:numPr>
        <w:tabs>
          <w:tab w:val="left" w:pos="542"/>
          <w:tab w:val="clear" w:pos="993"/>
        </w:tabs>
        <w:kinsoku/>
        <w:overflowPunct/>
        <w:bidi w:val="0"/>
        <w:spacing w:after="0" w:afterLines="0" w:line="360" w:lineRule="auto"/>
        <w:ind w:left="120" w:right="652" w:firstLine="408"/>
        <w:textAlignment w:val="auto"/>
        <w:rPr>
          <w:rFonts w:hint="eastAsia" w:ascii="宋体" w:hAnsi="宋体" w:cs="宋体"/>
          <w:color w:val="auto"/>
          <w:sz w:val="21"/>
          <w:szCs w:val="21"/>
          <w:highlight w:val="none"/>
        </w:rPr>
      </w:pPr>
      <w:r>
        <w:rPr>
          <w:rFonts w:hint="eastAsia" w:ascii="宋体" w:hAnsi="宋体" w:cs="宋体"/>
          <w:color w:val="auto"/>
          <w:spacing w:val="-3"/>
          <w:sz w:val="21"/>
          <w:szCs w:val="21"/>
          <w:highlight w:val="none"/>
        </w:rPr>
        <w:t>担保有效期    年</w:t>
      </w:r>
      <w:r>
        <w:rPr>
          <w:rFonts w:hint="eastAsia" w:ascii="宋体" w:hAnsi="宋体" w:cs="宋体"/>
          <w:color w:val="auto"/>
          <w:sz w:val="21"/>
          <w:szCs w:val="21"/>
          <w:highlight w:val="none"/>
        </w:rPr>
        <w:t xml:space="preserve">（   </w:t>
      </w:r>
      <w:r>
        <w:rPr>
          <w:rFonts w:hint="eastAsia" w:ascii="宋体" w:hAnsi="宋体" w:cs="宋体"/>
          <w:color w:val="auto"/>
          <w:spacing w:val="-23"/>
          <w:sz w:val="21"/>
          <w:szCs w:val="21"/>
          <w:highlight w:val="none"/>
        </w:rPr>
        <w:t xml:space="preserve"> 个月</w:t>
      </w:r>
      <w:r>
        <w:rPr>
          <w:rFonts w:hint="eastAsia" w:ascii="宋体" w:hAnsi="宋体" w:cs="宋体"/>
          <w:color w:val="auto"/>
          <w:sz w:val="21"/>
          <w:szCs w:val="21"/>
          <w:highlight w:val="none"/>
        </w:rPr>
        <w:t>）</w:t>
      </w:r>
      <w:r>
        <w:rPr>
          <w:rFonts w:hint="eastAsia" w:ascii="宋体" w:hAnsi="宋体" w:cs="宋体"/>
          <w:color w:val="auto"/>
          <w:spacing w:val="-3"/>
          <w:sz w:val="21"/>
          <w:szCs w:val="21"/>
          <w:highlight w:val="none"/>
        </w:rPr>
        <w:t>，自担保办理完成</w:t>
      </w:r>
      <w:r>
        <w:rPr>
          <w:rFonts w:hint="eastAsia" w:ascii="宋体" w:hAnsi="宋体" w:cs="宋体"/>
          <w:color w:val="auto"/>
          <w:sz w:val="21"/>
          <w:szCs w:val="21"/>
          <w:highlight w:val="none"/>
        </w:rPr>
        <w:t>（</w:t>
      </w:r>
      <w:r>
        <w:rPr>
          <w:rFonts w:hint="eastAsia" w:ascii="宋体" w:hAnsi="宋体" w:cs="宋体"/>
          <w:color w:val="auto"/>
          <w:spacing w:val="-2"/>
          <w:sz w:val="21"/>
          <w:szCs w:val="21"/>
          <w:highlight w:val="none"/>
        </w:rPr>
        <w:t>即担保人盖章</w:t>
      </w:r>
      <w:r>
        <w:rPr>
          <w:rFonts w:hint="eastAsia" w:ascii="宋体" w:hAnsi="宋体" w:cs="宋体"/>
          <w:color w:val="auto"/>
          <w:spacing w:val="-3"/>
          <w:sz w:val="21"/>
          <w:szCs w:val="21"/>
          <w:highlight w:val="none"/>
        </w:rPr>
        <w:t>）</w:t>
      </w:r>
      <w:r>
        <w:rPr>
          <w:rFonts w:hint="eastAsia" w:ascii="宋体" w:hAnsi="宋体" w:cs="宋体"/>
          <w:color w:val="auto"/>
          <w:spacing w:val="-1"/>
          <w:sz w:val="21"/>
          <w:szCs w:val="21"/>
          <w:highlight w:val="none"/>
        </w:rPr>
        <w:t>之日起生效。</w:t>
      </w:r>
    </w:p>
    <w:p w14:paraId="1A38A546">
      <w:pPr>
        <w:pStyle w:val="95"/>
        <w:pageBreakBefore w:val="0"/>
        <w:numPr>
          <w:ilvl w:val="0"/>
          <w:numId w:val="16"/>
        </w:numPr>
        <w:tabs>
          <w:tab w:val="left" w:pos="542"/>
          <w:tab w:val="clear" w:pos="993"/>
        </w:tabs>
        <w:kinsoku/>
        <w:overflowPunct/>
        <w:bidi w:val="0"/>
        <w:spacing w:after="0" w:afterLines="0" w:line="360" w:lineRule="auto"/>
        <w:ind w:left="120" w:firstLine="408"/>
        <w:textAlignment w:val="auto"/>
        <w:rPr>
          <w:rFonts w:hint="eastAsia" w:ascii="宋体" w:hAnsi="宋体" w:cs="宋体"/>
          <w:color w:val="auto"/>
          <w:sz w:val="21"/>
          <w:szCs w:val="21"/>
          <w:highlight w:val="none"/>
        </w:rPr>
      </w:pPr>
      <w:r>
        <w:rPr>
          <w:rFonts w:hint="eastAsia" w:ascii="宋体" w:hAnsi="宋体" w:cs="宋体"/>
          <w:color w:val="auto"/>
          <w:spacing w:val="-3"/>
          <w:sz w:val="21"/>
          <w:szCs w:val="21"/>
          <w:highlight w:val="none"/>
        </w:rPr>
        <w:t>在本担保有效期内，因承包人违反合同约定的义务给你方造成经济损失时，我方在收到你方以书面形式</w:t>
      </w:r>
      <w:r>
        <w:rPr>
          <w:rFonts w:hint="eastAsia" w:ascii="宋体" w:hAnsi="宋体" w:cs="宋体"/>
          <w:color w:val="auto"/>
          <w:sz w:val="21"/>
          <w:szCs w:val="21"/>
          <w:highlight w:val="none"/>
        </w:rPr>
        <w:t>（</w:t>
      </w:r>
      <w:r>
        <w:rPr>
          <w:rFonts w:hint="eastAsia" w:ascii="宋体" w:hAnsi="宋体" w:cs="宋体"/>
          <w:color w:val="auto"/>
          <w:spacing w:val="-3"/>
          <w:sz w:val="21"/>
          <w:szCs w:val="21"/>
          <w:highlight w:val="none"/>
        </w:rPr>
        <w:t>无须你方提出任何证明或证据</w:t>
      </w:r>
      <w:r>
        <w:rPr>
          <w:rFonts w:hint="eastAsia" w:ascii="宋体" w:hAnsi="宋体" w:cs="宋体"/>
          <w:color w:val="auto"/>
          <w:sz w:val="21"/>
          <w:szCs w:val="21"/>
          <w:highlight w:val="none"/>
        </w:rPr>
        <w:t>）</w:t>
      </w:r>
      <w:r>
        <w:rPr>
          <w:rFonts w:hint="eastAsia" w:ascii="宋体" w:hAnsi="宋体" w:cs="宋体"/>
          <w:color w:val="auto"/>
          <w:spacing w:val="-7"/>
          <w:sz w:val="21"/>
          <w:szCs w:val="21"/>
          <w:highlight w:val="none"/>
        </w:rPr>
        <w:t xml:space="preserve">提出的在担保金额内的赔偿要求后，在 </w:t>
      </w:r>
      <w:r>
        <w:rPr>
          <w:rFonts w:hint="eastAsia" w:ascii="宋体" w:hAnsi="宋体" w:cs="宋体"/>
          <w:color w:val="auto"/>
          <w:sz w:val="21"/>
          <w:szCs w:val="21"/>
          <w:highlight w:val="none"/>
        </w:rPr>
        <w:t>7</w:t>
      </w:r>
      <w:r>
        <w:rPr>
          <w:rFonts w:hint="eastAsia" w:ascii="宋体" w:hAnsi="宋体" w:cs="宋体"/>
          <w:color w:val="auto"/>
          <w:spacing w:val="-10"/>
          <w:sz w:val="21"/>
          <w:szCs w:val="21"/>
          <w:highlight w:val="none"/>
        </w:rPr>
        <w:t xml:space="preserve"> 天内无条件支付。</w:t>
      </w:r>
    </w:p>
    <w:p w14:paraId="2688F91C">
      <w:pPr>
        <w:pStyle w:val="95"/>
        <w:pageBreakBefore w:val="0"/>
        <w:numPr>
          <w:ilvl w:val="0"/>
          <w:numId w:val="16"/>
        </w:numPr>
        <w:tabs>
          <w:tab w:val="left" w:pos="542"/>
          <w:tab w:val="clear" w:pos="993"/>
        </w:tabs>
        <w:kinsoku/>
        <w:overflowPunct/>
        <w:bidi w:val="0"/>
        <w:spacing w:after="0" w:afterLines="0" w:line="360" w:lineRule="auto"/>
        <w:ind w:left="120" w:firstLine="408"/>
        <w:textAlignment w:val="auto"/>
        <w:rPr>
          <w:rFonts w:hint="eastAsia" w:ascii="宋体" w:hAnsi="宋体" w:cs="宋体"/>
          <w:color w:val="auto"/>
          <w:sz w:val="21"/>
          <w:szCs w:val="21"/>
          <w:highlight w:val="none"/>
        </w:rPr>
      </w:pPr>
      <w:r>
        <w:rPr>
          <w:rFonts w:hint="eastAsia" w:ascii="宋体" w:hAnsi="宋体" w:cs="宋体"/>
          <w:color w:val="auto"/>
          <w:spacing w:val="-3"/>
          <w:sz w:val="21"/>
          <w:szCs w:val="21"/>
          <w:highlight w:val="none"/>
        </w:rPr>
        <w:t>你方和承包人按合同约定变更合同时，我方承担本担保规定的义</w:t>
      </w:r>
      <w:r>
        <w:rPr>
          <w:rFonts w:hint="eastAsia" w:ascii="宋体" w:hAnsi="宋体" w:cs="宋体"/>
          <w:color w:val="auto"/>
          <w:spacing w:val="-2"/>
          <w:sz w:val="21"/>
          <w:szCs w:val="21"/>
          <w:highlight w:val="none"/>
        </w:rPr>
        <w:t>务不变。</w:t>
      </w:r>
    </w:p>
    <w:p w14:paraId="2A60B044">
      <w:pPr>
        <w:pStyle w:val="95"/>
        <w:pageBreakBefore w:val="0"/>
        <w:numPr>
          <w:ilvl w:val="0"/>
          <w:numId w:val="16"/>
        </w:numPr>
        <w:tabs>
          <w:tab w:val="left" w:pos="542"/>
          <w:tab w:val="clear" w:pos="993"/>
        </w:tabs>
        <w:kinsoku/>
        <w:overflowPunct/>
        <w:bidi w:val="0"/>
        <w:spacing w:after="0" w:afterLines="0" w:line="360" w:lineRule="auto"/>
        <w:ind w:left="120" w:firstLine="408"/>
        <w:textAlignment w:val="auto"/>
        <w:rPr>
          <w:rFonts w:hint="eastAsia" w:ascii="宋体" w:hAnsi="宋体" w:cs="宋体"/>
          <w:color w:val="auto"/>
          <w:sz w:val="21"/>
          <w:szCs w:val="21"/>
          <w:highlight w:val="none"/>
        </w:rPr>
      </w:pPr>
      <w:r>
        <w:rPr>
          <w:rFonts w:hint="eastAsia" w:ascii="宋体" w:hAnsi="宋体" w:cs="宋体"/>
          <w:color w:val="auto"/>
          <w:spacing w:val="-3"/>
          <w:sz w:val="21"/>
          <w:szCs w:val="21"/>
          <w:highlight w:val="none"/>
        </w:rPr>
        <w:t>因本保函发生的纠纷，可由双方协商解决，协商不成的，任何一方均可提请</w:t>
      </w:r>
      <w:r>
        <w:rPr>
          <w:rFonts w:hint="eastAsia" w:ascii="宋体" w:hAnsi="宋体" w:cs="宋体"/>
          <w:color w:val="auto"/>
          <w:sz w:val="21"/>
          <w:szCs w:val="21"/>
          <w:highlight w:val="none"/>
          <w:u w:val="single"/>
        </w:rPr>
        <w:t>海南</w:t>
      </w:r>
      <w:r>
        <w:rPr>
          <w:rFonts w:hint="eastAsia" w:ascii="宋体" w:hAnsi="宋体" w:cs="宋体"/>
          <w:color w:val="auto"/>
          <w:spacing w:val="-3"/>
          <w:sz w:val="21"/>
          <w:szCs w:val="21"/>
          <w:highlight w:val="none"/>
        </w:rPr>
        <w:t>仲裁委员会仲裁。</w:t>
      </w:r>
    </w:p>
    <w:p w14:paraId="15BAE3DB">
      <w:pPr>
        <w:pStyle w:val="95"/>
        <w:pageBreakBefore w:val="0"/>
        <w:numPr>
          <w:ilvl w:val="0"/>
          <w:numId w:val="16"/>
        </w:numPr>
        <w:tabs>
          <w:tab w:val="left" w:pos="542"/>
          <w:tab w:val="clear" w:pos="993"/>
        </w:tabs>
        <w:kinsoku/>
        <w:overflowPunct/>
        <w:bidi w:val="0"/>
        <w:spacing w:after="0" w:afterLines="0" w:line="360" w:lineRule="auto"/>
        <w:ind w:left="120" w:firstLine="408"/>
        <w:textAlignment w:val="auto"/>
        <w:rPr>
          <w:rFonts w:hint="eastAsia" w:ascii="宋体" w:hAnsi="宋体" w:cs="宋体"/>
          <w:color w:val="auto"/>
          <w:sz w:val="21"/>
          <w:szCs w:val="21"/>
          <w:highlight w:val="none"/>
        </w:rPr>
      </w:pPr>
      <w:r>
        <w:rPr>
          <w:rFonts w:hint="eastAsia" w:ascii="宋体" w:hAnsi="宋体" w:cs="宋体"/>
          <w:color w:val="auto"/>
          <w:spacing w:val="-3"/>
          <w:sz w:val="21"/>
          <w:szCs w:val="21"/>
          <w:highlight w:val="none"/>
        </w:rPr>
        <w:t>本保函自我方法定代表人</w:t>
      </w:r>
      <w:r>
        <w:rPr>
          <w:rFonts w:hint="eastAsia" w:ascii="宋体" w:hAnsi="宋体" w:cs="宋体"/>
          <w:color w:val="auto"/>
          <w:sz w:val="21"/>
          <w:szCs w:val="21"/>
          <w:highlight w:val="none"/>
        </w:rPr>
        <w:t>（</w:t>
      </w:r>
      <w:r>
        <w:rPr>
          <w:rFonts w:hint="eastAsia" w:ascii="宋体" w:hAnsi="宋体" w:cs="宋体"/>
          <w:color w:val="auto"/>
          <w:spacing w:val="-3"/>
          <w:sz w:val="21"/>
          <w:szCs w:val="21"/>
          <w:highlight w:val="none"/>
        </w:rPr>
        <w:t>或其授权代理人</w:t>
      </w:r>
      <w:r>
        <w:rPr>
          <w:rFonts w:hint="eastAsia" w:ascii="宋体" w:hAnsi="宋体" w:cs="宋体"/>
          <w:color w:val="auto"/>
          <w:sz w:val="21"/>
          <w:szCs w:val="21"/>
          <w:highlight w:val="none"/>
        </w:rPr>
        <w:t>）</w:t>
      </w:r>
      <w:r>
        <w:rPr>
          <w:rFonts w:hint="eastAsia" w:ascii="宋体" w:hAnsi="宋体" w:cs="宋体"/>
          <w:color w:val="auto"/>
          <w:spacing w:val="-3"/>
          <w:sz w:val="21"/>
          <w:szCs w:val="21"/>
          <w:highlight w:val="none"/>
        </w:rPr>
        <w:t>签字并加盖公章之</w:t>
      </w:r>
      <w:r>
        <w:rPr>
          <w:rFonts w:hint="eastAsia" w:ascii="宋体" w:hAnsi="宋体" w:cs="宋体"/>
          <w:color w:val="auto"/>
          <w:spacing w:val="-2"/>
          <w:sz w:val="21"/>
          <w:szCs w:val="21"/>
          <w:highlight w:val="none"/>
        </w:rPr>
        <w:t>日起生效。</w:t>
      </w:r>
    </w:p>
    <w:p w14:paraId="1776AA52">
      <w:pPr>
        <w:pStyle w:val="16"/>
        <w:pageBreakBefore w:val="0"/>
        <w:tabs>
          <w:tab w:val="left" w:pos="5929"/>
          <w:tab w:val="left" w:pos="6559"/>
          <w:tab w:val="left" w:pos="6628"/>
          <w:tab w:val="left" w:pos="6839"/>
        </w:tabs>
        <w:kinsoku/>
        <w:overflowPunct/>
        <w:bidi w:val="0"/>
        <w:spacing w:after="0" w:afterLines="0" w:line="360" w:lineRule="auto"/>
        <w:ind w:right="304"/>
        <w:textAlignment w:val="auto"/>
        <w:rPr>
          <w:rFonts w:hint="eastAsia" w:ascii="宋体" w:hAnsi="宋体" w:cs="宋体"/>
          <w:color w:val="auto"/>
          <w:spacing w:val="-14"/>
          <w:sz w:val="21"/>
          <w:szCs w:val="21"/>
          <w:highlight w:val="none"/>
        </w:rPr>
      </w:pPr>
      <w:r>
        <w:rPr>
          <w:rFonts w:hint="eastAsia" w:ascii="宋体" w:hAnsi="宋体" w:cs="宋体"/>
          <w:color w:val="auto"/>
          <w:sz w:val="21"/>
          <w:szCs w:val="21"/>
          <w:highlight w:val="none"/>
        </w:rPr>
        <w:t>担</w:t>
      </w:r>
      <w:r>
        <w:rPr>
          <w:rFonts w:hint="eastAsia" w:ascii="宋体" w:hAnsi="宋体" w:cs="宋体"/>
          <w:color w:val="auto"/>
          <w:spacing w:val="-3"/>
          <w:sz w:val="21"/>
          <w:szCs w:val="21"/>
          <w:highlight w:val="none"/>
        </w:rPr>
        <w:t>保</w:t>
      </w:r>
      <w:r>
        <w:rPr>
          <w:rFonts w:hint="eastAsia" w:ascii="宋体" w:hAnsi="宋体" w:cs="宋体"/>
          <w:color w:val="auto"/>
          <w:sz w:val="21"/>
          <w:szCs w:val="21"/>
          <w:highlight w:val="none"/>
        </w:rPr>
        <w:t>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rPr>
        <w:tab/>
      </w:r>
      <w:r>
        <w:rPr>
          <w:rFonts w:hint="eastAsia" w:ascii="宋体" w:hAnsi="宋体" w:cs="宋体"/>
          <w:color w:val="auto"/>
          <w:sz w:val="21"/>
          <w:szCs w:val="21"/>
          <w:highlight w:val="none"/>
        </w:rPr>
        <w:tab/>
      </w:r>
      <w:r>
        <w:rPr>
          <w:rFonts w:hint="eastAsia" w:ascii="宋体" w:hAnsi="宋体" w:cs="宋体"/>
          <w:color w:val="auto"/>
          <w:sz w:val="21"/>
          <w:szCs w:val="21"/>
          <w:highlight w:val="none"/>
        </w:rPr>
        <w:t>（</w:t>
      </w:r>
      <w:r>
        <w:rPr>
          <w:rFonts w:hint="eastAsia" w:ascii="宋体" w:hAnsi="宋体" w:cs="宋体"/>
          <w:color w:val="auto"/>
          <w:spacing w:val="-3"/>
          <w:sz w:val="21"/>
          <w:szCs w:val="21"/>
          <w:highlight w:val="none"/>
        </w:rPr>
        <w:t>盖</w:t>
      </w:r>
      <w:r>
        <w:rPr>
          <w:rFonts w:hint="eastAsia" w:ascii="宋体" w:hAnsi="宋体" w:cs="宋体"/>
          <w:color w:val="auto"/>
          <w:sz w:val="21"/>
          <w:szCs w:val="21"/>
          <w:highlight w:val="none"/>
        </w:rPr>
        <w:t>单位</w:t>
      </w:r>
      <w:r>
        <w:rPr>
          <w:rFonts w:hint="eastAsia" w:ascii="宋体" w:hAnsi="宋体" w:cs="宋体"/>
          <w:color w:val="auto"/>
          <w:spacing w:val="-3"/>
          <w:sz w:val="21"/>
          <w:szCs w:val="21"/>
          <w:highlight w:val="none"/>
        </w:rPr>
        <w:t>章</w:t>
      </w:r>
      <w:r>
        <w:rPr>
          <w:rFonts w:hint="eastAsia" w:ascii="宋体" w:hAnsi="宋体" w:cs="宋体"/>
          <w:color w:val="auto"/>
          <w:spacing w:val="-14"/>
          <w:sz w:val="21"/>
          <w:szCs w:val="21"/>
          <w:highlight w:val="none"/>
        </w:rPr>
        <w:t xml:space="preserve">） </w:t>
      </w:r>
    </w:p>
    <w:p w14:paraId="7AE212B0">
      <w:pPr>
        <w:pStyle w:val="16"/>
        <w:pageBreakBefore w:val="0"/>
        <w:tabs>
          <w:tab w:val="left" w:pos="5929"/>
          <w:tab w:val="left" w:pos="6559"/>
          <w:tab w:val="left" w:pos="6628"/>
          <w:tab w:val="left" w:pos="6839"/>
        </w:tabs>
        <w:kinsoku/>
        <w:overflowPunct/>
        <w:bidi w:val="0"/>
        <w:spacing w:after="0" w:afterLines="0" w:line="360" w:lineRule="auto"/>
        <w:ind w:right="304"/>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法</w:t>
      </w:r>
      <w:r>
        <w:rPr>
          <w:rFonts w:hint="eastAsia" w:ascii="宋体" w:hAnsi="宋体" w:cs="宋体"/>
          <w:color w:val="auto"/>
          <w:spacing w:val="-3"/>
          <w:sz w:val="21"/>
          <w:szCs w:val="21"/>
          <w:highlight w:val="none"/>
        </w:rPr>
        <w:t>定</w:t>
      </w:r>
      <w:r>
        <w:rPr>
          <w:rFonts w:hint="eastAsia" w:ascii="宋体" w:hAnsi="宋体" w:cs="宋体"/>
          <w:color w:val="auto"/>
          <w:sz w:val="21"/>
          <w:szCs w:val="21"/>
          <w:highlight w:val="none"/>
        </w:rPr>
        <w:t>代表</w:t>
      </w:r>
      <w:r>
        <w:rPr>
          <w:rFonts w:hint="eastAsia" w:ascii="宋体" w:hAnsi="宋体" w:cs="宋体"/>
          <w:color w:val="auto"/>
          <w:spacing w:val="-3"/>
          <w:sz w:val="21"/>
          <w:szCs w:val="21"/>
          <w:highlight w:val="none"/>
        </w:rPr>
        <w:t>人</w:t>
      </w:r>
      <w:r>
        <w:rPr>
          <w:rFonts w:hint="eastAsia" w:ascii="宋体" w:hAnsi="宋体" w:cs="宋体"/>
          <w:color w:val="auto"/>
          <w:sz w:val="21"/>
          <w:szCs w:val="21"/>
          <w:highlight w:val="none"/>
        </w:rPr>
        <w:t>或其</w:t>
      </w:r>
      <w:r>
        <w:rPr>
          <w:rFonts w:hint="eastAsia" w:ascii="宋体" w:hAnsi="宋体" w:cs="宋体"/>
          <w:color w:val="auto"/>
          <w:spacing w:val="-3"/>
          <w:sz w:val="21"/>
          <w:szCs w:val="21"/>
          <w:highlight w:val="none"/>
        </w:rPr>
        <w:t>委</w:t>
      </w:r>
      <w:r>
        <w:rPr>
          <w:rFonts w:hint="eastAsia" w:ascii="宋体" w:hAnsi="宋体" w:cs="宋体"/>
          <w:color w:val="auto"/>
          <w:sz w:val="21"/>
          <w:szCs w:val="21"/>
          <w:highlight w:val="none"/>
        </w:rPr>
        <w:t>托代</w:t>
      </w:r>
      <w:r>
        <w:rPr>
          <w:rFonts w:hint="eastAsia" w:ascii="宋体" w:hAnsi="宋体" w:cs="宋体"/>
          <w:color w:val="auto"/>
          <w:spacing w:val="-3"/>
          <w:sz w:val="21"/>
          <w:szCs w:val="21"/>
          <w:highlight w:val="none"/>
        </w:rPr>
        <w:t>理</w:t>
      </w:r>
      <w:r>
        <w:rPr>
          <w:rFonts w:hint="eastAsia" w:ascii="宋体" w:hAnsi="宋体" w:cs="宋体"/>
          <w:color w:val="auto"/>
          <w:sz w:val="21"/>
          <w:szCs w:val="21"/>
          <w:highlight w:val="none"/>
        </w:rPr>
        <w:t>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rPr>
        <w:tab/>
      </w:r>
      <w:r>
        <w:rPr>
          <w:rFonts w:hint="eastAsia" w:ascii="宋体" w:hAnsi="宋体" w:cs="宋体"/>
          <w:color w:val="auto"/>
          <w:sz w:val="21"/>
          <w:szCs w:val="21"/>
          <w:highlight w:val="none"/>
          <w:u w:val="single"/>
        </w:rPr>
        <w:tab/>
      </w:r>
      <w:r>
        <w:rPr>
          <w:rFonts w:hint="eastAsia" w:ascii="宋体" w:hAnsi="宋体" w:cs="宋体"/>
          <w:color w:val="auto"/>
          <w:sz w:val="21"/>
          <w:szCs w:val="21"/>
          <w:highlight w:val="none"/>
          <w:u w:val="single"/>
        </w:rPr>
        <w:tab/>
      </w:r>
      <w:r>
        <w:rPr>
          <w:rFonts w:hint="eastAsia" w:ascii="宋体" w:hAnsi="宋体" w:cs="宋体"/>
          <w:color w:val="auto"/>
          <w:sz w:val="21"/>
          <w:szCs w:val="21"/>
          <w:highlight w:val="none"/>
        </w:rPr>
        <w:tab/>
      </w:r>
      <w:r>
        <w:rPr>
          <w:rFonts w:hint="eastAsia" w:ascii="宋体" w:hAnsi="宋体" w:cs="宋体"/>
          <w:color w:val="auto"/>
          <w:sz w:val="21"/>
          <w:szCs w:val="21"/>
          <w:highlight w:val="none"/>
        </w:rPr>
        <w:t>（</w:t>
      </w:r>
      <w:r>
        <w:rPr>
          <w:rFonts w:hint="eastAsia" w:ascii="宋体" w:hAnsi="宋体" w:cs="宋体"/>
          <w:color w:val="auto"/>
          <w:spacing w:val="-3"/>
          <w:sz w:val="21"/>
          <w:szCs w:val="21"/>
          <w:highlight w:val="none"/>
        </w:rPr>
        <w:t>签</w:t>
      </w:r>
      <w:r>
        <w:rPr>
          <w:rFonts w:hint="eastAsia" w:ascii="宋体" w:hAnsi="宋体" w:cs="宋体"/>
          <w:color w:val="auto"/>
          <w:sz w:val="21"/>
          <w:szCs w:val="21"/>
          <w:highlight w:val="none"/>
        </w:rPr>
        <w:t xml:space="preserve">字 ） </w:t>
      </w:r>
    </w:p>
    <w:p w14:paraId="76FAA3D0">
      <w:pPr>
        <w:pStyle w:val="16"/>
        <w:pageBreakBefore w:val="0"/>
        <w:tabs>
          <w:tab w:val="left" w:pos="5929"/>
          <w:tab w:val="left" w:pos="6559"/>
          <w:tab w:val="left" w:pos="6628"/>
          <w:tab w:val="left" w:pos="6839"/>
        </w:tabs>
        <w:kinsoku/>
        <w:overflowPunct/>
        <w:bidi w:val="0"/>
        <w:spacing w:after="0" w:afterLines="0" w:line="360" w:lineRule="auto"/>
        <w:ind w:right="304"/>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地</w:t>
      </w:r>
      <w:r>
        <w:rPr>
          <w:rFonts w:hint="eastAsia" w:ascii="宋体" w:hAnsi="宋体" w:cs="宋体"/>
          <w:color w:val="auto"/>
          <w:spacing w:val="-3"/>
          <w:sz w:val="21"/>
          <w:szCs w:val="21"/>
          <w:highlight w:val="none"/>
        </w:rPr>
        <w:t>址</w:t>
      </w:r>
      <w:r>
        <w:rPr>
          <w:rFonts w:hint="eastAsia" w:ascii="宋体" w:hAnsi="宋体" w:cs="宋体"/>
          <w:color w:val="auto"/>
          <w:sz w:val="21"/>
          <w:szCs w:val="21"/>
          <w:highlight w:val="none"/>
        </w:rPr>
        <w:t>：</w:t>
      </w:r>
    </w:p>
    <w:p w14:paraId="4367C672">
      <w:pPr>
        <w:pStyle w:val="16"/>
        <w:pageBreakBefore w:val="0"/>
        <w:kinsoku/>
        <w:overflowPunct/>
        <w:bidi w:val="0"/>
        <w:spacing w:after="0" w:afterLines="0" w:line="360" w:lineRule="auto"/>
        <w:ind w:right="7022"/>
        <w:textAlignment w:val="auto"/>
        <w:rPr>
          <w:rFonts w:hint="eastAsia" w:ascii="宋体" w:hAnsi="宋体" w:cs="宋体"/>
          <w:color w:val="auto"/>
          <w:sz w:val="21"/>
          <w:szCs w:val="21"/>
          <w:highlight w:val="none"/>
        </w:rPr>
      </w:pPr>
      <w:r>
        <w:rPr>
          <w:rFonts w:hint="eastAsia" w:ascii="宋体" w:hAnsi="宋体" w:cs="宋体"/>
          <w:color w:val="auto"/>
          <w:spacing w:val="-5"/>
          <w:sz w:val="21"/>
          <w:szCs w:val="21"/>
          <w:highlight w:val="none"/>
        </w:rPr>
        <w:t xml:space="preserve">邮政编码： </w:t>
      </w:r>
      <w:r>
        <w:rPr>
          <w:rFonts w:hint="eastAsia" w:ascii="宋体" w:hAnsi="宋体" w:cs="宋体"/>
          <w:color w:val="auto"/>
          <w:spacing w:val="-2"/>
          <w:sz w:val="21"/>
          <w:szCs w:val="21"/>
          <w:highlight w:val="none"/>
        </w:rPr>
        <w:t>电话：</w:t>
      </w:r>
    </w:p>
    <w:p w14:paraId="4FCBD6F0">
      <w:pPr>
        <w:pStyle w:val="16"/>
        <w:pageBreakBefore w:val="0"/>
        <w:kinsoku/>
        <w:overflowPunct/>
        <w:bidi w:val="0"/>
        <w:spacing w:after="0" w:afterLines="0" w:line="360" w:lineRule="auto"/>
        <w:textAlignment w:val="auto"/>
        <w:rPr>
          <w:rFonts w:hint="eastAsia" w:ascii="宋体" w:hAnsi="宋体" w:cs="宋体"/>
          <w:color w:val="auto"/>
          <w:sz w:val="21"/>
          <w:szCs w:val="21"/>
          <w:highlight w:val="none"/>
        </w:rPr>
      </w:pPr>
      <w:r>
        <w:rPr>
          <w:rFonts w:hint="eastAsia" w:ascii="宋体" w:hAnsi="宋体" w:cs="宋体"/>
          <w:color w:val="auto"/>
          <w:spacing w:val="-2"/>
          <w:sz w:val="21"/>
          <w:szCs w:val="21"/>
          <w:highlight w:val="none"/>
        </w:rPr>
        <w:t>传真：</w:t>
      </w:r>
    </w:p>
    <w:p w14:paraId="62A64481">
      <w:pPr>
        <w:pStyle w:val="16"/>
        <w:pageBreakBefore w:val="0"/>
        <w:kinsoku/>
        <w:overflowPunct/>
        <w:bidi w:val="0"/>
        <w:spacing w:after="0" w:afterLines="0" w:line="360" w:lineRule="auto"/>
        <w:textAlignment w:val="auto"/>
        <w:rPr>
          <w:rFonts w:hint="eastAsia" w:ascii="宋体" w:hAnsi="宋体" w:cs="宋体"/>
          <w:color w:val="auto"/>
          <w:sz w:val="21"/>
          <w:szCs w:val="21"/>
          <w:highlight w:val="none"/>
        </w:rPr>
      </w:pPr>
    </w:p>
    <w:p w14:paraId="1C7276DA">
      <w:pPr>
        <w:pStyle w:val="16"/>
        <w:pageBreakBefore w:val="0"/>
        <w:tabs>
          <w:tab w:val="left" w:pos="4600"/>
          <w:tab w:val="left" w:pos="5440"/>
          <w:tab w:val="left" w:pos="6280"/>
        </w:tabs>
        <w:kinsoku/>
        <w:overflowPunct/>
        <w:bidi w:val="0"/>
        <w:spacing w:after="0" w:afterLines="0" w:line="360" w:lineRule="auto"/>
        <w:ind w:left="3900"/>
        <w:textAlignment w:val="auto"/>
        <w:rPr>
          <w:rFonts w:hint="eastAsia" w:ascii="宋体" w:hAnsi="宋体" w:cs="宋体"/>
          <w:color w:val="auto"/>
          <w:sz w:val="21"/>
          <w:szCs w:val="21"/>
          <w:highlight w:val="none"/>
        </w:rPr>
        <w:sectPr>
          <w:footerReference r:id="rId5" w:type="default"/>
          <w:pgSz w:w="11910" w:h="16840"/>
          <w:pgMar w:top="1400" w:right="1680" w:bottom="280" w:left="1680" w:header="720" w:footer="720" w:gutter="0"/>
          <w:cols w:space="720" w:num="1"/>
        </w:sectPr>
      </w:pP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rPr>
        <w:tab/>
      </w:r>
      <w:r>
        <w:rPr>
          <w:rFonts w:hint="eastAsia" w:ascii="宋体" w:hAnsi="宋体" w:cs="宋体"/>
          <w:color w:val="auto"/>
          <w:spacing w:val="-3"/>
          <w:sz w:val="21"/>
          <w:szCs w:val="21"/>
          <w:highlight w:val="none"/>
        </w:rPr>
        <w:t>年</w:t>
      </w:r>
      <w:r>
        <w:rPr>
          <w:rFonts w:hint="eastAsia" w:ascii="宋体" w:hAnsi="宋体" w:cs="宋体"/>
          <w:color w:val="auto"/>
          <w:spacing w:val="-3"/>
          <w:sz w:val="21"/>
          <w:szCs w:val="21"/>
          <w:highlight w:val="none"/>
          <w:u w:val="single"/>
        </w:rPr>
        <w:t xml:space="preserve"> </w:t>
      </w:r>
      <w:r>
        <w:rPr>
          <w:rFonts w:hint="eastAsia" w:ascii="宋体" w:hAnsi="宋体" w:cs="宋体"/>
          <w:color w:val="auto"/>
          <w:spacing w:val="-3"/>
          <w:sz w:val="21"/>
          <w:szCs w:val="21"/>
          <w:highlight w:val="none"/>
          <w:u w:val="single"/>
        </w:rPr>
        <w:tab/>
      </w:r>
      <w:r>
        <w:rPr>
          <w:rFonts w:hint="eastAsia" w:ascii="宋体" w:hAnsi="宋体" w:cs="宋体"/>
          <w:color w:val="auto"/>
          <w:spacing w:val="-3"/>
          <w:sz w:val="21"/>
          <w:szCs w:val="21"/>
          <w:highlight w:val="none"/>
        </w:rPr>
        <w:t>月</w:t>
      </w:r>
      <w:r>
        <w:rPr>
          <w:rFonts w:hint="eastAsia" w:ascii="宋体" w:hAnsi="宋体" w:cs="宋体"/>
          <w:color w:val="auto"/>
          <w:spacing w:val="-3"/>
          <w:sz w:val="21"/>
          <w:szCs w:val="21"/>
          <w:highlight w:val="none"/>
          <w:u w:val="single"/>
        </w:rPr>
        <w:t xml:space="preserve"> </w:t>
      </w:r>
      <w:r>
        <w:rPr>
          <w:rFonts w:hint="eastAsia" w:ascii="宋体" w:hAnsi="宋体" w:cs="宋体"/>
          <w:color w:val="auto"/>
          <w:spacing w:val="-3"/>
          <w:sz w:val="21"/>
          <w:szCs w:val="21"/>
          <w:highlight w:val="none"/>
          <w:u w:val="single"/>
        </w:rPr>
        <w:tab/>
      </w:r>
      <w:r>
        <w:rPr>
          <w:rFonts w:hint="eastAsia" w:ascii="宋体" w:hAnsi="宋体" w:cs="宋体"/>
          <w:color w:val="auto"/>
          <w:sz w:val="21"/>
          <w:szCs w:val="21"/>
          <w:highlight w:val="none"/>
        </w:rPr>
        <w:t>日</w:t>
      </w:r>
    </w:p>
    <w:p w14:paraId="69C713E4">
      <w:pPr>
        <w:pageBreakBefore w:val="0"/>
        <w:widowControl/>
        <w:kinsoku/>
        <w:overflowPunct/>
        <w:bidi w:val="0"/>
        <w:spacing w:after="0" w:afterLines="0" w:line="360" w:lineRule="auto"/>
        <w:ind w:firstLine="0" w:firstLineChars="0"/>
        <w:jc w:val="center"/>
        <w:textAlignment w:val="auto"/>
        <w:outlineLvl w:val="0"/>
        <w:rPr>
          <w:rFonts w:hint="eastAsia" w:ascii="宋体" w:hAnsi="宋体" w:eastAsia="宋体" w:cs="宋体"/>
          <w:color w:val="auto"/>
          <w:sz w:val="21"/>
          <w:szCs w:val="21"/>
        </w:rPr>
      </w:pPr>
    </w:p>
    <w:p w14:paraId="20179A3A">
      <w:pPr>
        <w:pageBreakBefore w:val="0"/>
        <w:widowControl/>
        <w:kinsoku/>
        <w:overflowPunct/>
        <w:bidi w:val="0"/>
        <w:spacing w:after="0" w:afterLines="0" w:line="360" w:lineRule="auto"/>
        <w:ind w:firstLine="0" w:firstLineChars="0"/>
        <w:jc w:val="both"/>
        <w:textAlignment w:val="auto"/>
        <w:outlineLvl w:val="0"/>
        <w:rPr>
          <w:rFonts w:hint="eastAsia" w:ascii="宋体" w:hAnsi="宋体" w:eastAsia="宋体" w:cs="宋体"/>
          <w:b/>
          <w:color w:val="auto"/>
          <w:kern w:val="0"/>
          <w:sz w:val="21"/>
          <w:szCs w:val="21"/>
          <w:highlight w:val="none"/>
          <w:lang w:bidi="ar"/>
        </w:rPr>
      </w:pPr>
      <w:r>
        <w:rPr>
          <w:rFonts w:hint="eastAsia" w:ascii="宋体" w:hAnsi="宋体" w:eastAsia="宋体" w:cs="宋体"/>
          <w:b/>
          <w:color w:val="auto"/>
          <w:kern w:val="0"/>
          <w:sz w:val="21"/>
          <w:szCs w:val="21"/>
          <w:highlight w:val="none"/>
          <w:lang w:eastAsia="zh-CN" w:bidi="ar-SA"/>
        </w:rPr>
        <w:t>附件</w:t>
      </w:r>
      <w:r>
        <w:rPr>
          <w:rFonts w:hint="eastAsia" w:eastAsia="宋体" w:cs="宋体"/>
          <w:b/>
          <w:color w:val="auto"/>
          <w:kern w:val="0"/>
          <w:sz w:val="21"/>
          <w:szCs w:val="21"/>
          <w:highlight w:val="none"/>
          <w:lang w:val="en-US" w:eastAsia="zh-CN" w:bidi="ar-SA"/>
        </w:rPr>
        <w:t>4</w:t>
      </w:r>
      <w:r>
        <w:rPr>
          <w:rFonts w:hint="eastAsia" w:ascii="宋体" w:hAnsi="宋体" w:eastAsia="宋体" w:cs="宋体"/>
          <w:b/>
          <w:color w:val="auto"/>
          <w:kern w:val="0"/>
          <w:sz w:val="21"/>
          <w:szCs w:val="21"/>
          <w:highlight w:val="none"/>
          <w:lang w:val="en-US" w:eastAsia="zh-CN" w:bidi="ar-SA"/>
        </w:rPr>
        <w:t>：</w:t>
      </w:r>
      <w:r>
        <w:rPr>
          <w:rFonts w:hint="eastAsia" w:ascii="宋体" w:hAnsi="宋体" w:eastAsia="宋体" w:cs="宋体"/>
          <w:b/>
          <w:color w:val="auto"/>
          <w:kern w:val="0"/>
          <w:sz w:val="21"/>
          <w:szCs w:val="21"/>
          <w:highlight w:val="none"/>
          <w:lang w:bidi="ar-SA"/>
        </w:rPr>
        <w:t>预付款保函格式</w:t>
      </w:r>
      <w:bookmarkEnd w:id="710"/>
      <w:bookmarkEnd w:id="711"/>
      <w:bookmarkEnd w:id="712"/>
      <w:bookmarkEnd w:id="713"/>
      <w:bookmarkEnd w:id="714"/>
      <w:bookmarkEnd w:id="715"/>
    </w:p>
    <w:p w14:paraId="54393848">
      <w:pPr>
        <w:pageBreakBefore w:val="0"/>
        <w:widowControl/>
        <w:kinsoku/>
        <w:overflowPunct/>
        <w:bidi w:val="0"/>
        <w:spacing w:after="0" w:afterLines="0"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b/>
          <w:color w:val="auto"/>
          <w:kern w:val="0"/>
          <w:sz w:val="21"/>
          <w:szCs w:val="21"/>
          <w:highlight w:val="none"/>
          <w:lang w:bidi="ar"/>
        </w:rPr>
        <w:t>预付款保函</w:t>
      </w:r>
    </w:p>
    <w:p w14:paraId="0E983E57">
      <w:pPr>
        <w:pageBreakBefore w:val="0"/>
        <w:widowControl/>
        <w:kinsoku/>
        <w:overflowPunct/>
        <w:bidi w:val="0"/>
        <w:spacing w:after="0" w:afterLines="0"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                                               保函编号： </w:t>
      </w:r>
    </w:p>
    <w:p w14:paraId="5396486E">
      <w:pPr>
        <w:pageBreakBefore w:val="0"/>
        <w:widowControl/>
        <w:kinsoku/>
        <w:overflowPunct/>
        <w:bidi w:val="0"/>
        <w:spacing w:after="0" w:afterLines="0" w:line="360" w:lineRule="auto"/>
        <w:jc w:val="lef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xml:space="preserve">致：XXX公司 </w:t>
      </w:r>
    </w:p>
    <w:p w14:paraId="7E005A1D">
      <w:pPr>
        <w:pageBreakBefore w:val="0"/>
        <w:widowControl/>
        <w:kinsoku/>
        <w:overflowPunct/>
        <w:bidi w:val="0"/>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根据</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（以下称“你方”）与</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 xml:space="preserve">  （以下称“承包方”）于</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年</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月</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日签订的</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施工承包合同，承包人按约定的金额向你方提交一份无条件、不可撤销的预付款担保，即可有权得到你方支付的一笔相等金额的预付款。我行愿意出具无条件、不可撤销的保函为承包方担保。</w:t>
      </w:r>
    </w:p>
    <w:p w14:paraId="72ED3F45">
      <w:pPr>
        <w:pageBreakBefore w:val="0"/>
        <w:widowControl/>
        <w:kinsoku/>
        <w:overflowPunct/>
        <w:bidi w:val="0"/>
        <w:spacing w:after="0" w:afterLines="0" w:line="360" w:lineRule="auto"/>
        <w:ind w:firstLine="420" w:firstLineChars="200"/>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1.担保金额为人民币：</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元（大写：</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 xml:space="preserve">）。 </w:t>
      </w:r>
    </w:p>
    <w:p w14:paraId="77A7E240">
      <w:pPr>
        <w:pageBreakBefore w:val="0"/>
        <w:widowControl/>
        <w:kinsoku/>
        <w:overflowPunct/>
        <w:bidi w:val="0"/>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2.本保函自预付款支付给承包方之日起生效，至预付款扣回完毕之日止。最晚不超过</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年</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月</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日。</w:t>
      </w:r>
    </w:p>
    <w:p w14:paraId="697D0C81">
      <w:pPr>
        <w:pageBreakBefore w:val="0"/>
        <w:widowControl/>
        <w:kinsoku/>
        <w:overflowPunct/>
        <w:bidi w:val="0"/>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3.在本保函有效期内，</w:t>
      </w:r>
      <w:r>
        <w:rPr>
          <w:rFonts w:hint="eastAsia" w:ascii="宋体" w:hAnsi="宋体" w:eastAsia="宋体" w:cs="宋体"/>
          <w:b w:val="0"/>
          <w:bCs w:val="0"/>
          <w:color w:val="auto"/>
          <w:kern w:val="0"/>
          <w:sz w:val="21"/>
          <w:szCs w:val="21"/>
          <w:highlight w:val="none"/>
          <w:lang w:val="en-US" w:eastAsia="zh-Hans" w:bidi="ar"/>
        </w:rPr>
        <w:t>我行保证在收到你方的书面索赔通知后7日内</w:t>
      </w:r>
      <w:r>
        <w:rPr>
          <w:rFonts w:hint="eastAsia" w:ascii="宋体" w:hAnsi="宋体" w:eastAsia="宋体" w:cs="宋体"/>
          <w:color w:val="auto"/>
          <w:kern w:val="0"/>
          <w:sz w:val="21"/>
          <w:szCs w:val="21"/>
          <w:highlight w:val="none"/>
          <w:lang w:bidi="ar"/>
        </w:rPr>
        <w:t xml:space="preserve">，凭本保函原件，无条件、无追索地按你方提出的累计总额不超过上述金额的款项和按你方通知规定的方式付给你方。我行无权反对和不需要先向承包人索赔，并放弃向你方追索的权力。 </w:t>
      </w:r>
    </w:p>
    <w:p w14:paraId="0801734F">
      <w:pPr>
        <w:pageBreakBefore w:val="0"/>
        <w:widowControl/>
        <w:kinsoku/>
        <w:overflowPunct/>
        <w:bidi w:val="0"/>
        <w:spacing w:after="0" w:afterLines="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我行特此确认并同意：我行受本保函制约的责任是连续的，不因</w:t>
      </w:r>
      <w:r>
        <w:rPr>
          <w:rFonts w:hint="eastAsia" w:eastAsia="宋体" w:cs="宋体"/>
          <w:color w:val="auto"/>
          <w:kern w:val="0"/>
          <w:sz w:val="21"/>
          <w:szCs w:val="21"/>
          <w:highlight w:val="none"/>
          <w:lang w:val="en-US" w:eastAsia="zh-CN" w:bidi="ar"/>
        </w:rPr>
        <w:t>施工</w:t>
      </w:r>
      <w:r>
        <w:rPr>
          <w:rFonts w:hint="eastAsia" w:ascii="宋体" w:hAnsi="宋体" w:eastAsia="宋体" w:cs="宋体"/>
          <w:color w:val="auto"/>
          <w:kern w:val="0"/>
          <w:sz w:val="21"/>
          <w:szCs w:val="21"/>
          <w:highlight w:val="none"/>
          <w:lang w:bidi="ar"/>
        </w:rPr>
        <w:t>合同的执行情况或</w:t>
      </w:r>
      <w:r>
        <w:rPr>
          <w:rFonts w:hint="eastAsia" w:eastAsia="宋体" w:cs="宋体"/>
          <w:color w:val="auto"/>
          <w:kern w:val="0"/>
          <w:sz w:val="21"/>
          <w:szCs w:val="21"/>
          <w:highlight w:val="none"/>
          <w:lang w:val="en-US" w:eastAsia="zh-CN" w:bidi="ar"/>
        </w:rPr>
        <w:t>施工</w:t>
      </w:r>
      <w:r>
        <w:rPr>
          <w:rFonts w:hint="eastAsia" w:ascii="宋体" w:hAnsi="宋体" w:eastAsia="宋体" w:cs="宋体"/>
          <w:color w:val="auto"/>
          <w:kern w:val="0"/>
          <w:sz w:val="21"/>
          <w:szCs w:val="21"/>
          <w:highlight w:val="none"/>
          <w:lang w:bidi="ar"/>
        </w:rPr>
        <w:t>合同约定以外的情况而受到不利影响，对合同条款或合同文件的任何修改、变更、增补、中止、终止或失效都不能削弱或影响我方受本保函制约的责任，并不需通知我行。</w:t>
      </w:r>
    </w:p>
    <w:p w14:paraId="4F924CDB">
      <w:pPr>
        <w:pageBreakBefore w:val="0"/>
        <w:widowControl/>
        <w:kinsoku/>
        <w:overflowPunct/>
        <w:bidi w:val="0"/>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xml:space="preserve">4.本保函项下所有权利和义务均受中华人民共和国法律管辖和制约。 </w:t>
      </w:r>
    </w:p>
    <w:p w14:paraId="38479CDA">
      <w:pPr>
        <w:pageBreakBefore w:val="0"/>
        <w:widowControl/>
        <w:kinsoku/>
        <w:overflowPunct/>
        <w:bidi w:val="0"/>
        <w:spacing w:after="0" w:afterLines="0" w:line="360" w:lineRule="auto"/>
        <w:jc w:val="left"/>
        <w:textAlignment w:val="auto"/>
        <w:rPr>
          <w:rFonts w:hint="eastAsia" w:ascii="宋体" w:hAnsi="宋体" w:eastAsia="宋体" w:cs="宋体"/>
          <w:color w:val="auto"/>
          <w:sz w:val="21"/>
          <w:szCs w:val="21"/>
          <w:highlight w:val="none"/>
        </w:rPr>
      </w:pPr>
    </w:p>
    <w:p w14:paraId="5ED9C788">
      <w:pPr>
        <w:pageBreakBefore w:val="0"/>
        <w:widowControl/>
        <w:kinsoku/>
        <w:overflowPunct/>
        <w:bidi w:val="0"/>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担保人：</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 xml:space="preserve">（盖单位公章） </w:t>
      </w:r>
    </w:p>
    <w:p w14:paraId="62D9E3B5">
      <w:pPr>
        <w:pageBreakBefore w:val="0"/>
        <w:widowControl/>
        <w:kinsoku/>
        <w:overflowPunct/>
        <w:bidi w:val="0"/>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法定代表人或有权签字人：</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 xml:space="preserve">（签字） </w:t>
      </w:r>
    </w:p>
    <w:p w14:paraId="6E44FAE3">
      <w:pPr>
        <w:pageBreakBefore w:val="0"/>
        <w:widowControl/>
        <w:kinsoku/>
        <w:overflowPunct/>
        <w:bidi w:val="0"/>
        <w:spacing w:after="0" w:afterLines="0" w:line="360" w:lineRule="auto"/>
        <w:ind w:firstLine="420" w:firstLineChars="200"/>
        <w:jc w:val="left"/>
        <w:textAlignment w:val="auto"/>
        <w:rPr>
          <w:rFonts w:hint="eastAsia" w:ascii="宋体" w:hAnsi="宋体" w:eastAsia="宋体" w:cs="宋体"/>
          <w:color w:val="auto"/>
          <w:kern w:val="0"/>
          <w:sz w:val="21"/>
          <w:szCs w:val="21"/>
          <w:highlight w:val="none"/>
          <w:u w:val="single"/>
          <w:lang w:bidi="ar"/>
        </w:rPr>
      </w:pPr>
      <w:r>
        <w:rPr>
          <w:rFonts w:hint="eastAsia" w:ascii="宋体" w:hAnsi="宋体" w:eastAsia="宋体" w:cs="宋体"/>
          <w:color w:val="auto"/>
          <w:kern w:val="0"/>
          <w:sz w:val="21"/>
          <w:szCs w:val="21"/>
          <w:highlight w:val="none"/>
          <w:lang w:bidi="ar"/>
        </w:rPr>
        <w:t>地 址：</w:t>
      </w:r>
      <w:r>
        <w:rPr>
          <w:rFonts w:hint="eastAsia" w:ascii="宋体" w:hAnsi="宋体" w:eastAsia="宋体" w:cs="宋体"/>
          <w:color w:val="auto"/>
          <w:kern w:val="0"/>
          <w:sz w:val="21"/>
          <w:szCs w:val="21"/>
          <w:highlight w:val="none"/>
          <w:u w:val="single"/>
          <w:lang w:bidi="ar"/>
        </w:rPr>
        <w:t xml:space="preserve">                </w:t>
      </w:r>
    </w:p>
    <w:p w14:paraId="06B171FE">
      <w:pPr>
        <w:pageBreakBefore w:val="0"/>
        <w:widowControl/>
        <w:kinsoku/>
        <w:overflowPunct/>
        <w:bidi w:val="0"/>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邮政编码：</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 xml:space="preserve"> </w:t>
      </w:r>
    </w:p>
    <w:p w14:paraId="33C31E00">
      <w:pPr>
        <w:pageBreakBefore w:val="0"/>
        <w:widowControl/>
        <w:kinsoku/>
        <w:overflowPunct/>
        <w:bidi w:val="0"/>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电 话： </w:t>
      </w:r>
      <w:r>
        <w:rPr>
          <w:rFonts w:hint="eastAsia" w:ascii="宋体" w:hAnsi="宋体" w:eastAsia="宋体" w:cs="宋体"/>
          <w:color w:val="auto"/>
          <w:kern w:val="0"/>
          <w:sz w:val="21"/>
          <w:szCs w:val="21"/>
          <w:highlight w:val="none"/>
          <w:u w:val="single"/>
          <w:lang w:bidi="ar"/>
        </w:rPr>
        <w:t xml:space="preserve">                </w:t>
      </w:r>
    </w:p>
    <w:p w14:paraId="491CB3F5">
      <w:pPr>
        <w:pageBreakBefore w:val="0"/>
        <w:widowControl/>
        <w:kinsoku/>
        <w:overflowPunct/>
        <w:bidi w:val="0"/>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传 真： </w:t>
      </w:r>
      <w:r>
        <w:rPr>
          <w:rFonts w:hint="eastAsia" w:ascii="宋体" w:hAnsi="宋体" w:eastAsia="宋体" w:cs="宋体"/>
          <w:color w:val="auto"/>
          <w:kern w:val="0"/>
          <w:sz w:val="21"/>
          <w:szCs w:val="21"/>
          <w:highlight w:val="none"/>
          <w:u w:val="single"/>
          <w:lang w:bidi="ar"/>
        </w:rPr>
        <w:t xml:space="preserve">                </w:t>
      </w:r>
    </w:p>
    <w:p w14:paraId="1C55B5A5">
      <w:pPr>
        <w:pageBreakBefore w:val="0"/>
        <w:widowControl/>
        <w:kinsoku/>
        <w:overflowPunct/>
        <w:bidi w:val="0"/>
        <w:spacing w:after="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日 期：</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年</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月</w:t>
      </w:r>
      <w:r>
        <w:rPr>
          <w:rFonts w:hint="eastAsia" w:ascii="宋体" w:hAnsi="宋体" w:eastAsia="宋体" w:cs="宋体"/>
          <w:color w:val="auto"/>
          <w:kern w:val="0"/>
          <w:sz w:val="21"/>
          <w:szCs w:val="21"/>
          <w:highlight w:val="none"/>
          <w:u w:val="single"/>
          <w:lang w:bidi="ar"/>
        </w:rPr>
        <w:t xml:space="preserve">     </w:t>
      </w:r>
      <w:r>
        <w:rPr>
          <w:rFonts w:hint="eastAsia" w:ascii="宋体" w:hAnsi="宋体" w:eastAsia="宋体" w:cs="宋体"/>
          <w:color w:val="auto"/>
          <w:kern w:val="0"/>
          <w:sz w:val="21"/>
          <w:szCs w:val="21"/>
          <w:highlight w:val="none"/>
          <w:lang w:bidi="ar"/>
        </w:rPr>
        <w:t>日</w:t>
      </w:r>
    </w:p>
    <w:p w14:paraId="1EF02870">
      <w:pPr>
        <w:pageBreakBefore w:val="0"/>
        <w:kinsoku/>
        <w:overflowPunct/>
        <w:bidi w:val="0"/>
        <w:spacing w:after="0" w:afterLines="0" w:line="360" w:lineRule="auto"/>
        <w:textAlignment w:val="auto"/>
        <w:rPr>
          <w:rFonts w:hint="eastAsia" w:ascii="宋体" w:hAnsi="宋体" w:eastAsia="宋体" w:cs="宋体"/>
          <w:color w:val="auto"/>
          <w:sz w:val="21"/>
          <w:szCs w:val="21"/>
          <w:highlight w:val="none"/>
        </w:rPr>
      </w:pPr>
    </w:p>
    <w:p w14:paraId="61A4E271">
      <w:pPr>
        <w:pageBreakBefore w:val="0"/>
        <w:kinsoku/>
        <w:overflowPunct/>
        <w:bidi w:val="0"/>
        <w:spacing w:after="0" w:afterLines="0" w:line="360" w:lineRule="auto"/>
        <w:ind w:firstLine="0" w:firstLineChars="0"/>
        <w:jc w:val="center"/>
        <w:textAlignment w:val="auto"/>
        <w:rPr>
          <w:rFonts w:hint="eastAsia" w:ascii="宋体" w:hAnsi="宋体" w:eastAsia="宋体" w:cs="宋体"/>
          <w:b/>
          <w:color w:val="auto"/>
          <w:sz w:val="21"/>
          <w:szCs w:val="21"/>
          <w:highlight w:val="none"/>
        </w:rPr>
      </w:pPr>
      <w:bookmarkStart w:id="717" w:name="_Toc7235"/>
      <w:bookmarkStart w:id="718" w:name="_Toc4936"/>
    </w:p>
    <w:p w14:paraId="68627F01">
      <w:pPr>
        <w:pageBreakBefore w:val="0"/>
        <w:kinsoku/>
        <w:overflowPunct/>
        <w:bidi w:val="0"/>
        <w:spacing w:after="0" w:afterLines="0" w:line="360" w:lineRule="auto"/>
        <w:ind w:firstLine="0" w:firstLineChars="0"/>
        <w:jc w:val="center"/>
        <w:textAlignment w:val="auto"/>
        <w:rPr>
          <w:rFonts w:hint="eastAsia" w:ascii="宋体" w:hAnsi="宋体" w:eastAsia="宋体" w:cs="宋体"/>
          <w:b/>
          <w:color w:val="auto"/>
          <w:sz w:val="21"/>
          <w:szCs w:val="21"/>
          <w:highlight w:val="none"/>
        </w:rPr>
      </w:pPr>
    </w:p>
    <w:p w14:paraId="0C63B3AE">
      <w:pPr>
        <w:pageBreakBefore w:val="0"/>
        <w:kinsoku/>
        <w:overflowPunct/>
        <w:bidi w:val="0"/>
        <w:spacing w:after="0" w:afterLines="0" w:line="360" w:lineRule="auto"/>
        <w:ind w:firstLine="0" w:firstLineChars="0"/>
        <w:jc w:val="center"/>
        <w:textAlignment w:val="auto"/>
        <w:rPr>
          <w:rFonts w:hint="eastAsia" w:ascii="宋体" w:hAnsi="宋体" w:eastAsia="宋体" w:cs="宋体"/>
          <w:b/>
          <w:color w:val="auto"/>
          <w:sz w:val="21"/>
          <w:szCs w:val="21"/>
          <w:highlight w:val="none"/>
        </w:rPr>
      </w:pPr>
    </w:p>
    <w:p w14:paraId="2090C7EF">
      <w:pPr>
        <w:pageBreakBefore w:val="0"/>
        <w:kinsoku/>
        <w:overflowPunct/>
        <w:bidi w:val="0"/>
        <w:spacing w:after="0" w:afterLines="0" w:line="360" w:lineRule="auto"/>
        <w:ind w:firstLine="0" w:firstLineChars="0"/>
        <w:jc w:val="center"/>
        <w:textAlignment w:val="auto"/>
        <w:rPr>
          <w:rFonts w:hint="eastAsia" w:ascii="宋体" w:hAnsi="宋体" w:eastAsia="宋体" w:cs="宋体"/>
          <w:b/>
          <w:color w:val="auto"/>
          <w:sz w:val="21"/>
          <w:szCs w:val="21"/>
          <w:highlight w:val="none"/>
        </w:rPr>
      </w:pPr>
    </w:p>
    <w:p w14:paraId="40BAADEF">
      <w:pPr>
        <w:pageBreakBefore w:val="0"/>
        <w:kinsoku/>
        <w:overflowPunct/>
        <w:bidi w:val="0"/>
        <w:spacing w:after="0" w:afterLines="0" w:line="360" w:lineRule="auto"/>
        <w:ind w:firstLine="0" w:firstLineChars="0"/>
        <w:jc w:val="center"/>
        <w:textAlignment w:val="auto"/>
        <w:rPr>
          <w:rFonts w:hint="eastAsia" w:ascii="宋体" w:hAnsi="宋体" w:eastAsia="宋体" w:cs="宋体"/>
          <w:b/>
          <w:color w:val="auto"/>
          <w:sz w:val="21"/>
          <w:szCs w:val="21"/>
          <w:highlight w:val="none"/>
        </w:rPr>
      </w:pPr>
    </w:p>
    <w:p w14:paraId="703FD4E3">
      <w:pPr>
        <w:pageBreakBefore w:val="0"/>
        <w:kinsoku/>
        <w:overflowPunct/>
        <w:bidi w:val="0"/>
        <w:spacing w:after="0" w:afterLines="0" w:line="360" w:lineRule="auto"/>
        <w:ind w:firstLine="0" w:firstLineChars="0"/>
        <w:jc w:val="center"/>
        <w:textAlignment w:val="auto"/>
        <w:rPr>
          <w:rFonts w:hint="eastAsia" w:ascii="宋体" w:hAnsi="宋体" w:eastAsia="宋体" w:cs="宋体"/>
          <w:b/>
          <w:color w:val="auto"/>
          <w:sz w:val="21"/>
          <w:szCs w:val="21"/>
          <w:highlight w:val="none"/>
        </w:rPr>
      </w:pPr>
    </w:p>
    <w:p w14:paraId="764B748A">
      <w:pPr>
        <w:pageBreakBefore w:val="0"/>
        <w:kinsoku/>
        <w:overflowPunct/>
        <w:bidi w:val="0"/>
        <w:spacing w:after="0" w:afterLines="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附件</w:t>
      </w:r>
      <w:r>
        <w:rPr>
          <w:rFonts w:hint="eastAsia" w:eastAsia="宋体" w:cs="宋体"/>
          <w:b/>
          <w:color w:val="auto"/>
          <w:sz w:val="21"/>
          <w:szCs w:val="21"/>
          <w:highlight w:val="none"/>
          <w:lang w:val="en-US" w:eastAsia="zh-CN"/>
        </w:rPr>
        <w:t>5</w:t>
      </w:r>
      <w:r>
        <w:rPr>
          <w:rFonts w:hint="eastAsia" w:ascii="宋体" w:hAnsi="宋体" w:eastAsia="宋体" w:cs="宋体"/>
          <w:b/>
          <w:color w:val="auto"/>
          <w:sz w:val="21"/>
          <w:szCs w:val="21"/>
          <w:highlight w:val="none"/>
        </w:rPr>
        <w:t>：工程建设项目廉政责任书</w:t>
      </w:r>
      <w:bookmarkEnd w:id="716"/>
      <w:bookmarkEnd w:id="717"/>
      <w:bookmarkEnd w:id="718"/>
    </w:p>
    <w:p w14:paraId="0377CD5C">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发包人：</w:t>
      </w:r>
      <w:r>
        <w:rPr>
          <w:rFonts w:hint="eastAsia" w:eastAsia="宋体" w:cs="宋体"/>
          <w:color w:val="auto"/>
          <w:sz w:val="21"/>
          <w:szCs w:val="21"/>
          <w:highlight w:val="none"/>
          <w:u w:val="single"/>
          <w:lang w:eastAsia="zh-CN"/>
        </w:rPr>
        <w:t>三亚市教育局</w:t>
      </w:r>
    </w:p>
    <w:p w14:paraId="77FE0474">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承包人：</w:t>
      </w:r>
      <w:r>
        <w:rPr>
          <w:rFonts w:hint="eastAsia" w:eastAsia="宋体" w:cs="宋体"/>
          <w:color w:val="auto"/>
          <w:sz w:val="21"/>
          <w:szCs w:val="21"/>
          <w:highlight w:val="none"/>
          <w:u w:val="single"/>
          <w:lang w:eastAsia="zh-CN"/>
        </w:rPr>
        <w:t xml:space="preserve">      </w:t>
      </w:r>
      <w:r>
        <w:rPr>
          <w:rFonts w:hint="eastAsia" w:eastAsia="宋体" w:cs="宋体"/>
          <w:color w:val="auto"/>
          <w:sz w:val="21"/>
          <w:szCs w:val="21"/>
          <w:highlight w:val="none"/>
          <w:u w:val="single"/>
          <w:lang w:val="en-US" w:eastAsia="zh-CN"/>
        </w:rPr>
        <w:t xml:space="preserve">                     </w:t>
      </w:r>
      <w:r>
        <w:rPr>
          <w:rFonts w:hint="eastAsia"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lang w:eastAsia="zh-CN"/>
        </w:rPr>
        <w:t xml:space="preserve"> </w:t>
      </w:r>
    </w:p>
    <w:p w14:paraId="0AF95B79">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加强工程建设廉政建设，规范建设工程各项活动中发包人承包人双方的行为，防止谋取不正当利益的违法违纪想象的发生，保护国家、集体和当事人的合法权益，根据国家有关工程建设的法律法规和廉政建设的有关规定，订立本廉政责任书。</w:t>
      </w:r>
    </w:p>
    <w:p w14:paraId="009C9B91">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bookmarkStart w:id="719" w:name="_Toc11318_WPSOffice_Level2"/>
      <w:r>
        <w:rPr>
          <w:rFonts w:hint="eastAsia" w:ascii="宋体" w:hAnsi="宋体" w:eastAsia="宋体" w:cs="宋体"/>
          <w:color w:val="auto"/>
          <w:sz w:val="21"/>
          <w:szCs w:val="21"/>
          <w:highlight w:val="none"/>
        </w:rPr>
        <w:t>一、双方的责任</w:t>
      </w:r>
      <w:bookmarkEnd w:id="719"/>
    </w:p>
    <w:p w14:paraId="0EA5985C">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1.1应严格遵守国家关于建设工程的有关法律、法规，相关政策，以及廉政建设的各项规定。</w:t>
      </w:r>
    </w:p>
    <w:p w14:paraId="7C69220A">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1.2严格执行建设工程合同文件，自觉按合同办事。</w:t>
      </w:r>
    </w:p>
    <w:p w14:paraId="44547A43">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1.3各项活动必须坚持公开、公平、公正、诚信、透明的原则（除法律法规另有规定者外），不得为获取不正当的利益，损害国家、集体和对方利益，不得违反建设工程管理的规章制度。</w:t>
      </w:r>
    </w:p>
    <w:p w14:paraId="4A018FF6">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1.4发现对方在业务活动中有违规、违纪、违法行为的，应及时提醒对方，情节严重的，应向其上级主管部门或纪检监察、司法等有关机关举报。</w:t>
      </w:r>
    </w:p>
    <w:p w14:paraId="4ADF0B97">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bookmarkStart w:id="720" w:name="_Toc16933_WPSOffice_Level2"/>
      <w:r>
        <w:rPr>
          <w:rFonts w:hint="eastAsia" w:ascii="宋体" w:hAnsi="宋体" w:eastAsia="宋体" w:cs="宋体"/>
          <w:color w:val="auto"/>
          <w:sz w:val="21"/>
          <w:szCs w:val="21"/>
          <w:highlight w:val="none"/>
        </w:rPr>
        <w:t>二、发包人责任</w:t>
      </w:r>
      <w:bookmarkEnd w:id="720"/>
    </w:p>
    <w:p w14:paraId="452C56F2">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发包人的领导和从事该建设工程项目的工作人员，在工程建设的事前、事中、事后应遵守以下规定：</w:t>
      </w:r>
    </w:p>
    <w:p w14:paraId="019F1BA2">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2.1不得向承包人和相关单位索要或接受回扣、礼金、有价证券、贵重物品和好处费、感谢费等。</w:t>
      </w:r>
    </w:p>
    <w:p w14:paraId="3909C1DE">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2.2不得在承包人和相关单位报销任何应由发包人或个人支付的费用。</w:t>
      </w:r>
    </w:p>
    <w:p w14:paraId="6D12C076">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2.3不得要求、暗示或接受承包人和相关单位为个人装修住房、婚丧嫁娶、配偶子女的工作安排以及出国（境）、旅游等提供方便。</w:t>
      </w:r>
    </w:p>
    <w:p w14:paraId="2DA84D7F">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2.4不得参加有可能影响公正执行公务的承包人和相关单位的宴请和健身、娱乐等活动。</w:t>
      </w:r>
    </w:p>
    <w:p w14:paraId="653D425C">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2.5不准向承包人和相关单位介绍或为配偶、子女、亲属参与同发包人工程建设管理合同有关的业务活动；不得以任何理由要求承包人和相关单位使用某种产品、材料和设备。</w:t>
      </w:r>
    </w:p>
    <w:p w14:paraId="7CB40A0E">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bookmarkStart w:id="721" w:name="_Toc21217_WPSOffice_Level2"/>
      <w:r>
        <w:rPr>
          <w:rFonts w:hint="eastAsia" w:ascii="宋体" w:hAnsi="宋体" w:eastAsia="宋体" w:cs="宋体"/>
          <w:color w:val="auto"/>
          <w:sz w:val="21"/>
          <w:szCs w:val="21"/>
          <w:highlight w:val="none"/>
        </w:rPr>
        <w:t>三、承包人责任</w:t>
      </w:r>
      <w:bookmarkEnd w:id="721"/>
    </w:p>
    <w:p w14:paraId="469D200F">
      <w:pPr>
        <w:pageBreakBefore w:val="0"/>
        <w:kinsoku/>
        <w:overflowPunct/>
        <w:bidi w:val="0"/>
        <w:spacing w:after="0" w:afterLines="0" w:line="360" w:lineRule="auto"/>
        <w:ind w:firstLine="315" w:firstLineChars="1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应与发包人保持正常的业务交往，按照有关法律法规和程序开展业务工作，严格执行工程建设的有关方针、政策，执行工程建设强制性标准，并遵守以下规定：</w:t>
      </w:r>
    </w:p>
    <w:p w14:paraId="6A10DC32">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3.1不得以任何理由向发包人、相关单位及其工作人员索要、接受或赠送礼金、有价证券、贵重物品及回扣、好处费、感谢费等。</w:t>
      </w:r>
    </w:p>
    <w:p w14:paraId="5CAFB3B2">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3.2不得以任何理由为发包人和相关单位报销应由对方或个人支付的费用。</w:t>
      </w:r>
    </w:p>
    <w:p w14:paraId="1B95026F">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3.3不得接受或暗示为发包人、相关单位或个人装修住房、婚丧嫁娶、配偶子女的工作安排以及出国（境）、旅游等提供方便。</w:t>
      </w:r>
    </w:p>
    <w:p w14:paraId="053AA5FF">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3.4不准以任何理由为发包人、相关单位或个人组织有可能影响公正执行公务的宴请、健身、娱乐等活动。</w:t>
      </w:r>
    </w:p>
    <w:p w14:paraId="0860D243">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bookmarkStart w:id="722" w:name="_Toc22725_WPSOffice_Level2"/>
      <w:r>
        <w:rPr>
          <w:rFonts w:hint="eastAsia" w:ascii="宋体" w:hAnsi="宋体" w:eastAsia="宋体" w:cs="宋体"/>
          <w:color w:val="auto"/>
          <w:sz w:val="21"/>
          <w:szCs w:val="21"/>
          <w:highlight w:val="none"/>
        </w:rPr>
        <w:t>四、违约责任</w:t>
      </w:r>
      <w:bookmarkEnd w:id="722"/>
    </w:p>
    <w:p w14:paraId="063EA11C">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4.1发包人工作人员有违反本责任书第一、二条责任行为的，依据有关法律法规给予处理；涉嫌犯罪，移交司法机关追究刑事责任；给承包人单位造成经济损失的，应予以赔偿。</w:t>
      </w:r>
    </w:p>
    <w:p w14:paraId="293A396C">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4.2承包人工作人员有违反本责任书第一、三条责任行为的，依据有关法律法规给予处理；涉嫌犯罪的，移交司法机关追究刑事责任；给发包人单位造成经济损失的，应予以赔偿。</w:t>
      </w:r>
    </w:p>
    <w:p w14:paraId="2227E204">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4.3本责任书作为工程施工合同的附件，与工程施工合同具有同等法律效力。经双方签署后立即生效。</w:t>
      </w:r>
    </w:p>
    <w:p w14:paraId="47D7D7C9">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bookmarkStart w:id="723" w:name="_Toc20418_WPSOffice_Level2"/>
      <w:r>
        <w:rPr>
          <w:rFonts w:hint="eastAsia" w:ascii="宋体" w:hAnsi="宋体" w:eastAsia="宋体" w:cs="宋体"/>
          <w:color w:val="auto"/>
          <w:sz w:val="21"/>
          <w:szCs w:val="21"/>
          <w:highlight w:val="none"/>
        </w:rPr>
        <w:t>五、责任书有效期</w:t>
      </w:r>
      <w:bookmarkEnd w:id="723"/>
    </w:p>
    <w:p w14:paraId="18D74E2E">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本责任书的有效期为双方签署之日起至该工程项目竣工验收合格时止。</w:t>
      </w:r>
    </w:p>
    <w:p w14:paraId="7AD8A9DC">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bookmarkStart w:id="724" w:name="_Toc32254_WPSOffice_Level2"/>
      <w:r>
        <w:rPr>
          <w:rFonts w:hint="eastAsia" w:ascii="宋体" w:hAnsi="宋体" w:eastAsia="宋体" w:cs="宋体"/>
          <w:color w:val="auto"/>
          <w:sz w:val="21"/>
          <w:szCs w:val="21"/>
          <w:highlight w:val="none"/>
        </w:rPr>
        <w:t>六、责任书份数</w:t>
      </w:r>
      <w:bookmarkEnd w:id="724"/>
    </w:p>
    <w:p w14:paraId="2D60FC77">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本责任书一式拾份，发包人执陆份，承包人执肆份。</w:t>
      </w:r>
    </w:p>
    <w:p w14:paraId="645814E5">
      <w:pPr>
        <w:pageBreakBefore w:val="0"/>
        <w:kinsoku/>
        <w:overflowPunct/>
        <w:bidi w:val="0"/>
        <w:spacing w:after="0" w:afterLines="0" w:line="360" w:lineRule="auto"/>
        <w:textAlignment w:val="auto"/>
        <w:rPr>
          <w:rFonts w:hint="eastAsia" w:ascii="宋体" w:hAnsi="宋体" w:eastAsia="宋体" w:cs="宋体"/>
          <w:color w:val="auto"/>
          <w:sz w:val="21"/>
          <w:szCs w:val="21"/>
          <w:highlight w:val="none"/>
        </w:rPr>
      </w:pPr>
    </w:p>
    <w:p w14:paraId="58D5E2F2">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p>
    <w:p w14:paraId="0063CCA1">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发包人：（盖章）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承包人：（盖章）</w:t>
      </w:r>
    </w:p>
    <w:p w14:paraId="4AF2D70F">
      <w:pPr>
        <w:pageBreakBefore w:val="0"/>
        <w:kinsoku/>
        <w:overflowPunct/>
        <w:bidi w:val="0"/>
        <w:spacing w:after="0" w:afterLines="0" w:line="360" w:lineRule="auto"/>
        <w:textAlignment w:val="auto"/>
        <w:rPr>
          <w:rFonts w:hint="eastAsia" w:ascii="宋体" w:hAnsi="宋体" w:eastAsia="宋体" w:cs="宋体"/>
          <w:color w:val="auto"/>
          <w:sz w:val="21"/>
          <w:szCs w:val="21"/>
          <w:highlight w:val="none"/>
        </w:rPr>
      </w:pPr>
    </w:p>
    <w:p w14:paraId="22926199">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法定代表人：</w:t>
      </w:r>
    </w:p>
    <w:p w14:paraId="02B5F251">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地址：</w:t>
      </w:r>
    </w:p>
    <w:p w14:paraId="7F421362">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电话：</w:t>
      </w:r>
    </w:p>
    <w:p w14:paraId="4C4CB0D5">
      <w:pPr>
        <w:pageBreakBefore w:val="0"/>
        <w:kinsoku/>
        <w:overflowPunct/>
        <w:bidi w:val="0"/>
        <w:spacing w:after="0" w:afterLines="0" w:line="360" w:lineRule="auto"/>
        <w:textAlignment w:val="auto"/>
        <w:rPr>
          <w:rFonts w:hint="eastAsia" w:ascii="宋体" w:hAnsi="宋体" w:eastAsia="宋体" w:cs="宋体"/>
          <w:color w:val="auto"/>
          <w:sz w:val="21"/>
          <w:szCs w:val="21"/>
          <w:highlight w:val="none"/>
          <w:lang w:eastAsia="zh-CN"/>
        </w:rPr>
      </w:pPr>
      <w:r>
        <w:rPr>
          <w:rFonts w:hint="eastAsia" w:eastAsia="宋体" w:cs="宋体"/>
          <w:color w:val="auto"/>
          <w:sz w:val="21"/>
          <w:szCs w:val="21"/>
          <w:highlight w:val="none"/>
          <w:lang w:eastAsia="zh-CN"/>
        </w:rPr>
        <w:t>202</w:t>
      </w:r>
      <w:r>
        <w:rPr>
          <w:rFonts w:hint="eastAsia" w:eastAsia="宋体" w:cs="宋体"/>
          <w:color w:val="auto"/>
          <w:sz w:val="21"/>
          <w:szCs w:val="21"/>
          <w:highlight w:val="none"/>
          <w:lang w:val="en-US" w:eastAsia="zh-CN"/>
        </w:rPr>
        <w:t>5</w:t>
      </w:r>
      <w:r>
        <w:rPr>
          <w:rFonts w:hint="eastAsia" w:eastAsia="宋体" w:cs="宋体"/>
          <w:color w:val="auto"/>
          <w:sz w:val="21"/>
          <w:szCs w:val="21"/>
          <w:highlight w:val="none"/>
          <w:lang w:eastAsia="zh-CN"/>
        </w:rPr>
        <w:t>年 月 日</w:t>
      </w:r>
      <w:r>
        <w:rPr>
          <w:rFonts w:hint="eastAsia" w:ascii="宋体" w:hAnsi="宋体" w:eastAsia="宋体" w:cs="宋体"/>
          <w:color w:val="auto"/>
          <w:sz w:val="21"/>
          <w:szCs w:val="21"/>
          <w:highlight w:val="none"/>
        </w:rPr>
        <w:t>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r>
        <w:rPr>
          <w:rFonts w:hint="eastAsia" w:eastAsia="宋体" w:cs="宋体"/>
          <w:color w:val="auto"/>
          <w:sz w:val="21"/>
          <w:szCs w:val="21"/>
          <w:highlight w:val="none"/>
          <w:lang w:eastAsia="zh-CN"/>
        </w:rPr>
        <w:t>202</w:t>
      </w:r>
      <w:r>
        <w:rPr>
          <w:rFonts w:hint="eastAsia" w:eastAsia="宋体" w:cs="宋体"/>
          <w:color w:val="auto"/>
          <w:sz w:val="21"/>
          <w:szCs w:val="21"/>
          <w:highlight w:val="none"/>
          <w:lang w:val="en-US" w:eastAsia="zh-CN"/>
        </w:rPr>
        <w:t>5</w:t>
      </w:r>
      <w:r>
        <w:rPr>
          <w:rFonts w:hint="eastAsia" w:eastAsia="宋体" w:cs="宋体"/>
          <w:color w:val="auto"/>
          <w:sz w:val="21"/>
          <w:szCs w:val="21"/>
          <w:highlight w:val="none"/>
          <w:lang w:eastAsia="zh-CN"/>
        </w:rPr>
        <w:t>年 月 日</w:t>
      </w:r>
    </w:p>
    <w:p w14:paraId="233002E8">
      <w:pPr>
        <w:pStyle w:val="7"/>
        <w:pageBreakBefore w:val="0"/>
        <w:kinsoku/>
        <w:overflowPunct/>
        <w:bidi w:val="0"/>
        <w:spacing w:before="0" w:after="0" w:afterLines="0" w:line="360" w:lineRule="auto"/>
        <w:ind w:left="0" w:firstLine="0" w:firstLineChars="0"/>
        <w:jc w:val="center"/>
        <w:textAlignment w:val="auto"/>
        <w:outlineLvl w:val="0"/>
        <w:rPr>
          <w:rFonts w:hint="eastAsia" w:ascii="宋体" w:hAnsi="宋体" w:eastAsia="宋体" w:cs="宋体"/>
          <w:color w:val="auto"/>
          <w:sz w:val="21"/>
          <w:szCs w:val="21"/>
          <w:highlight w:val="none"/>
        </w:rPr>
      </w:pPr>
      <w:bookmarkStart w:id="725" w:name="_Toc29216_WPSOffice_Level1"/>
      <w:bookmarkStart w:id="726" w:name="_Toc5818"/>
      <w:bookmarkStart w:id="727" w:name="_Toc29328"/>
      <w:r>
        <w:rPr>
          <w:rFonts w:hint="eastAsia" w:ascii="宋体" w:hAnsi="宋体" w:eastAsia="宋体" w:cs="宋体"/>
          <w:color w:val="auto"/>
          <w:sz w:val="21"/>
          <w:szCs w:val="21"/>
          <w:highlight w:val="none"/>
        </w:rPr>
        <w:br w:type="page"/>
      </w:r>
      <w:bookmarkStart w:id="728" w:name="_Toc30186"/>
      <w:bookmarkStart w:id="729" w:name="_Toc22515"/>
      <w:bookmarkStart w:id="730" w:name="_Toc11545"/>
      <w:r>
        <w:rPr>
          <w:rFonts w:hint="eastAsia" w:ascii="宋体" w:hAnsi="宋体" w:eastAsia="宋体" w:cs="宋体"/>
          <w:bCs w:val="0"/>
          <w:color w:val="auto"/>
          <w:sz w:val="21"/>
          <w:szCs w:val="21"/>
          <w:highlight w:val="none"/>
        </w:rPr>
        <w:t>附件</w:t>
      </w:r>
      <w:r>
        <w:rPr>
          <w:rFonts w:hint="eastAsia" w:eastAsia="宋体" w:cs="宋体"/>
          <w:bCs w:val="0"/>
          <w:color w:val="auto"/>
          <w:sz w:val="21"/>
          <w:szCs w:val="21"/>
          <w:highlight w:val="none"/>
          <w:lang w:val="en-US" w:eastAsia="zh-CN"/>
        </w:rPr>
        <w:t>6</w:t>
      </w:r>
      <w:r>
        <w:rPr>
          <w:rFonts w:hint="eastAsia" w:ascii="宋体" w:hAnsi="宋体" w:eastAsia="宋体" w:cs="宋体"/>
          <w:bCs w:val="0"/>
          <w:color w:val="auto"/>
          <w:sz w:val="21"/>
          <w:szCs w:val="21"/>
          <w:highlight w:val="none"/>
        </w:rPr>
        <w:t>：在建工程安全生产协议</w:t>
      </w:r>
      <w:bookmarkEnd w:id="725"/>
      <w:bookmarkEnd w:id="726"/>
      <w:bookmarkEnd w:id="727"/>
      <w:bookmarkEnd w:id="728"/>
      <w:bookmarkEnd w:id="729"/>
      <w:bookmarkEnd w:id="730"/>
    </w:p>
    <w:p w14:paraId="56C607FD">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发包人：</w:t>
      </w:r>
      <w:r>
        <w:rPr>
          <w:rFonts w:hint="eastAsia" w:eastAsia="宋体" w:cs="宋体"/>
          <w:color w:val="auto"/>
          <w:sz w:val="21"/>
          <w:szCs w:val="21"/>
          <w:highlight w:val="none"/>
          <w:u w:val="single"/>
          <w:lang w:eastAsia="zh-CN"/>
        </w:rPr>
        <w:t>三亚市教育局</w:t>
      </w:r>
      <w:r>
        <w:rPr>
          <w:rFonts w:hint="eastAsia" w:ascii="宋体" w:hAnsi="宋体" w:eastAsia="宋体" w:cs="宋体"/>
          <w:color w:val="auto"/>
          <w:sz w:val="21"/>
          <w:szCs w:val="21"/>
          <w:highlight w:val="none"/>
          <w:u w:val="single"/>
        </w:rPr>
        <w:t>（以下简称：发包人）</w:t>
      </w:r>
    </w:p>
    <w:p w14:paraId="5286D370">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承包人：</w:t>
      </w:r>
      <w:r>
        <w:rPr>
          <w:rFonts w:hint="eastAsia" w:eastAsia="宋体" w:cs="宋体"/>
          <w:color w:val="auto"/>
          <w:sz w:val="21"/>
          <w:szCs w:val="21"/>
          <w:highlight w:val="none"/>
          <w:u w:val="single"/>
          <w:lang w:eastAsia="zh-CN"/>
        </w:rPr>
        <w:t xml:space="preserve">       </w:t>
      </w:r>
      <w:r>
        <w:rPr>
          <w:rFonts w:hint="eastAsia" w:eastAsia="宋体" w:cs="宋体"/>
          <w:color w:val="auto"/>
          <w:sz w:val="21"/>
          <w:szCs w:val="21"/>
          <w:highlight w:val="none"/>
          <w:u w:val="single"/>
          <w:lang w:val="en-US" w:eastAsia="zh-CN"/>
        </w:rPr>
        <w:t xml:space="preserve">                     </w:t>
      </w:r>
      <w:r>
        <w:rPr>
          <w:rFonts w:hint="eastAsia"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（以下简称：承包人）</w:t>
      </w:r>
    </w:p>
    <w:p w14:paraId="56FA6BEA">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鉴于：</w:t>
      </w:r>
    </w:p>
    <w:p w14:paraId="56AA2526">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承包人将承建由发包人投资建设的</w:t>
      </w:r>
      <w:r>
        <w:rPr>
          <w:rFonts w:hint="eastAsia" w:eastAsia="宋体" w:cs="宋体"/>
          <w:color w:val="auto"/>
          <w:sz w:val="21"/>
          <w:szCs w:val="21"/>
          <w:highlight w:val="none"/>
          <w:u w:val="single"/>
          <w:lang w:eastAsia="zh-CN"/>
        </w:rPr>
        <w:t>中央民族大学附属中学三亚学校校舍维修改造项目</w:t>
      </w:r>
      <w:r>
        <w:rPr>
          <w:rFonts w:hint="eastAsia" w:ascii="宋体" w:hAnsi="宋体" w:eastAsia="宋体" w:cs="宋体"/>
          <w:color w:val="auto"/>
          <w:sz w:val="21"/>
          <w:szCs w:val="21"/>
          <w:highlight w:val="none"/>
        </w:rPr>
        <w:t>项目（以下简称：“本工程”），承包人同意按照</w:t>
      </w:r>
      <w:r>
        <w:rPr>
          <w:rFonts w:hint="eastAsia" w:eastAsia="宋体" w:cs="宋体"/>
          <w:color w:val="auto"/>
          <w:sz w:val="21"/>
          <w:szCs w:val="21"/>
          <w:highlight w:val="none"/>
          <w:u w:val="single"/>
          <w:lang w:val="en-US" w:eastAsia="zh-CN"/>
        </w:rPr>
        <w:t>2025年 月 日</w:t>
      </w:r>
      <w:r>
        <w:rPr>
          <w:rFonts w:hint="eastAsia" w:ascii="宋体" w:hAnsi="宋体" w:eastAsia="宋体" w:cs="宋体"/>
          <w:color w:val="auto"/>
          <w:sz w:val="21"/>
          <w:szCs w:val="21"/>
          <w:highlight w:val="none"/>
        </w:rPr>
        <w:t>签订的《</w:t>
      </w:r>
      <w:r>
        <w:rPr>
          <w:rFonts w:hint="eastAsia" w:eastAsia="宋体" w:cs="宋体"/>
          <w:color w:val="auto"/>
          <w:sz w:val="21"/>
          <w:szCs w:val="21"/>
          <w:highlight w:val="none"/>
          <w:u w:val="single"/>
          <w:lang w:eastAsia="zh-CN"/>
        </w:rPr>
        <w:t>中央民族大学附属中学三亚学校校舍维修改造项目</w:t>
      </w:r>
      <w:r>
        <w:rPr>
          <w:rFonts w:hint="eastAsia" w:ascii="宋体" w:hAnsi="宋体" w:eastAsia="宋体" w:cs="宋体"/>
          <w:color w:val="auto"/>
          <w:sz w:val="21"/>
          <w:szCs w:val="21"/>
          <w:highlight w:val="none"/>
          <w:u w:val="single"/>
        </w:rPr>
        <w:t>施工合同</w:t>
      </w:r>
      <w:r>
        <w:rPr>
          <w:rFonts w:hint="eastAsia" w:ascii="宋体" w:hAnsi="宋体" w:eastAsia="宋体" w:cs="宋体"/>
          <w:color w:val="auto"/>
          <w:sz w:val="21"/>
          <w:szCs w:val="21"/>
          <w:highlight w:val="none"/>
        </w:rPr>
        <w:t>》（以下简称《</w:t>
      </w:r>
      <w:r>
        <w:rPr>
          <w:rFonts w:hint="eastAsia" w:eastAsia="宋体" w:cs="宋体"/>
          <w:color w:val="auto"/>
          <w:sz w:val="21"/>
          <w:szCs w:val="21"/>
          <w:highlight w:val="none"/>
          <w:lang w:val="en-US" w:eastAsia="zh-CN"/>
        </w:rPr>
        <w:t>施工</w:t>
      </w:r>
      <w:r>
        <w:rPr>
          <w:rFonts w:hint="eastAsia" w:ascii="宋体" w:hAnsi="宋体" w:eastAsia="宋体" w:cs="宋体"/>
          <w:color w:val="auto"/>
          <w:sz w:val="21"/>
          <w:szCs w:val="21"/>
          <w:highlight w:val="none"/>
        </w:rPr>
        <w:t>合同》）的合同文件的要求履行其责任和义务，保证以诚信、敬业和积极的态度完成本工程相关工作，并依照中华人民共和国相关法律、法规和规章等文件的规定，经双方友好协商，达成本协议如下：</w:t>
      </w:r>
    </w:p>
    <w:p w14:paraId="3D1800F4">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一、本协议适用法律</w:t>
      </w:r>
    </w:p>
    <w:p w14:paraId="3E02CA82">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本协议适用中华人民共和国法律、行政法规及本地区省市地方法规以及中华人民共和国及本地区省市建设行政主管部门和其他有关主管部门制定的行政规章和规范性文件。</w:t>
      </w:r>
    </w:p>
    <w:p w14:paraId="22D9D686">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二、文件的组成及解释顺序  </w:t>
      </w:r>
    </w:p>
    <w:p w14:paraId="3EBE8A80">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本协议是作为《</w:t>
      </w:r>
      <w:r>
        <w:rPr>
          <w:rFonts w:hint="eastAsia" w:eastAsia="宋体" w:cs="宋体"/>
          <w:color w:val="auto"/>
          <w:sz w:val="21"/>
          <w:szCs w:val="21"/>
          <w:highlight w:val="none"/>
          <w:lang w:eastAsia="zh-CN"/>
        </w:rPr>
        <w:t>施工</w:t>
      </w:r>
      <w:r>
        <w:rPr>
          <w:rFonts w:hint="eastAsia" w:ascii="宋体" w:hAnsi="宋体" w:eastAsia="宋体" w:cs="宋体"/>
          <w:color w:val="auto"/>
          <w:sz w:val="21"/>
          <w:szCs w:val="21"/>
          <w:highlight w:val="none"/>
        </w:rPr>
        <w:t>合同》的说明和相互补充。如果本协议与《</w:t>
      </w:r>
      <w:r>
        <w:rPr>
          <w:rFonts w:hint="eastAsia" w:eastAsia="宋体" w:cs="宋体"/>
          <w:color w:val="auto"/>
          <w:sz w:val="21"/>
          <w:szCs w:val="21"/>
          <w:highlight w:val="none"/>
          <w:lang w:eastAsia="zh-CN"/>
        </w:rPr>
        <w:t>施工</w:t>
      </w:r>
      <w:r>
        <w:rPr>
          <w:rFonts w:hint="eastAsia" w:ascii="宋体" w:hAnsi="宋体" w:eastAsia="宋体" w:cs="宋体"/>
          <w:color w:val="auto"/>
          <w:sz w:val="21"/>
          <w:szCs w:val="21"/>
          <w:highlight w:val="none"/>
        </w:rPr>
        <w:t>合同》文件之间出现歧义或相互矛盾，或《</w:t>
      </w:r>
      <w:r>
        <w:rPr>
          <w:rFonts w:hint="eastAsia" w:eastAsia="宋体" w:cs="宋体"/>
          <w:color w:val="auto"/>
          <w:sz w:val="21"/>
          <w:szCs w:val="21"/>
          <w:highlight w:val="none"/>
          <w:lang w:eastAsia="zh-CN"/>
        </w:rPr>
        <w:t>施工</w:t>
      </w:r>
      <w:r>
        <w:rPr>
          <w:rFonts w:hint="eastAsia" w:ascii="宋体" w:hAnsi="宋体" w:eastAsia="宋体" w:cs="宋体"/>
          <w:color w:val="auto"/>
          <w:sz w:val="21"/>
          <w:szCs w:val="21"/>
          <w:highlight w:val="none"/>
        </w:rPr>
        <w:t>合同》文件中出现明显错误时，应以本协议为准。</w:t>
      </w:r>
    </w:p>
    <w:p w14:paraId="767F87A6">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在本协议的履行过程中，双方签署同意的与本协议订立或履行有关的协议、信函、备忘录等亦构成《</w:t>
      </w:r>
      <w:r>
        <w:rPr>
          <w:rFonts w:hint="eastAsia" w:eastAsia="宋体" w:cs="宋体"/>
          <w:color w:val="auto"/>
          <w:sz w:val="21"/>
          <w:szCs w:val="21"/>
          <w:highlight w:val="none"/>
          <w:lang w:eastAsia="zh-CN"/>
        </w:rPr>
        <w:t>施工</w:t>
      </w:r>
      <w:r>
        <w:rPr>
          <w:rFonts w:hint="eastAsia" w:ascii="宋体" w:hAnsi="宋体" w:eastAsia="宋体" w:cs="宋体"/>
          <w:color w:val="auto"/>
          <w:sz w:val="21"/>
          <w:szCs w:val="21"/>
          <w:highlight w:val="none"/>
        </w:rPr>
        <w:t>合同》组成部分，具有同等法律效力。</w:t>
      </w:r>
    </w:p>
    <w:p w14:paraId="07881972">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三、安全生产</w:t>
      </w:r>
    </w:p>
    <w:p w14:paraId="000AB4E9">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bookmarkStart w:id="731" w:name="_Toc12265_WPSOffice_Level2"/>
      <w:r>
        <w:rPr>
          <w:rFonts w:hint="eastAsia" w:ascii="宋体" w:hAnsi="宋体" w:eastAsia="宋体" w:cs="宋体"/>
          <w:color w:val="auto"/>
          <w:sz w:val="21"/>
          <w:szCs w:val="21"/>
          <w:highlight w:val="none"/>
        </w:rPr>
        <w:t>（一）发包人权利：</w:t>
      </w:r>
      <w:bookmarkEnd w:id="731"/>
    </w:p>
    <w:p w14:paraId="2047C64C">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对于承包人违反国家及本地区省、市有关安全生产的法律、法规、标准、规范的行为，或者承包人未严格落实本协议约定责任，发包人有权对承包人处罚、要求限期整改、停工，若对发包人带来重大经济损失及恶劣社会影响，发包人有权单方终止《</w:t>
      </w:r>
      <w:r>
        <w:rPr>
          <w:rFonts w:hint="eastAsia" w:eastAsia="宋体" w:cs="宋体"/>
          <w:color w:val="auto"/>
          <w:sz w:val="21"/>
          <w:szCs w:val="21"/>
          <w:highlight w:val="none"/>
          <w:lang w:eastAsia="zh-CN"/>
        </w:rPr>
        <w:t>施工</w:t>
      </w:r>
      <w:r>
        <w:rPr>
          <w:rFonts w:hint="eastAsia" w:ascii="宋体" w:hAnsi="宋体" w:eastAsia="宋体" w:cs="宋体"/>
          <w:color w:val="auto"/>
          <w:sz w:val="21"/>
          <w:szCs w:val="21"/>
          <w:highlight w:val="none"/>
        </w:rPr>
        <w:t>合同》，并要求承包人赔偿由此导致的发包人所有损失。</w:t>
      </w:r>
    </w:p>
    <w:p w14:paraId="6B82F617">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2、对于承包人的安全生产及其管理情况，发包人具有知情权、检查权。</w:t>
      </w:r>
    </w:p>
    <w:p w14:paraId="1F10EE95">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3、发包人有权参加项目安全生产例会和工程监理会。</w:t>
      </w:r>
    </w:p>
    <w:p w14:paraId="39899A34">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bookmarkStart w:id="732" w:name="_Toc9204_WPSOffice_Level2"/>
      <w:r>
        <w:rPr>
          <w:rFonts w:hint="eastAsia" w:ascii="宋体" w:hAnsi="宋体" w:eastAsia="宋体" w:cs="宋体"/>
          <w:color w:val="auto"/>
          <w:sz w:val="21"/>
          <w:szCs w:val="21"/>
          <w:highlight w:val="none"/>
        </w:rPr>
        <w:t>（二）承包人责任：</w:t>
      </w:r>
      <w:bookmarkEnd w:id="732"/>
    </w:p>
    <w:p w14:paraId="1650B9E4">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承包人作为本工程承包单位，对本工程的安全生产、消防保卫、环境保护、卫生防疫（包含但不限于）等工作统一管理，全面负责，合同履行期间必须服从发包人安全管理工作。</w:t>
      </w:r>
    </w:p>
    <w:p w14:paraId="64BB9126">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1、企业资质及相关资格要求：</w:t>
      </w:r>
    </w:p>
    <w:p w14:paraId="6186ABF6">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应具备《中华人民共和国建筑法》第二十六条：“承包建筑工程的单位应当持有依法取得的资质证书，并在其资质等级许可的业务范围内承揽工程。”规定的有效资质。同时必须具备有效的安全生产许可证。</w:t>
      </w:r>
    </w:p>
    <w:p w14:paraId="6AAD0329">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（2）承包人如根据《</w:t>
      </w:r>
      <w:r>
        <w:rPr>
          <w:rFonts w:hint="eastAsia" w:eastAsia="宋体" w:cs="宋体"/>
          <w:color w:val="auto"/>
          <w:sz w:val="21"/>
          <w:szCs w:val="21"/>
          <w:highlight w:val="none"/>
          <w:lang w:eastAsia="zh-CN"/>
        </w:rPr>
        <w:t>施工</w:t>
      </w:r>
      <w:r>
        <w:rPr>
          <w:rFonts w:hint="eastAsia" w:ascii="宋体" w:hAnsi="宋体" w:eastAsia="宋体" w:cs="宋体"/>
          <w:color w:val="auto"/>
          <w:sz w:val="21"/>
          <w:szCs w:val="21"/>
          <w:highlight w:val="none"/>
        </w:rPr>
        <w:t>合同》约定依法将建设工程分包给其他单位的，分包施工单位必须具备相应资质和安全生产许可证，必须与分包单位签订符合国家及本地区省、市相关规定的《分包合同》和《安全生产协议书》，明确各自的安全生产方面的责任、权利、义务。承包人负责审核本工程各专业分包单位应具备相应的有效资质及有效的安全生产许可证符合国家及本地区省、市相关规定，并报监理审批。承包人和分包单位对分包工程的安全生产承担</w:t>
      </w:r>
      <w:r>
        <w:rPr>
          <w:rFonts w:hint="eastAsia" w:eastAsia="宋体" w:cs="宋体"/>
          <w:color w:val="auto"/>
          <w:sz w:val="21"/>
          <w:szCs w:val="21"/>
          <w:highlight w:val="none"/>
          <w:lang w:eastAsia="zh-CN"/>
        </w:rPr>
        <w:t>施工</w:t>
      </w:r>
      <w:r>
        <w:rPr>
          <w:rFonts w:hint="eastAsia" w:ascii="宋体" w:hAnsi="宋体" w:eastAsia="宋体" w:cs="宋体"/>
          <w:color w:val="auto"/>
          <w:sz w:val="21"/>
          <w:szCs w:val="21"/>
          <w:highlight w:val="none"/>
        </w:rPr>
        <w:t>安全管理责任和连带责任。若承包人未执行此要求，承包人承担由此引起的全部安全管理责任和经济损失。</w:t>
      </w:r>
    </w:p>
    <w:p w14:paraId="5634A19B">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（3）承包人的企业法人及负责本工程的项目经理、安全生产负责人必须通过承包人企业所在地或项目所在地省市建设行政主管部门安全考核并持证。</w:t>
      </w:r>
    </w:p>
    <w:p w14:paraId="20447854">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（4）承包人派出的项目经理必须具备法规规定当期的任职资格；总工程师必须符合招投标文件要求的任职资格。</w:t>
      </w:r>
    </w:p>
    <w:p w14:paraId="17296C65">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（5）承包人的本工程项目经理、副经理、总工程师、安全生产负责人不得兼任其它工程项目职务。</w:t>
      </w:r>
    </w:p>
    <w:p w14:paraId="06DF5575">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（6）承包人安全机构设置：</w:t>
      </w:r>
    </w:p>
    <w:p w14:paraId="48A06A99">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①承包人应当成立由项目经理领导的安全生产管理机构，全面领导本工程安全、消防、保卫、环保、卫生、防疫等工作。</w:t>
      </w:r>
    </w:p>
    <w:p w14:paraId="15802C5D">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承包人项目部必须设置独立的安全生产部门，按国家及本地区省市相关规定足额配备专职安全生产管理人员，同时必须遵照《国家安全生产监督管理局11号令》的有关规定配备注册安全工程师，保证出勤率达到100%。</w:t>
      </w:r>
    </w:p>
    <w:p w14:paraId="2E243ED7">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在整个工程施工期间，安全负责人或注册安全工程师应负责组织召集和主持每周至少一次由所有在现场工作的工人和其他工作人员参加的安全生产例会，每天对现场安全生产状况进行全面检查并作好记录，负责安全技术交底和技术方案的安全把关，负责制定或审核安全隐患的整改措施并监督落实，负责安全资料的整理和管理，确保所有的安全设施都处于良好的运转状态。</w:t>
      </w:r>
    </w:p>
    <w:p w14:paraId="5ECFC76A">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2、承包人必须合法用工</w:t>
      </w:r>
    </w:p>
    <w:p w14:paraId="786E7012">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所有工人在进场作业前必须严格进行“三级安全”教育，考核合格后方准许上岗，填写“三级安全教育卡”，并向监理单位备案；承包人应按总监理工程师的要求，随时向总监理工程师出示这类证件；总监理工程师有权将不具备这类证件的工人逐出现场。</w:t>
      </w:r>
    </w:p>
    <w:p w14:paraId="4FEBB395">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应对作业人员根据国家规范要求进行安全生产和岗前技术教育培训及考核，并留存记录。对于停工项目，重新开工前必须对作业人员重新进行安全生产和岗前技术再教育培训及考核，并留存记录。未经教育培训或者教育培训考核不合格的人员，不得上岗作业。</w:t>
      </w:r>
    </w:p>
    <w:p w14:paraId="68F500CF">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作业人员进入新的岗位或者在采用新技术、新工艺、新设备、新材料时，承包人应当对作业人员进行相应的安全生产教育培训、考核，并留存记录。未经教育培训或者教育培训考核不合格的人员，不得上岗作业。</w:t>
      </w:r>
    </w:p>
    <w:p w14:paraId="288B4401">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（4）承包人特种作业人员，必须按照国家有关规定经过专门的安全作业培训，并取得特种作业操作资格证书后，方可上岗作业。承包人须在特种作业人员上岗前把特种作业操作资格证书向监理单位审核、备案。</w:t>
      </w:r>
    </w:p>
    <w:p w14:paraId="1039AF5A">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（5）承包人及分包单位必须与所属劳务人员签订符合国家及本地区省、市规定的劳务合同，并给用工人员办理人身意外伤害保险，上述资料在承包人及监理单位备案。</w:t>
      </w:r>
    </w:p>
    <w:p w14:paraId="44C38732">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（6）承包人保证发包人免于承担任何因承包人违章使用工人、违章使用未取得特种作业操作资格证书的人员从事特种作业而可能导致的任何损失或损害。</w:t>
      </w:r>
    </w:p>
    <w:p w14:paraId="7AC0174B">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3、承包人必须依法组织施工：</w:t>
      </w:r>
    </w:p>
    <w:p w14:paraId="2A81D816">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（1）承包人须在整个合同履约期内，遵守有关安全生产的法律、法规、规范、规章和规范性文件等的要求或规定，依法组织施工。</w:t>
      </w:r>
    </w:p>
    <w:p w14:paraId="0C2C7029">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（2）承包人严禁违法分包或转包本工程。对于因承包人违法分包或转包本工程而导致生产安全事故的由承包人承担全部损失和责任。</w:t>
      </w:r>
    </w:p>
    <w:p w14:paraId="68415025">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施工前按要求向分包单位提供与分包工程施工作业有关的资料，分包单位采取相应的安全技术措施。对于因承包人未向分包单位提供与分包工程施工作业有关的资料而导致生产安全事故的由承包人承担全部损失和责任。</w:t>
      </w:r>
    </w:p>
    <w:p w14:paraId="004DFFFD">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（4）承包人不得违章指挥、违章作业。对于因承包人违章指挥、违章作业而导致生产安全事故的由承包人承担全部损失和责任。</w:t>
      </w:r>
    </w:p>
    <w:p w14:paraId="62673A63">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承包人负责编制本工程的施工组织设计或专项方案及安全保障技术措施，必须经监理注册安全工程师审核和具有注册监理工程师资格的总监理工程师审批通过后，承包人按批准的施工组织设计（施工方案）组织施工，并对由于安全技术措施不完善造成的生产安全事故负全责。总监理工程师的此类审批不解除或减轻承包人受合同制约的任何责任。</w:t>
      </w:r>
    </w:p>
    <w:p w14:paraId="556CD340">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（6）按照国家</w:t>
      </w:r>
      <w:r>
        <w:rPr>
          <w:rStyle w:val="107"/>
          <w:rFonts w:hint="eastAsia" w:ascii="宋体" w:hAnsi="宋体" w:eastAsia="宋体" w:cs="宋体"/>
          <w:color w:val="auto"/>
          <w:sz w:val="21"/>
          <w:szCs w:val="21"/>
          <w:highlight w:val="none"/>
        </w:rPr>
        <w:t>建质[2004]213号《</w:t>
      </w:r>
      <w:r>
        <w:rPr>
          <w:rStyle w:val="108"/>
          <w:rFonts w:hint="eastAsia" w:ascii="宋体" w:hAnsi="宋体" w:eastAsia="宋体" w:cs="宋体"/>
          <w:color w:val="auto"/>
          <w:sz w:val="21"/>
          <w:szCs w:val="21"/>
          <w:highlight w:val="none"/>
        </w:rPr>
        <w:t>危险性较大工程安全专项施工方案编制及专家论证审查办法》规定，</w:t>
      </w:r>
      <w:r>
        <w:rPr>
          <w:rFonts w:hint="eastAsia" w:ascii="宋体" w:hAnsi="宋体" w:eastAsia="宋体" w:cs="宋体"/>
          <w:color w:val="auto"/>
          <w:sz w:val="21"/>
          <w:szCs w:val="21"/>
          <w:highlight w:val="none"/>
        </w:rPr>
        <w:t>对达到一定规模的危险性较大的分部分项工程必须编制专项施工方案，并附具安全验算结果，经施工单位注册安全工程师、技术负责人审核、总监理工程师审批签字后实施，由专职安全生产管理人员进行现场监督；需要组织专家组对施工方案进行论证审查的危险性较大工程，必须按规定进行专家论证。如因各种因素需要对施工组织设计（施工方案）进行变更时，必须向发包人、监理单位报告，按规定重新组织专家论证，并经原审批人审核批准后方可施工。对于因承包人未按批准的施工组织设计（施工方案）组织施工而导致生产安全事故的由承包人承担全部损失和责任。</w:t>
      </w:r>
    </w:p>
    <w:p w14:paraId="7278E84F">
      <w:pPr>
        <w:pageBreakBefore w:val="0"/>
        <w:tabs>
          <w:tab w:val="left" w:pos="1350"/>
          <w:tab w:val="left" w:pos="1440"/>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（7）建设工程施工前，承包人应当对有关安全施工的技术要求向施工作业班组、作业人员做出详细安全技术交底，书面告知危险岗位的操作规程和违章操作的危害，并由双方签字确认。</w:t>
      </w:r>
    </w:p>
    <w:p w14:paraId="76CC65B8">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承包人应根据有关法律、法规、规定和条例等的要求，制定一套安全生产应急预案，并组织管理人员、作业人员定期进行演练，保证一旦出现任何安全事故，能立即保护好现场，抢救伤员，防止事故扩大，并立即向发包人和监理单位以及任何按照法律、行政法规或规章规定必须向其报告的有关行政主管部门报告。该预案应当经项目经理、技术负责人、安全负责人和注册安全工程师签字，由总监理工程师审批实施。</w:t>
      </w:r>
    </w:p>
    <w:p w14:paraId="66FC284D">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承包人应当配合政府管理单位、发包人、监理单位的安全检查；对承包人违反法规规定的，上述单位有权予以处罚、责令整改直至停工；对由承包人原因造成的整改或停工造成的经济、工期损失以及法律责任由承包人自行负责；同时发包人保留对本工程造成损失及负面影响的追究权利。</w:t>
      </w:r>
    </w:p>
    <w:p w14:paraId="34B33F41">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承包人必须按合同约定按时支付劳务用工人员工资，并留存支付记录，因承包人拖欠劳务用工人员工资而引发的劳务用工人员滋事、围攻、游行示威、伤亡事件所造成的工程延期及其它经济损失和负面影响，以及因此受到行政主管部门处罚或追究行政、法律责任由承包人承担全部责任。</w:t>
      </w:r>
    </w:p>
    <w:p w14:paraId="30C88EC0">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4、承包人施工现场要严格执行施工管理规定：</w:t>
      </w:r>
    </w:p>
    <w:p w14:paraId="0F3996CE">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应当在施工现场入口处、施工起重机械、临时用电设施、脚手架、出入通道口、楼梯口、电梯井口、孔洞口、桥梁口、隧道口、基坑边沿、爆破物及有害危险气体和液体存放处等危险部位，设置明显的安全警示标志（指示牌、警告牌、火警、匪警和急救电话提示牌、宣传画、标语等）。安全警示标志必须符合国家标准。</w:t>
      </w:r>
    </w:p>
    <w:p w14:paraId="6596415C">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应当根据不同施工阶段和周围环境及季节、气候的变化，在施工现场采取相应的安全施工措施。施工现场暂时停止施工的，施工单位应当做好现场防护，所需费用由责任方承担，或者按照合同约定执行。</w:t>
      </w:r>
    </w:p>
    <w:p w14:paraId="5A2EC8C1">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（3）承包人对因建设工程施工可能造成损害的毗邻建筑物、构筑物和地下管线等，应当采取专项防护措施。</w:t>
      </w:r>
    </w:p>
    <w:p w14:paraId="79948668">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（4）承包人应根据施工安全需要，按规范在施工现场设立和维护脚手架、安全网、防护棚、防护门、安全通道等安全防护设施，保持安全状态，并在有关工作完成或竣工交付后撤除。</w:t>
      </w:r>
    </w:p>
    <w:p w14:paraId="45E57BD3">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（5）承包人作业人员应当遵守安全施工的强制性标准、规章制度和操作规程，使用或提供合格的施工机械、机具，并正确使用。</w:t>
      </w:r>
    </w:p>
    <w:p w14:paraId="7B90962E">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承包人应对采购、租赁的安全防护用具、机械设备、施工机具及配件设专人管理，并符合相关规范、标准要求。定期对安全防护用具、机械设备、施工机具及配件进行检查、维修和保养，确保安全可靠，建立相应的资料档案，并按照国家有关规定及时报废。严禁承包人使用不合格的安全防护用具、施工机械、机具。特种作业设备必须由具有合法的国家规定特种作业操作证的人员操作。机械设备应当具有生产（制造）许可证、产品合格证，必须履行进场、安装监理验收制度，监理单位验收合格方能使用。</w:t>
      </w:r>
    </w:p>
    <w:p w14:paraId="771266BB">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（7）承包人在使用施工起重机械和整体提升脚手架、模板等自升式架设设施前：</w:t>
      </w:r>
    </w:p>
    <w:p w14:paraId="7E971E37">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①安装、顶升、使用和拆除必须严格依照国家和行业的有关法规、办法及操作规程实施。</w:t>
      </w:r>
    </w:p>
    <w:p w14:paraId="7947D153">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承包人应当组织有关单位进行验收，或委托具有相应资质的检验、检测机构进行验收；使用承租的机械设备和施工机具及配件的，由承包人、监理、分包单位、出租单位和安装单位共同进行验收，验收合格并经总监理工程师签字同意后方可使用。</w:t>
      </w:r>
    </w:p>
    <w:p w14:paraId="04BEE562">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③在验收前应当经有相应资质的检验、检测机构监督检验合格方可使用。</w:t>
      </w:r>
    </w:p>
    <w:p w14:paraId="419D38A9">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④承包人应当自施工起重机械和整体提升脚手架、模板等自升式架设设施验收合格之日起30日内，向建设行政主管部门或者其他有关部门登记。登记标志应当置于或者附着于该设备的显著位置。</w:t>
      </w:r>
    </w:p>
    <w:p w14:paraId="5B92A996">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（8）承包人租赁使用的塔吊等大型机械设备发生生产安全事故，有下列情形之一的，由承包人承担全部责任和损失。</w:t>
      </w:r>
    </w:p>
    <w:p w14:paraId="62AC717D">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①未与租赁单位签订符合国家和本地区省、市政府相关部门规定的安全生产管理协议。</w:t>
      </w:r>
    </w:p>
    <w:p w14:paraId="222E13B5">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②承租无合法资质的企业的和未经检测合格的大型机械设备。</w:t>
      </w:r>
    </w:p>
    <w:p w14:paraId="554637E4">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③使用没有合法资质的施工单位进行起重设备安装、拆卸。</w:t>
      </w:r>
    </w:p>
    <w:p w14:paraId="301776E2">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④操作、指挥人员误操作或使用没有特种作业操作证人员上岗发生生产安全事故。</w:t>
      </w:r>
    </w:p>
    <w:p w14:paraId="21134739">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同一施工现场使用2台以上塔吊的，承包人应编制群塔作业方案，严格按方案实施，并承担相应责任。因群塔作业方案不符合要求而导致生产安全事故的，由承包人负责。相邻工地的相邻塔吊应当按规定立塔，后立塔的施工现场承包人应确保塔吊之间的安全距离。因安全距离不符合标准而导致生产安全事故的，由后立塔的承包人负主要责任。</w:t>
      </w:r>
    </w:p>
    <w:p w14:paraId="492637EC">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（10）承包人须对本工程塔吊、外用电梯、卷扬机、电动吊篮等起重设备全面管理，严禁违章指挥、违章作业，若由此发生事故，承包人承担全部损失和责任。</w:t>
      </w:r>
    </w:p>
    <w:p w14:paraId="1A387622">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（11）承包人须确保塔吊、外用电梯、提升机、电动吊篮、整体提升脚手架等机械设备的各项安全防护装置、限位装置安全、灵敏有效。</w:t>
      </w:r>
    </w:p>
    <w:p w14:paraId="1F2F11AF">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（12）作业人员任意拆改施工安全防护设施，造成生产安全事故的，由拆改防护设施人员的单位负主要责任，承包人负施工现场安全管理责任。</w:t>
      </w:r>
    </w:p>
    <w:p w14:paraId="0EBF9E7F">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（13）施工现场由于特殊原因需要进行交叉作业的，必须采取相应的安全防护措施。由于交叉作业造成的生产安全事故，承包人负施工现场安全管理责任。</w:t>
      </w:r>
    </w:p>
    <w:p w14:paraId="53C82538">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承包人必须保证所有应用在永久工程上的材料、设备、设施等产品（包含但不限于）的构造、性能符合向发包人的承诺及设计要求，同时符合国家及行业相关安全、消防、环保的法律、法规、规范、标准等。</w:t>
      </w:r>
    </w:p>
    <w:p w14:paraId="25242420">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（15）施工区、办公区、民工宿舍区必须严格按JGJ46-2005《施工现场临时用电安全技术规范》进行电气配置及使用。</w:t>
      </w:r>
    </w:p>
    <w:p w14:paraId="51B52D3B">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（16）承包人应为邻近地区的所有者和占有者、公众和其他人员提供便利，并提供保证所必须的道路、人行道、防护棚及围栏。</w:t>
      </w:r>
    </w:p>
    <w:p w14:paraId="63FB478E">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高度重视所有授权驻现场人员的安全，并采取任何必要和适当的措施，保持现场（在其管理的整个范围内）和工程（包括所有尚未竣工的和尚未移交给发包人的工程）的井然有序和安全可靠，以免发生人身事故。</w:t>
      </w:r>
    </w:p>
    <w:p w14:paraId="097F3AA5">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5、对承包人施工现场管理具体要求：</w:t>
      </w:r>
    </w:p>
    <w:p w14:paraId="4752B9A7">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（1）安全防护设施：</w:t>
      </w:r>
    </w:p>
    <w:p w14:paraId="497B8403">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①按规范要求设置与维护“四口、五临边” （“四口”包括：楼梯口、电梯井口、预留洞口、通道口； “五临边”包括：尚未安装栏杆的阳台周边，无外架防护的层面周边，框架工程楼层周边，上下跑道及斜道的两侧边，卸料平台的侧边）的安全防护设施，并保持安全状态。严禁任意拆改安全防护设施。</w:t>
      </w:r>
    </w:p>
    <w:p w14:paraId="6A20F027">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②承包人应当根据工种类别及作业环境不同，为进入施工现场人员配备：安全带、安全绳、安全帽、绝缘鞋、绝缘手套、防护口罩和防护衣等安全生产用品，并严格管理，确保正确使用。</w:t>
      </w:r>
    </w:p>
    <w:p w14:paraId="4D7C54B9">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所有机械设备，包括各类电动工具的安全保护和接地装置及操作说明。对使用的所有提升机、外用吊篮等运输、作业机械设备进行安全防护，包括安全开关、警示铃、警示灯、护身栏杆、脚手架和安全网等等；所有机械设备应有安全操作防护装置和详细的安全操作规程等。</w:t>
      </w:r>
    </w:p>
    <w:p w14:paraId="292DF2D4">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承包人须对所有用于提升的挂钩、挂绳、钢丝绳等进行定期检测、检查和标定；如果监理工程师认为，任何此类设施已经损坏或有使用不当之处，承包人应立即以合格的产品进行更换；所有此类设施的安装、使用和拆除必须严格依照政府的有关法规、规章和条例等的要求。</w:t>
      </w:r>
    </w:p>
    <w:p w14:paraId="1A5BA5FF">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⑤承包人应为那些不便于人员进出的永久工程的施工区，设立紧急情况下逃生的疏散通道。</w:t>
      </w:r>
    </w:p>
    <w:p w14:paraId="6965E699">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（2）消防安全：</w:t>
      </w:r>
    </w:p>
    <w:p w14:paraId="665BA181">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①承包人在施工现场建立消防安全责任制度，确定消防安全责任人，制定用火、用电、使用易燃易爆材料等各项消防安全管理制度和操作规程，并严格贯彻实施。</w:t>
      </w:r>
    </w:p>
    <w:p w14:paraId="650F437C">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②严格执行施工前安全报批程序，未经安全消防部门批准不得开工。</w:t>
      </w:r>
    </w:p>
    <w:p w14:paraId="400EB8CC">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加强对施工现场、仓库的物资、设备、易燃、易爆等危险品及重点要害部位的管理，制定完善的安全管理措施，制定技术预防措施，施工过程可选用的装修及其它材料应符合国家的防火规范，并应同时提交检验合格证。</w:t>
      </w:r>
    </w:p>
    <w:p w14:paraId="236BD813">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④按规范规定，在施工现场、办公区、生活区配置消火栓、足够数量的灭火器、警戒标志等消防器材，保证施工现场消防系统设施齐备、完好，在正式消防给水系统投入使用前，不得拆除或者停用临时消防竖管。</w:t>
      </w:r>
    </w:p>
    <w:p w14:paraId="6C7F1D7E">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⑤设置消防通道、并在出入口设置明显指示标志。严禁在消防通道堆放施工设备、材料及各种物品，保持消防通道畅通。主要作业场所和临时安全疏散通道24小时36伏安全照明和必要的警示等，以防止各种可能的事故。</w:t>
      </w:r>
    </w:p>
    <w:p w14:paraId="40F47259">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⑥结构工程内不准作为仓库使用，严禁在结构工程内存放易燃、可燃、易爆物品，因施工需要进入工程内的易燃、可燃材料，要根据工程计划限量进入并采取可靠的防火措施。</w:t>
      </w:r>
    </w:p>
    <w:p w14:paraId="4744BA80">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⑦对涉及明火施工的工作要严格履行施工现场的动火批准手续，执行用火证等的管理制度，严禁违章动火。安装、使用电器设备，必须符合用电及防火规定，防止发生火灾。施工用配电设施及其他用电设施必须有专人看守和管理。施工现场范围内严禁吸烟和携带火种。</w:t>
      </w:r>
    </w:p>
    <w:p w14:paraId="0A0D948F">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⑧每日清理并运走施工垃圾，保持工地及出入口清洁。当发包人要求及时清理时，要积极配合，保证消防通道的畅通。</w:t>
      </w:r>
    </w:p>
    <w:p w14:paraId="4B591971">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⑨承包人要加强对生活区的防火措施，生活区的设置必须符合消防管理规范。冬季使用煤火应注意通风，杜绝煤气中毒现象发生。</w:t>
      </w:r>
    </w:p>
    <w:p w14:paraId="7620D499">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（3）安全文明施工</w:t>
      </w:r>
    </w:p>
    <w:p w14:paraId="671E2857">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①本工程施工现场应按照国家及本地区省、市建设行政主管部门创建文明安全工地的标准和要求进行文明安全施工管理，包括有关设施的设置、办法的制定与实施和资料的准备等。</w:t>
      </w:r>
    </w:p>
    <w:p w14:paraId="129A4BC4">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②承包人应充分认识本工程所处地理位置，保证本工程的施工始终严格依照不低于本地区省、市建设行政主管部门有关安全文明施工的各项标准和规定。 </w:t>
      </w:r>
    </w:p>
    <w:p w14:paraId="00FCE48C">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在现场入口的显著位置设立建设行政主管部门规定的图板，内容包括现场施工总平面图、总平面管理、安全生产、文明施工、环境保护、质量控制、材料管理等的规章制度和主要参建单位名称和工程概况等说明。</w:t>
      </w:r>
    </w:p>
    <w:p w14:paraId="2ECB7354">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承包人应将施工现场的办公、生活区与作业区分开设置，并保持安全距离，办公、生活区的选址应当符合安全性要求。应加强施工人员办公区域、民工宿舍及食堂的消防、卫生管理，必须避免传染病及食物中毒现象。如发现或发生传染病及食物中毒现象，必须立即启动应急预案紧急处置，同时应立即向发包人通报，并按规定向政府相关部门报告。</w:t>
      </w:r>
    </w:p>
    <w:p w14:paraId="350DE763">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⑤承包人严禁在尚未竣工的建筑物内设置员工集体宿舍。施工现场临时搭建的建筑物应当符合安全使用要求。施工现场使用的装配式活动房屋应当具有产品合格证。</w:t>
      </w:r>
    </w:p>
    <w:p w14:paraId="2295DD8C">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⑥承包人应设置装备良好的临时急救站。</w:t>
      </w:r>
    </w:p>
    <w:p w14:paraId="4C4BF842">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（4）环境保护和ISO14000标准</w:t>
      </w:r>
    </w:p>
    <w:p w14:paraId="4927E76B">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①承包人应在整个合同履约期内，依照ISO14000标准制定并实施相应的环保制度和措施。</w:t>
      </w:r>
    </w:p>
    <w:p w14:paraId="696A8501">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承包人应当遵守有关环境保护法律、法规的规定，在施工现场采取措施，防止或者减少粉尘、废气、废水、固体废物、噪声、振动和施工照明对人和环境的危害和污染，并对施工现场实行封闭围挡。承包人应保证在合同期间，现场中扬尘、气体散发、地面排水及排污不能超过本地区有关规定的数值（如果有）。</w:t>
      </w:r>
    </w:p>
    <w:p w14:paraId="50BCEABA">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任何情况下，承包人应保证在永久工程和临时工程中不得使用任何对人体或环境有害的材料，也不得在永久性工程中使用政府虽未明令禁止但会给居住或使用人带来不适感觉或味觉的任何材料和添加剂。所有施工材料必须使用符合环保要求的材料。</w:t>
      </w:r>
    </w:p>
    <w:p w14:paraId="6FECCC41">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④承包人应在其项目质量保证计划中明确防止误用的保证措施，如果承包人违背此项约定的责任，任何后果由承包人完全负责。</w:t>
      </w:r>
    </w:p>
    <w:p w14:paraId="05FAFADF">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⑤一切所需的有关施工场地交通、环卫和施工噪音管理等手续，由承包人负责办理全部施工工程手续，并承担相应责任。</w:t>
      </w:r>
    </w:p>
    <w:p w14:paraId="7099D17C">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⑥竣工验收须经过室内环境检验测试，检验单位须是省、市质检站认可的单位，其检验结果同时提交发包人和总监理工程师，所需费用由承包人负责。</w:t>
      </w:r>
    </w:p>
    <w:p w14:paraId="1480525E">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⑦承包人应在现场设置扰民、民扰工程问题办公室，并由专人负责接待工作。</w:t>
      </w:r>
    </w:p>
    <w:p w14:paraId="1F51ED45">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（5）现场保卫和治安</w:t>
      </w:r>
    </w:p>
    <w:p w14:paraId="565860BC">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承包人应为现场提供24小时的保安保卫服务，配备足够的保安人员和保安设备，做好公共安全的维护工作,现场实施封闭式管理,防止与本工程无关的任何未经授权的人员（该授权人员仅限于发包人和承包人的雇员、其分包人的雇员、监理工程师授权的人员、设计人和监理工程师的雇员以及政府及有关主管部门的执行公务或履行职责的工作人员）进入现场。违反本条约定导致的设备遗失、已完工工程损失、工程设备损坏遗失等全部责任均由承包人自行承担。</w:t>
      </w:r>
    </w:p>
    <w:p w14:paraId="58C3FB65">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承包人须始终采取一切合理的预防措施，防止雇员或工人发生任何违法、暴乱、或妨害治安行为，防止任何人员利用本工程、附属工程、临设工程、设备、设施等进行秘密集会、破坏、抛撒传单进行反动宣传等危害公共治安、公共安全的违法活动以及自身伤害行为，保护工程周围居民和公众及其财产不受上述行为的危害。禁止任何现场内的打架斗殴事件发生。对因违反此条款而引发的一切经济损失和安全责任由承包人承担。</w:t>
      </w:r>
    </w:p>
    <w:p w14:paraId="03B82DE0">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③承包人的保安人员应是训练有素的专业保安人员，承包人可以直接雇佣专业保安公司负责现场保安和保卫；保安保卫制度除规定现场出入大门控制外，还应规定不规律的现场周边和全现场的保安巡逻。</w:t>
      </w:r>
    </w:p>
    <w:p w14:paraId="1DE7E1C2">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承包人应制定并实施严格的人员、材料和设备等的现场出入制度并报项目管理部审批，防止现场材料、设备或其他任何物品的被盗或被窃；车辆的出入须有出入审批制度，并有指定的专人负责管理；人员进出现场应有出入证，其中应包括工程名称、证号、持有人姓名、性别、职务、所属公司等内容；出入证应加盖印章和做塑封。</w:t>
      </w:r>
    </w:p>
    <w:p w14:paraId="13960CA5">
      <w:pPr>
        <w:pageBreakBefore w:val="0"/>
        <w:tabs>
          <w:tab w:val="left" w:pos="1768"/>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⑤如果指定分包人、指定供应商和发包人及发包人雇佣的所有人员已经遵照执行了承包人有关现场保安和保卫管理的各项制度，但因承包人保安和保卫工作的不力或缺陷而给任何指定分包人、指定供应商以及发包人在现场的任何财产造成了损失，承包人须承担相应的赔偿责任。</w:t>
      </w:r>
    </w:p>
    <w:p w14:paraId="323E7B93">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四、事故报告与处理  </w:t>
      </w:r>
    </w:p>
    <w:p w14:paraId="6AF5265E">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一旦发生任何事故，承包人应当在事故发生后一个小时内向发包人报告事故的详情。此外，在发生任何死亡或重大事故时，承包人应立即用最快的可行方法通知发包人、监理工程师以及任何按照法律、行政法规或规章必须向其报告的有关行政主管部门。</w:t>
      </w:r>
    </w:p>
    <w:p w14:paraId="1BD77B8D">
      <w:pPr>
        <w:pageBreakBefore w:val="0"/>
        <w:tabs>
          <w:tab w:val="left" w:pos="720"/>
          <w:tab w:val="left" w:pos="1680"/>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（二）事故发生后因承包人伪造事故现场、故意拖延或隐瞒不报，致使事故现场被破坏或事故原因难以查清的，承包人承担全部责任。</w:t>
      </w:r>
    </w:p>
    <w:p w14:paraId="71710C33">
      <w:pPr>
        <w:pageBreakBefore w:val="0"/>
        <w:tabs>
          <w:tab w:val="left" w:pos="720"/>
          <w:tab w:val="left" w:pos="1680"/>
        </w:tabs>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承包人发生安全、消防、食物中毒、环保等事故，对发包人造成不良社会影响，发包人有权要求承包人立即整改、停工整顿以至按本单位的相关奖罚制度予以经济处罚（或向承包人索赔），承包人应承担由此造成的经济损失、法律责任和相应的行政责任，以及由此产生的工期损失。</w:t>
      </w:r>
    </w:p>
    <w:p w14:paraId="316DAA2E">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在对本协议内容及有关安全生产法规明确无误，并对安全生产的责任风险已有充分预见的基础上，承包人承诺，承包人在施工期间对施工现场的安全生产负全责（包括所有分包工程的安全生产），施工期间如施工现场或因施工发生的安全事故，包括造成的经济损失，人员伤亡，以及由此导致的民事、行政、刑事责任均由承包人承担。</w:t>
      </w:r>
    </w:p>
    <w:p w14:paraId="3A58A118">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承包人应于本协议书签订之日起十日内，将施工资质（复印件）、安全生产许可证（复印件），施工现场责任人、管理人员、专职安全生产管理人员、工程技术人员、特殊工种人员及工人基本情况以书面形式提供给发包人，并将上述人员资格证书（复印件）报发包人备案。</w:t>
      </w:r>
    </w:p>
    <w:p w14:paraId="2C02B08C">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六、承包人应于本协议书签订之日起十日内，向发包人提交工程施工组织表和依照相关法律、法规、规定编制的施工现场安全、消防、防汛、治安、卫生、传染病预防等管理制度、防护方案及应急预案。遇“两会”、节假日，承包人应向发包人提供节假日值班安排。</w:t>
      </w:r>
    </w:p>
    <w:p w14:paraId="2AA4DC25">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七、双方确认，本工程的安全生产事宜，本协议有约定的，以约定为准；本协议未作约定的，以《安全生产法》及其他有关安全生产的法律、法规、标准、规范的相关内容为准。</w:t>
      </w:r>
    </w:p>
    <w:p w14:paraId="54940DFE">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八、本协议份数及生效日期：</w:t>
      </w:r>
    </w:p>
    <w:p w14:paraId="25DD2AC6">
      <w:pPr>
        <w:pageBreakBefore w:val="0"/>
        <w:kinsoku/>
        <w:overflowPunct/>
        <w:bidi w:val="0"/>
        <w:spacing w:after="0" w:afterLines="0" w:line="360" w:lineRule="auto"/>
        <w:ind w:firstLine="6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本协议一式拾份，发包人执陆份，承包人执肆份，自双方签字盖章之日起生效。</w:t>
      </w:r>
    </w:p>
    <w:p w14:paraId="781F460C">
      <w:pPr>
        <w:pStyle w:val="2"/>
        <w:pageBreakBefore w:val="0"/>
        <w:kinsoku/>
        <w:overflowPunct/>
        <w:bidi w:val="0"/>
        <w:spacing w:after="0" w:afterLines="0" w:line="360" w:lineRule="auto"/>
        <w:ind w:left="0" w:leftChars="0" w:firstLine="0" w:firstLineChars="0"/>
        <w:textAlignment w:val="auto"/>
        <w:rPr>
          <w:rFonts w:hint="eastAsia" w:ascii="宋体" w:hAnsi="宋体" w:eastAsia="宋体" w:cs="宋体"/>
          <w:color w:val="auto"/>
          <w:sz w:val="21"/>
          <w:szCs w:val="21"/>
          <w:highlight w:val="none"/>
        </w:rPr>
      </w:pPr>
    </w:p>
    <w:p w14:paraId="5DD679D1">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bookmarkStart w:id="733" w:name="_Toc20285"/>
      <w:bookmarkStart w:id="734" w:name="_Toc18335"/>
      <w:bookmarkStart w:id="735" w:name="_Toc10735_WPSOffice_Level1"/>
    </w:p>
    <w:p w14:paraId="2C0C4792">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发包人：（盖章）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承包人：（盖章）</w:t>
      </w:r>
    </w:p>
    <w:p w14:paraId="2E1B01C9">
      <w:pPr>
        <w:pageBreakBefore w:val="0"/>
        <w:kinsoku/>
        <w:overflowPunct/>
        <w:bidi w:val="0"/>
        <w:spacing w:after="0" w:afterLines="0" w:line="360" w:lineRule="auto"/>
        <w:textAlignment w:val="auto"/>
        <w:rPr>
          <w:rFonts w:hint="eastAsia" w:ascii="宋体" w:hAnsi="宋体" w:eastAsia="宋体" w:cs="宋体"/>
          <w:color w:val="auto"/>
          <w:sz w:val="21"/>
          <w:szCs w:val="21"/>
          <w:highlight w:val="none"/>
        </w:rPr>
      </w:pPr>
    </w:p>
    <w:p w14:paraId="542DCB79">
      <w:pPr>
        <w:pStyle w:val="2"/>
        <w:pageBreakBefore w:val="0"/>
        <w:kinsoku/>
        <w:overflowPunct/>
        <w:bidi w:val="0"/>
        <w:spacing w:after="0" w:afterLines="0" w:line="360" w:lineRule="auto"/>
        <w:textAlignment w:val="auto"/>
        <w:rPr>
          <w:rFonts w:hint="eastAsia" w:ascii="宋体" w:hAnsi="宋体" w:eastAsia="宋体" w:cs="宋体"/>
          <w:color w:val="auto"/>
          <w:sz w:val="21"/>
          <w:szCs w:val="21"/>
        </w:rPr>
      </w:pPr>
    </w:p>
    <w:p w14:paraId="530BF08C">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法定代表人：</w:t>
      </w:r>
    </w:p>
    <w:p w14:paraId="7E3A1C04">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地址：</w:t>
      </w:r>
    </w:p>
    <w:p w14:paraId="2CF42E06">
      <w:pPr>
        <w:pageBreakBefore w:val="0"/>
        <w:kinsoku/>
        <w:overflowPunct/>
        <w:bidi w:val="0"/>
        <w:spacing w:after="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电话：</w:t>
      </w:r>
    </w:p>
    <w:p w14:paraId="5845CCBA">
      <w:pPr>
        <w:pageBreakBefore w:val="0"/>
        <w:kinsoku/>
        <w:overflowPunct/>
        <w:bidi w:val="0"/>
        <w:spacing w:after="0" w:afterLines="0" w:line="360" w:lineRule="auto"/>
        <w:textAlignment w:val="auto"/>
        <w:rPr>
          <w:rFonts w:hint="eastAsia" w:ascii="宋体" w:hAnsi="宋体" w:eastAsia="宋体" w:cs="宋体"/>
          <w:color w:val="auto"/>
          <w:sz w:val="21"/>
          <w:szCs w:val="21"/>
          <w:highlight w:val="none"/>
          <w:lang w:eastAsia="zh-CN"/>
        </w:rPr>
      </w:pPr>
      <w:r>
        <w:rPr>
          <w:rFonts w:hint="eastAsia" w:eastAsia="宋体" w:cs="宋体"/>
          <w:color w:val="auto"/>
          <w:sz w:val="21"/>
          <w:szCs w:val="21"/>
          <w:highlight w:val="none"/>
          <w:lang w:eastAsia="zh-CN"/>
        </w:rPr>
        <w:t>202</w:t>
      </w:r>
      <w:r>
        <w:rPr>
          <w:rFonts w:hint="eastAsia" w:eastAsia="宋体" w:cs="宋体"/>
          <w:color w:val="auto"/>
          <w:sz w:val="21"/>
          <w:szCs w:val="21"/>
          <w:highlight w:val="none"/>
          <w:lang w:val="en-US" w:eastAsia="zh-CN"/>
        </w:rPr>
        <w:t>5</w:t>
      </w:r>
      <w:r>
        <w:rPr>
          <w:rFonts w:hint="eastAsia" w:eastAsia="宋体" w:cs="宋体"/>
          <w:color w:val="auto"/>
          <w:sz w:val="21"/>
          <w:szCs w:val="21"/>
          <w:highlight w:val="none"/>
          <w:lang w:eastAsia="zh-CN"/>
        </w:rPr>
        <w:t>年 月 日</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r>
        <w:rPr>
          <w:rFonts w:hint="eastAsia" w:eastAsia="宋体" w:cs="宋体"/>
          <w:color w:val="auto"/>
          <w:sz w:val="21"/>
          <w:szCs w:val="21"/>
          <w:highlight w:val="none"/>
          <w:lang w:eastAsia="zh-CN"/>
        </w:rPr>
        <w:t>202</w:t>
      </w:r>
      <w:r>
        <w:rPr>
          <w:rFonts w:hint="eastAsia" w:eastAsia="宋体" w:cs="宋体"/>
          <w:color w:val="auto"/>
          <w:sz w:val="21"/>
          <w:szCs w:val="21"/>
          <w:highlight w:val="none"/>
          <w:lang w:val="en-US" w:eastAsia="zh-CN"/>
        </w:rPr>
        <w:t>5</w:t>
      </w:r>
      <w:r>
        <w:rPr>
          <w:rFonts w:hint="eastAsia" w:eastAsia="宋体" w:cs="宋体"/>
          <w:color w:val="auto"/>
          <w:sz w:val="21"/>
          <w:szCs w:val="21"/>
          <w:highlight w:val="none"/>
          <w:lang w:eastAsia="zh-CN"/>
        </w:rPr>
        <w:t>年 月 日</w:t>
      </w:r>
    </w:p>
    <w:p w14:paraId="54CC2806">
      <w:pPr>
        <w:pStyle w:val="7"/>
        <w:pageBreakBefore w:val="0"/>
        <w:kinsoku/>
        <w:overflowPunct/>
        <w:bidi w:val="0"/>
        <w:spacing w:before="0" w:after="0" w:afterLines="0" w:line="360" w:lineRule="auto"/>
        <w:ind w:left="0" w:firstLine="0" w:firstLineChars="0"/>
        <w:jc w:val="center"/>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bookmarkStart w:id="736" w:name="_Toc14964"/>
      <w:bookmarkStart w:id="737" w:name="_Toc3797"/>
      <w:bookmarkStart w:id="738" w:name="_Toc21051"/>
      <w:r>
        <w:rPr>
          <w:rFonts w:hint="eastAsia" w:ascii="宋体" w:hAnsi="宋体" w:eastAsia="宋体" w:cs="宋体"/>
          <w:bCs w:val="0"/>
          <w:color w:val="auto"/>
          <w:sz w:val="21"/>
          <w:szCs w:val="21"/>
          <w:highlight w:val="none"/>
        </w:rPr>
        <w:t>附件</w:t>
      </w:r>
      <w:r>
        <w:rPr>
          <w:rFonts w:hint="eastAsia" w:eastAsia="宋体" w:cs="宋体"/>
          <w:bCs w:val="0"/>
          <w:color w:val="auto"/>
          <w:sz w:val="21"/>
          <w:szCs w:val="21"/>
          <w:highlight w:val="none"/>
          <w:lang w:val="en-US" w:eastAsia="zh-CN"/>
        </w:rPr>
        <w:t>7</w:t>
      </w:r>
      <w:r>
        <w:rPr>
          <w:rFonts w:hint="eastAsia" w:ascii="宋体" w:hAnsi="宋体" w:eastAsia="宋体" w:cs="宋体"/>
          <w:bCs w:val="0"/>
          <w:color w:val="auto"/>
          <w:sz w:val="21"/>
          <w:szCs w:val="21"/>
          <w:highlight w:val="none"/>
        </w:rPr>
        <w:t>：</w:t>
      </w:r>
      <w:r>
        <w:rPr>
          <w:rFonts w:hint="eastAsia" w:eastAsia="宋体" w:cs="宋体"/>
          <w:bCs w:val="0"/>
          <w:color w:val="auto"/>
          <w:sz w:val="21"/>
          <w:szCs w:val="21"/>
          <w:highlight w:val="none"/>
          <w:lang w:eastAsia="zh-CN"/>
        </w:rPr>
        <w:t>中央民族大学附属中学三亚学校校舍维修改造项目</w:t>
      </w:r>
      <w:r>
        <w:rPr>
          <w:rFonts w:hint="eastAsia" w:ascii="宋体" w:hAnsi="宋体" w:eastAsia="宋体" w:cs="宋体"/>
          <w:bCs w:val="0"/>
          <w:color w:val="auto"/>
          <w:sz w:val="21"/>
          <w:szCs w:val="21"/>
          <w:highlight w:val="none"/>
        </w:rPr>
        <w:t>施工参</w:t>
      </w:r>
      <w:bookmarkEnd w:id="733"/>
      <w:bookmarkEnd w:id="734"/>
      <w:bookmarkEnd w:id="735"/>
      <w:r>
        <w:rPr>
          <w:rFonts w:hint="eastAsia" w:ascii="宋体" w:hAnsi="宋体" w:eastAsia="宋体" w:cs="宋体"/>
          <w:bCs w:val="0"/>
          <w:color w:val="auto"/>
          <w:sz w:val="21"/>
          <w:szCs w:val="21"/>
          <w:highlight w:val="none"/>
        </w:rPr>
        <w:t>考品牌一览表</w:t>
      </w:r>
      <w:bookmarkEnd w:id="736"/>
      <w:bookmarkEnd w:id="737"/>
      <w:bookmarkEnd w:id="738"/>
    </w:p>
    <w:tbl>
      <w:tblPr>
        <w:tblStyle w:val="35"/>
        <w:tblW w:w="9570" w:type="dxa"/>
        <w:jc w:val="center"/>
        <w:tblLayout w:type="fixed"/>
        <w:tblCellMar>
          <w:top w:w="0" w:type="dxa"/>
          <w:left w:w="108" w:type="dxa"/>
          <w:bottom w:w="0" w:type="dxa"/>
          <w:right w:w="108" w:type="dxa"/>
        </w:tblCellMar>
      </w:tblPr>
      <w:tblGrid>
        <w:gridCol w:w="765"/>
        <w:gridCol w:w="4980"/>
        <w:gridCol w:w="3825"/>
      </w:tblGrid>
      <w:tr w14:paraId="65C2E779">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6D0B3BB0">
            <w:pPr>
              <w:pageBreakBefore w:val="0"/>
              <w:widowControl/>
              <w:kinsoku/>
              <w:overflowPunct/>
              <w:bidi w:val="0"/>
              <w:spacing w:after="0" w:afterLines="0" w:line="360" w:lineRule="auto"/>
              <w:ind w:firstLine="0" w:firstLineChars="0"/>
              <w:jc w:val="both"/>
              <w:textAlignment w:val="auto"/>
              <w:rPr>
                <w:rFonts w:hint="eastAsia" w:ascii="宋体" w:hAnsi="宋体" w:eastAsia="宋体" w:cs="宋体"/>
                <w:b/>
                <w:bCs/>
                <w:color w:val="auto"/>
                <w:kern w:val="0"/>
                <w:sz w:val="21"/>
                <w:szCs w:val="21"/>
                <w:highlight w:val="none"/>
              </w:rPr>
            </w:pPr>
            <w:bookmarkStart w:id="739" w:name="_Toc247514232"/>
            <w:bookmarkStart w:id="740" w:name="_Toc247527819"/>
            <w:r>
              <w:rPr>
                <w:rFonts w:hint="eastAsia" w:ascii="宋体" w:hAnsi="宋体" w:eastAsia="宋体" w:cs="宋体"/>
                <w:b/>
                <w:bCs/>
                <w:color w:val="auto"/>
                <w:kern w:val="0"/>
                <w:sz w:val="21"/>
                <w:szCs w:val="21"/>
                <w:highlight w:val="none"/>
              </w:rPr>
              <w:t>序号</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608856E3">
            <w:pPr>
              <w:pageBreakBefore w:val="0"/>
              <w:widowControl/>
              <w:kinsoku/>
              <w:overflowPunct/>
              <w:bidi w:val="0"/>
              <w:spacing w:after="0" w:afterLines="0" w:line="360" w:lineRule="auto"/>
              <w:jc w:val="center"/>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材料类型名称</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222C3171">
            <w:pPr>
              <w:pageBreakBefore w:val="0"/>
              <w:widowControl/>
              <w:kinsoku/>
              <w:overflowPunct/>
              <w:bidi w:val="0"/>
              <w:spacing w:after="0" w:afterLines="0" w:line="360" w:lineRule="auto"/>
              <w:jc w:val="center"/>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参考品牌及厂家</w:t>
            </w:r>
          </w:p>
        </w:tc>
      </w:tr>
      <w:tr w14:paraId="254A4D84">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379D4A89">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25DF4162">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难燃塑料线管 、HDPE静音排水管 、HDPE双壁波纹管、阻氧型铝合金衬塑（PE-RT）复合管材、PVC-U给水管</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3EE62881">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联塑、雄塑、华塑</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日丰、中财</w:t>
            </w:r>
          </w:p>
        </w:tc>
      </w:tr>
      <w:tr w14:paraId="5600D1CF">
        <w:tblPrEx>
          <w:tblCellMar>
            <w:top w:w="0" w:type="dxa"/>
            <w:left w:w="108" w:type="dxa"/>
            <w:bottom w:w="0" w:type="dxa"/>
            <w:right w:w="108" w:type="dxa"/>
          </w:tblCellMar>
        </w:tblPrEx>
        <w:trPr>
          <w:trHeight w:val="46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7E552F22">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0E620C1C">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电线、电缆</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7F3DCBED">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海南威特、美亚、远东</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新兴</w:t>
            </w:r>
          </w:p>
        </w:tc>
      </w:tr>
      <w:tr w14:paraId="1CD3357D">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6E52D240">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4616BCDF">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法兰闸阀 、法兰止回阀 、可调式减压阀、蝶阀、Y型过滤器、铜截止阀、自动排气阀</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38647EE6">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上海冠龙，株洲南方，武汉大禹</w:t>
            </w:r>
          </w:p>
        </w:tc>
      </w:tr>
      <w:tr w14:paraId="5C7C5197">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64C6D4CC">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385C791E">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洁具</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33C9B4C5">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美标、TOTO、科勒</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法恩莎、九牧、摩恩</w:t>
            </w:r>
          </w:p>
        </w:tc>
      </w:tr>
      <w:tr w14:paraId="55AF7CA6">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21634752">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70EA9EA3">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水泵、热泵机组</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6E61EB85">
            <w:pPr>
              <w:pageBreakBefore w:val="0"/>
              <w:widowControl/>
              <w:tabs>
                <w:tab w:val="center" w:pos="1804"/>
              </w:tabs>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凯泉、熊猫、广一</w:t>
            </w:r>
            <w:r>
              <w:rPr>
                <w:rFonts w:hint="eastAsia" w:ascii="宋体" w:hAnsi="宋体" w:eastAsia="宋体" w:cs="宋体"/>
                <w:color w:val="auto"/>
                <w:kern w:val="0"/>
                <w:sz w:val="21"/>
                <w:szCs w:val="21"/>
                <w:highlight w:val="none"/>
                <w:lang w:eastAsia="zh-CN"/>
              </w:rPr>
              <w:tab/>
            </w:r>
          </w:p>
        </w:tc>
      </w:tr>
      <w:tr w14:paraId="3D217110">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6B52FED6">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6377878F">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空调</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35F2EA63">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格力、远大</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日立</w:t>
            </w:r>
          </w:p>
        </w:tc>
      </w:tr>
      <w:tr w14:paraId="609CADD5">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6BD57B98">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385979A0">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防火阀、调节阀、蝶阀、铝合金百叶风口、消声器</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1C3CCE0F">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广州羊城风机、海南昇源、湖南鑫宏源</w:t>
            </w:r>
          </w:p>
        </w:tc>
      </w:tr>
      <w:tr w14:paraId="5C775B0B">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4A925C90">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39771527">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火灾自动报警系统</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1AAA14ED">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北大青鸟、海湾、利达</w:t>
            </w:r>
          </w:p>
        </w:tc>
      </w:tr>
      <w:tr w14:paraId="0E0012A0">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49B5E208">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5F2BC5A3">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电气火灾监控器系统</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45F29CE9">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北大青鸟、海湾、利达</w:t>
            </w:r>
          </w:p>
        </w:tc>
      </w:tr>
      <w:tr w14:paraId="65B7498E">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7DAEF754">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6F732711">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防火门监控系统</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6BA197FB">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北大青鸟、海湾、利达</w:t>
            </w:r>
          </w:p>
        </w:tc>
      </w:tr>
      <w:tr w14:paraId="48B8E34C">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7F6FB9AF">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2CB39972">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变压器</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7ACBB725">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海南威特、</w:t>
            </w:r>
            <w:r>
              <w:rPr>
                <w:rFonts w:hint="eastAsia" w:ascii="宋体" w:hAnsi="宋体" w:eastAsia="宋体" w:cs="宋体"/>
                <w:color w:val="auto"/>
                <w:kern w:val="0"/>
                <w:sz w:val="21"/>
                <w:szCs w:val="21"/>
                <w:highlight w:val="none"/>
                <w:lang w:val="en-US" w:eastAsia="zh-CN"/>
              </w:rPr>
              <w:t>深圳特变、特变电工、海南金盘、广东顺特</w:t>
            </w:r>
          </w:p>
        </w:tc>
      </w:tr>
      <w:tr w14:paraId="62465AF3">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595894D4">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27A14E88">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高低压柜、配电箱</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21D13F7D">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电气元器件品牌：施耐德、ABB电气、</w:t>
            </w:r>
            <w:r>
              <w:rPr>
                <w:rFonts w:hint="eastAsia" w:ascii="宋体" w:hAnsi="宋体" w:eastAsia="宋体" w:cs="宋体"/>
                <w:color w:val="auto"/>
                <w:kern w:val="0"/>
                <w:sz w:val="21"/>
                <w:szCs w:val="21"/>
                <w:highlight w:val="none"/>
                <w:lang w:val="en-US" w:eastAsia="zh-CN"/>
              </w:rPr>
              <w:t>西门子</w:t>
            </w:r>
            <w:r>
              <w:rPr>
                <w:rFonts w:hint="eastAsia" w:ascii="宋体" w:hAnsi="宋体" w:eastAsia="宋体" w:cs="宋体"/>
                <w:color w:val="auto"/>
                <w:kern w:val="0"/>
                <w:sz w:val="21"/>
                <w:szCs w:val="21"/>
                <w:highlight w:val="none"/>
              </w:rPr>
              <w:t>。箱体：</w:t>
            </w:r>
            <w:r>
              <w:rPr>
                <w:rFonts w:hint="eastAsia" w:ascii="宋体" w:hAnsi="宋体" w:eastAsia="宋体" w:cs="宋体"/>
                <w:color w:val="auto"/>
                <w:kern w:val="0"/>
                <w:sz w:val="21"/>
                <w:szCs w:val="21"/>
                <w:highlight w:val="none"/>
                <w:lang w:val="en-US" w:eastAsia="zh-CN"/>
              </w:rPr>
              <w:t>万控、浙江炎城、浙江彦煌</w:t>
            </w:r>
          </w:p>
        </w:tc>
      </w:tr>
      <w:tr w14:paraId="6AF0CB00">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4220B2D6">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19125FCE">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照明灯具</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75A14AEA">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欧普、雷士、飞利浦</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松下、FSL(佛山照明）</w:t>
            </w:r>
          </w:p>
        </w:tc>
      </w:tr>
      <w:tr w14:paraId="2DA79429">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5AACB3B3">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5F8EE734">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电梯</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55AC1439">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三菱、日立（中国）、芬兰通力</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蒂森克虏伯、东芝</w:t>
            </w:r>
          </w:p>
        </w:tc>
      </w:tr>
      <w:tr w14:paraId="530020FA">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6BFFE234">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698B927D">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弱电智能化系统</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6D11297A">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华为、海康威视、浙江大华</w:t>
            </w:r>
          </w:p>
        </w:tc>
      </w:tr>
      <w:tr w14:paraId="24B4D8B4">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33177E39">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2F8DF973">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防火门</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防盗门、户内门</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41C4C8D5">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王力、步阳、盼盼</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群升、赛银、新多、美心</w:t>
            </w:r>
          </w:p>
        </w:tc>
      </w:tr>
      <w:tr w14:paraId="6EA7D80A">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5C2FC4B8">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7</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36BEE078">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铝型材</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567F47CD">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亚铝、凤铝、坚美</w:t>
            </w:r>
          </w:p>
        </w:tc>
      </w:tr>
      <w:tr w14:paraId="1E5CEC84">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629F550C">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18</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02F61043">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门窗玻璃</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5970359A">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南玻、耀华、信义</w:t>
            </w:r>
          </w:p>
        </w:tc>
      </w:tr>
      <w:tr w14:paraId="17FD5532">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3A2C67E6">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19</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40C3F999">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门窗五金配件</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20FF645B">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坚朗、广州合和、山东国强</w:t>
            </w:r>
          </w:p>
        </w:tc>
      </w:tr>
      <w:tr w14:paraId="3BC20FF8">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259DDB57">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20</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4FABC22F">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门窗密封胶、建筑胶</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1ACAB21B">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广东白云、杭州之江、广州安泰</w:t>
            </w:r>
          </w:p>
        </w:tc>
      </w:tr>
      <w:tr w14:paraId="5BD8ACBC">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43CD7E4C">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21</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2877D1F3">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地砖、墙砖</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22778DD6">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东鹏、马可波罗、冠珠</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蒙娜丽莎、诺贝尔、简一</w:t>
            </w:r>
          </w:p>
        </w:tc>
      </w:tr>
      <w:tr w14:paraId="611411F0">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0FC7D589">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22</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6FBA8514">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外墙涂料</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047C2665">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多乐士、立邦、嘉宝莉</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三棵树、华润</w:t>
            </w:r>
          </w:p>
        </w:tc>
      </w:tr>
      <w:tr w14:paraId="00CAE5CD">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4ED2F116">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23</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2DBBD747">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室内乳胶漆</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6B111023">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多乐士、立邦、嘉宝莉</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三棵树、华润</w:t>
            </w:r>
          </w:p>
        </w:tc>
      </w:tr>
      <w:tr w14:paraId="79AA9DDF">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35A95393">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4</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5FD9C9B7">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腻子</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7924C9D8">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美涂士、绿涂、秀珀</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立邦、华润</w:t>
            </w:r>
          </w:p>
        </w:tc>
      </w:tr>
      <w:tr w14:paraId="477D04BC">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26DA449B">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5</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36F05D94">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防水卷材、防水涂料</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6C7577AD">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科顺、东方雨虹、卓宝</w:t>
            </w:r>
          </w:p>
        </w:tc>
      </w:tr>
      <w:tr w14:paraId="4ED0B920">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05C79505">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6</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4F1DCE0D">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开关、插座</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3CCA0982">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西门子、西蒙电气</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公牛</w:t>
            </w:r>
          </w:p>
        </w:tc>
      </w:tr>
      <w:tr w14:paraId="785BE8FF">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2DCC7740">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27</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044B90A2">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塑胶跑道</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72A96F47">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长河</w:t>
            </w:r>
            <w:r>
              <w:rPr>
                <w:rFonts w:hint="eastAsia" w:ascii="宋体" w:hAnsi="宋体" w:eastAsia="宋体" w:cs="宋体"/>
                <w:color w:val="auto"/>
                <w:kern w:val="0"/>
                <w:sz w:val="21"/>
                <w:szCs w:val="21"/>
                <w:highlight w:val="none"/>
                <w:lang w:eastAsia="zh-CN"/>
              </w:rPr>
              <w:t>、杰锐、柏胜</w:t>
            </w:r>
          </w:p>
        </w:tc>
      </w:tr>
      <w:tr w14:paraId="0FC22EA3">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10A2ED93">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28</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386E8E90">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硅PU球场面层</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2BB95D29">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长河</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力茵</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奥翔</w:t>
            </w:r>
          </w:p>
        </w:tc>
      </w:tr>
      <w:tr w14:paraId="26EFD516">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1701B9BC">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29</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59C45933">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丙烯酸球场面层</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571FE77D">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格锐赛</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Greenset</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马贝</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MEPEI</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科特索</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COURTSOL</w:t>
            </w:r>
            <w:r>
              <w:rPr>
                <w:rFonts w:hint="eastAsia" w:ascii="宋体" w:hAnsi="宋体" w:eastAsia="宋体" w:cs="宋体"/>
                <w:color w:val="auto"/>
                <w:kern w:val="0"/>
                <w:sz w:val="21"/>
                <w:szCs w:val="21"/>
                <w:highlight w:val="none"/>
                <w:lang w:eastAsia="zh-CN"/>
              </w:rPr>
              <w:t>）</w:t>
            </w:r>
          </w:p>
        </w:tc>
      </w:tr>
      <w:tr w14:paraId="315300B2">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180C0BBE">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30</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42CA6AA1">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运动木地板</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0B33E4E1">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普利吉</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美凯</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千森</w:t>
            </w:r>
          </w:p>
        </w:tc>
      </w:tr>
      <w:tr w14:paraId="61DC2B34">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15F46BE5">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31</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1627C71B">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PVC地胶</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7DB9F2A9">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北新</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杰帝奇</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浩康</w:t>
            </w:r>
          </w:p>
        </w:tc>
      </w:tr>
      <w:tr w14:paraId="7B18F190">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5D05DAFF">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32</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4C218DF8">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运动场地围网</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551CF448">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恰好时</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飞泽</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盛体</w:t>
            </w:r>
          </w:p>
        </w:tc>
      </w:tr>
      <w:tr w14:paraId="1984D66B">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22BC1A0F">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33</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5677404C">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座椅工程</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291A527D">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领先</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大丰</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博金</w:t>
            </w:r>
          </w:p>
        </w:tc>
      </w:tr>
      <w:tr w14:paraId="25EEAD04">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27543206">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34</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2FCE5627">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体育器材</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083B5092">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泰山</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金陵</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盛体</w:t>
            </w:r>
          </w:p>
        </w:tc>
      </w:tr>
      <w:tr w14:paraId="38041FA6">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276A69AB">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35</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2D73E511">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泳池瓷砖</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3A4F45CE">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淘陶</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罗莎</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佛罗岗斯</w:t>
            </w:r>
          </w:p>
        </w:tc>
      </w:tr>
      <w:tr w14:paraId="0C9669F3">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6616A670">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36</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281562CE">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泳池设备</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2EEE71EC">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恒泰</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千叶</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中广</w:t>
            </w:r>
          </w:p>
        </w:tc>
      </w:tr>
      <w:tr w14:paraId="7143FB48">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48AA1531">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37</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6C28C95C">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体育照明</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31FE8974">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恰好时</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海洋王</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北斗星</w:t>
            </w:r>
          </w:p>
        </w:tc>
      </w:tr>
      <w:tr w14:paraId="5C8DF4C0">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4E9988B2">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38</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5633975A">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LED大屏</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25966A1E">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威谷</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三思</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利亚德</w:t>
            </w:r>
          </w:p>
        </w:tc>
      </w:tr>
      <w:tr w14:paraId="3992A1B8">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4D36E566">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39</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3A528F10">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体育工艺专项智能化</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0097E670">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中意明安</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易彩通</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中创通达</w:t>
            </w:r>
          </w:p>
        </w:tc>
      </w:tr>
      <w:tr w14:paraId="029444F3">
        <w:tblPrEx>
          <w:tblCellMar>
            <w:top w:w="0" w:type="dxa"/>
            <w:left w:w="108" w:type="dxa"/>
            <w:bottom w:w="0" w:type="dxa"/>
            <w:right w:w="108" w:type="dxa"/>
          </w:tblCellMar>
        </w:tblPrEx>
        <w:trPr>
          <w:trHeight w:val="500" w:hRule="atLeast"/>
          <w:jc w:val="center"/>
        </w:trPr>
        <w:tc>
          <w:tcPr>
            <w:tcW w:w="765" w:type="dxa"/>
            <w:tcBorders>
              <w:top w:val="single" w:color="000000" w:sz="4" w:space="0"/>
              <w:left w:val="single" w:color="000000" w:sz="4" w:space="0"/>
              <w:bottom w:val="single" w:color="000000" w:sz="4" w:space="0"/>
              <w:right w:val="single" w:color="000000" w:sz="4" w:space="0"/>
            </w:tcBorders>
            <w:noWrap w:val="0"/>
            <w:vAlign w:val="center"/>
          </w:tcPr>
          <w:p w14:paraId="0DC6E1FB">
            <w:pPr>
              <w:pageBreakBefore w:val="0"/>
              <w:widowControl/>
              <w:kinsoku/>
              <w:overflowPunct/>
              <w:bidi w:val="0"/>
              <w:spacing w:after="0" w:afterLines="0" w:line="360" w:lineRule="auto"/>
              <w:ind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40</w:t>
            </w:r>
          </w:p>
        </w:tc>
        <w:tc>
          <w:tcPr>
            <w:tcW w:w="4980" w:type="dxa"/>
            <w:tcBorders>
              <w:top w:val="single" w:color="000000" w:sz="4" w:space="0"/>
              <w:left w:val="single" w:color="000000" w:sz="4" w:space="0"/>
              <w:bottom w:val="single" w:color="000000" w:sz="4" w:space="0"/>
              <w:right w:val="single" w:color="000000" w:sz="4" w:space="0"/>
            </w:tcBorders>
            <w:noWrap w:val="0"/>
            <w:vAlign w:val="center"/>
          </w:tcPr>
          <w:p w14:paraId="29E9475E">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体育场馆扩声</w:t>
            </w:r>
          </w:p>
        </w:tc>
        <w:tc>
          <w:tcPr>
            <w:tcW w:w="3825" w:type="dxa"/>
            <w:tcBorders>
              <w:top w:val="single" w:color="000000" w:sz="4" w:space="0"/>
              <w:left w:val="single" w:color="000000" w:sz="4" w:space="0"/>
              <w:bottom w:val="single" w:color="000000" w:sz="4" w:space="0"/>
              <w:right w:val="single" w:color="000000" w:sz="4" w:space="0"/>
            </w:tcBorders>
            <w:noWrap w:val="0"/>
            <w:vAlign w:val="center"/>
          </w:tcPr>
          <w:p w14:paraId="2E407823">
            <w:pPr>
              <w:pageBreakBefore w:val="0"/>
              <w:widowControl/>
              <w:kinsoku/>
              <w:overflowPunct/>
              <w:bidi w:val="0"/>
              <w:spacing w:after="0" w:afterLines="0" w:line="360" w:lineRule="auto"/>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美国EV</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捷克KV2</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贝塔斯瑞</w:t>
            </w:r>
          </w:p>
        </w:tc>
      </w:tr>
      <w:tr w14:paraId="2223566D">
        <w:tblPrEx>
          <w:tblCellMar>
            <w:top w:w="0" w:type="dxa"/>
            <w:left w:w="108" w:type="dxa"/>
            <w:bottom w:w="0" w:type="dxa"/>
            <w:right w:w="108" w:type="dxa"/>
          </w:tblCellMar>
        </w:tblPrEx>
        <w:trPr>
          <w:trHeight w:val="90" w:hRule="atLeast"/>
          <w:jc w:val="center"/>
        </w:trPr>
        <w:tc>
          <w:tcPr>
            <w:tcW w:w="9570" w:type="dxa"/>
            <w:gridSpan w:val="3"/>
            <w:tcBorders>
              <w:top w:val="single" w:color="000000" w:sz="4" w:space="0"/>
              <w:left w:val="single" w:color="000000" w:sz="4" w:space="0"/>
              <w:bottom w:val="single" w:color="000000" w:sz="4" w:space="0"/>
              <w:right w:val="single" w:color="000000" w:sz="4" w:space="0"/>
            </w:tcBorders>
            <w:noWrap w:val="0"/>
            <w:vAlign w:val="center"/>
          </w:tcPr>
          <w:p w14:paraId="4389AA64">
            <w:pPr>
              <w:pageBreakBefore w:val="0"/>
              <w:widowControl/>
              <w:kinsoku/>
              <w:overflowPunct/>
              <w:bidi w:val="0"/>
              <w:spacing w:after="0" w:afterLines="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备注：</w:t>
            </w:r>
          </w:p>
          <w:p w14:paraId="60C95740">
            <w:pPr>
              <w:pageBreakBefore w:val="0"/>
              <w:widowControl/>
              <w:kinsoku/>
              <w:overflowPunct/>
              <w:bidi w:val="0"/>
              <w:spacing w:after="0" w:afterLines="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列明在"参考品牌一览表"中的材料，建设单位、监理单位、施工单位三方定板时参考使用，使用材料品牌档次应在高于或等同于参考品牌的产品品质基础上选用合格的一线品牌，并且向建设单位报批同意后方可使用。</w:t>
            </w:r>
          </w:p>
        </w:tc>
      </w:tr>
      <w:bookmarkEnd w:id="739"/>
      <w:bookmarkEnd w:id="740"/>
    </w:tbl>
    <w:p w14:paraId="00909FF1">
      <w:pPr>
        <w:pageBreakBefore w:val="0"/>
        <w:kinsoku/>
        <w:overflowPunct/>
        <w:bidi w:val="0"/>
        <w:spacing w:after="0" w:afterLines="0" w:line="360" w:lineRule="auto"/>
        <w:textAlignment w:val="auto"/>
        <w:outlineLvl w:val="0"/>
        <w:rPr>
          <w:rFonts w:hint="eastAsia" w:ascii="新宋体" w:hAnsi="新宋体" w:eastAsia="新宋体"/>
          <w:b/>
          <w:bCs/>
          <w:color w:val="auto"/>
          <w:sz w:val="21"/>
          <w:szCs w:val="21"/>
          <w:highlight w:val="none"/>
        </w:rPr>
      </w:pPr>
      <w:bookmarkStart w:id="741" w:name="_Toc12536"/>
      <w:bookmarkStart w:id="742" w:name="_Toc14355"/>
      <w:bookmarkStart w:id="743" w:name="_Toc21439"/>
      <w:bookmarkStart w:id="744" w:name="_Toc12843"/>
      <w:bookmarkStart w:id="745" w:name="_Toc22080"/>
      <w:bookmarkStart w:id="746" w:name="_Toc2950"/>
      <w:bookmarkStart w:id="747" w:name="_Toc7912"/>
      <w:bookmarkStart w:id="748" w:name="_Toc10651"/>
      <w:bookmarkStart w:id="749" w:name="_Toc3179"/>
    </w:p>
    <w:p w14:paraId="258C2FB1">
      <w:pPr>
        <w:pageBreakBefore w:val="0"/>
        <w:kinsoku/>
        <w:overflowPunct/>
        <w:bidi w:val="0"/>
        <w:spacing w:after="0" w:afterLines="0" w:line="360" w:lineRule="auto"/>
        <w:textAlignment w:val="auto"/>
        <w:outlineLvl w:val="0"/>
        <w:rPr>
          <w:rFonts w:hint="eastAsia" w:ascii="新宋体" w:hAnsi="新宋体" w:eastAsia="新宋体"/>
          <w:b/>
          <w:bCs/>
          <w:color w:val="auto"/>
          <w:sz w:val="21"/>
          <w:szCs w:val="21"/>
          <w:highlight w:val="none"/>
        </w:rPr>
      </w:pPr>
    </w:p>
    <w:p w14:paraId="163701D7">
      <w:pPr>
        <w:pageBreakBefore w:val="0"/>
        <w:kinsoku/>
        <w:overflowPunct/>
        <w:bidi w:val="0"/>
        <w:spacing w:after="0" w:afterLines="0" w:line="360" w:lineRule="auto"/>
        <w:ind w:left="0" w:leftChars="0" w:firstLine="0" w:firstLineChars="0"/>
        <w:jc w:val="center"/>
        <w:textAlignment w:val="auto"/>
        <w:outlineLvl w:val="0"/>
        <w:rPr>
          <w:rFonts w:eastAsia="仿宋_GB2312"/>
          <w:b/>
          <w:bCs/>
          <w:color w:val="auto"/>
          <w:sz w:val="21"/>
          <w:szCs w:val="21"/>
          <w:highlight w:val="none"/>
        </w:rPr>
      </w:pPr>
      <w:r>
        <w:rPr>
          <w:rFonts w:hint="eastAsia" w:ascii="新宋体" w:hAnsi="新宋体" w:eastAsia="新宋体"/>
          <w:b/>
          <w:bCs/>
          <w:color w:val="auto"/>
          <w:sz w:val="21"/>
          <w:szCs w:val="21"/>
          <w:highlight w:val="none"/>
        </w:rPr>
        <w:t>附件</w:t>
      </w:r>
      <w:r>
        <w:rPr>
          <w:rFonts w:hint="eastAsia" w:ascii="新宋体" w:hAnsi="新宋体" w:eastAsia="新宋体"/>
          <w:b/>
          <w:bCs/>
          <w:color w:val="auto"/>
          <w:sz w:val="21"/>
          <w:szCs w:val="21"/>
          <w:highlight w:val="none"/>
          <w:lang w:eastAsia="zh-CN"/>
        </w:rPr>
        <w:t>8</w:t>
      </w:r>
      <w:r>
        <w:rPr>
          <w:rFonts w:hint="eastAsia" w:ascii="新宋体" w:hAnsi="新宋体" w:eastAsia="新宋体"/>
          <w:b/>
          <w:bCs/>
          <w:color w:val="auto"/>
          <w:sz w:val="21"/>
          <w:szCs w:val="21"/>
          <w:highlight w:val="none"/>
        </w:rPr>
        <w:t>：工程资金监管协议主要条款</w:t>
      </w:r>
      <w:bookmarkEnd w:id="741"/>
      <w:bookmarkEnd w:id="742"/>
    </w:p>
    <w:p w14:paraId="4DC9BC8A">
      <w:pPr>
        <w:pageBreakBefore w:val="0"/>
        <w:kinsoku/>
        <w:overflowPunct/>
        <w:bidi w:val="0"/>
        <w:spacing w:after="0" w:afterLines="0" w:line="360" w:lineRule="auto"/>
        <w:jc w:val="center"/>
        <w:textAlignment w:val="auto"/>
        <w:rPr>
          <w:rFonts w:eastAsia="仿宋_GB2312"/>
          <w:color w:val="auto"/>
          <w:sz w:val="21"/>
          <w:szCs w:val="21"/>
          <w:highlight w:val="none"/>
        </w:rPr>
      </w:pPr>
      <w:r>
        <w:rPr>
          <w:rFonts w:hint="eastAsia" w:eastAsia="仿宋_GB2312"/>
          <w:color w:val="auto"/>
          <w:sz w:val="21"/>
          <w:szCs w:val="21"/>
          <w:highlight w:val="none"/>
        </w:rPr>
        <w:t xml:space="preserve"> </w:t>
      </w:r>
    </w:p>
    <w:p w14:paraId="369C5EED">
      <w:pPr>
        <w:pageBreakBefore w:val="0"/>
        <w:kinsoku/>
        <w:overflowPunct/>
        <w:bidi w:val="0"/>
        <w:spacing w:after="0" w:afterLines="0" w:line="360" w:lineRule="auto"/>
        <w:jc w:val="left"/>
        <w:textAlignment w:val="auto"/>
        <w:outlineLvl w:val="0"/>
        <w:rPr>
          <w:rFonts w:hint="eastAsia" w:cs="宋体"/>
          <w:color w:val="auto"/>
          <w:sz w:val="21"/>
          <w:szCs w:val="21"/>
          <w:highlight w:val="none"/>
        </w:rPr>
      </w:pPr>
      <w:bookmarkStart w:id="750" w:name="_Toc20267"/>
      <w:bookmarkStart w:id="751" w:name="_Toc5672_WPSOffice_Level1"/>
      <w:bookmarkStart w:id="752" w:name="_Toc5135_WPSOffice_Level1"/>
      <w:bookmarkStart w:id="753" w:name="_Toc16192_WPSOffice_Level1"/>
      <w:bookmarkStart w:id="754" w:name="_Toc9405_WPSOffice_Level1"/>
      <w:bookmarkStart w:id="755" w:name="_Toc21226_WPSOffice_Level1"/>
      <w:bookmarkStart w:id="756" w:name="_Toc22079_WPSOffice_Level1"/>
      <w:bookmarkStart w:id="757" w:name="_Toc6958_WPSOffice_Level1"/>
      <w:bookmarkStart w:id="758" w:name="_Toc11304_WPSOffice_Level1"/>
      <w:r>
        <w:rPr>
          <w:rFonts w:hint="eastAsia" w:cs="宋体"/>
          <w:color w:val="auto"/>
          <w:sz w:val="21"/>
          <w:szCs w:val="21"/>
          <w:highlight w:val="none"/>
        </w:rPr>
        <w:t>甲方（发包人）：</w:t>
      </w:r>
      <w:bookmarkEnd w:id="750"/>
      <w:bookmarkEnd w:id="751"/>
      <w:bookmarkEnd w:id="752"/>
      <w:bookmarkEnd w:id="753"/>
      <w:bookmarkEnd w:id="754"/>
      <w:bookmarkEnd w:id="755"/>
      <w:bookmarkEnd w:id="756"/>
      <w:bookmarkEnd w:id="757"/>
      <w:bookmarkEnd w:id="758"/>
      <w:r>
        <w:rPr>
          <w:rFonts w:hint="eastAsia" w:cs="宋体"/>
          <w:color w:val="auto"/>
          <w:sz w:val="21"/>
          <w:szCs w:val="21"/>
          <w:highlight w:val="none"/>
          <w:lang w:eastAsia="zh-CN"/>
        </w:rPr>
        <w:t>三亚市教育局</w:t>
      </w:r>
    </w:p>
    <w:p w14:paraId="313D311E">
      <w:pPr>
        <w:pageBreakBefore w:val="0"/>
        <w:kinsoku/>
        <w:overflowPunct/>
        <w:bidi w:val="0"/>
        <w:spacing w:after="0" w:afterLines="0" w:line="360" w:lineRule="auto"/>
        <w:jc w:val="left"/>
        <w:textAlignment w:val="auto"/>
        <w:outlineLvl w:val="0"/>
        <w:rPr>
          <w:rFonts w:hint="eastAsia" w:cs="宋体"/>
          <w:color w:val="auto"/>
          <w:sz w:val="21"/>
          <w:szCs w:val="21"/>
          <w:highlight w:val="none"/>
        </w:rPr>
      </w:pPr>
      <w:bookmarkStart w:id="759" w:name="_Toc22188_WPSOffice_Level1"/>
      <w:bookmarkStart w:id="760" w:name="_Toc7887"/>
      <w:bookmarkStart w:id="761" w:name="_Toc31255_WPSOffice_Level1"/>
      <w:bookmarkStart w:id="762" w:name="_Toc21643_WPSOffice_Level1"/>
      <w:bookmarkStart w:id="763" w:name="_Toc14327_WPSOffice_Level1"/>
      <w:bookmarkStart w:id="764" w:name="_Toc7263_WPSOffice_Level1"/>
      <w:bookmarkStart w:id="765" w:name="_Toc22131_WPSOffice_Level1"/>
      <w:bookmarkStart w:id="766" w:name="_Toc14849_WPSOffice_Level1"/>
      <w:bookmarkStart w:id="767" w:name="_Toc990_WPSOffice_Level1"/>
      <w:r>
        <w:rPr>
          <w:rFonts w:hint="eastAsia" w:cs="宋体"/>
          <w:color w:val="auto"/>
          <w:sz w:val="21"/>
          <w:szCs w:val="21"/>
          <w:highlight w:val="none"/>
        </w:rPr>
        <w:t>乙方（承包人）：</w:t>
      </w:r>
      <w:bookmarkEnd w:id="759"/>
      <w:bookmarkEnd w:id="760"/>
      <w:bookmarkEnd w:id="761"/>
      <w:bookmarkEnd w:id="762"/>
      <w:bookmarkEnd w:id="763"/>
      <w:bookmarkEnd w:id="764"/>
      <w:bookmarkEnd w:id="765"/>
      <w:bookmarkEnd w:id="766"/>
      <w:bookmarkEnd w:id="767"/>
      <w:r>
        <w:rPr>
          <w:rFonts w:hint="eastAsia" w:cs="宋体"/>
          <w:color w:val="auto"/>
          <w:sz w:val="21"/>
          <w:szCs w:val="21"/>
          <w:highlight w:val="none"/>
        </w:rPr>
        <w:t xml:space="preserve">            </w:t>
      </w:r>
    </w:p>
    <w:p w14:paraId="18DEACA6">
      <w:pPr>
        <w:pageBreakBefore w:val="0"/>
        <w:numPr>
          <w:ilvl w:val="0"/>
          <w:numId w:val="17"/>
        </w:numPr>
        <w:kinsoku/>
        <w:overflowPunct/>
        <w:bidi w:val="0"/>
        <w:spacing w:after="0" w:afterLines="0" w:line="360" w:lineRule="auto"/>
        <w:ind w:firstLine="420" w:firstLineChars="200"/>
        <w:jc w:val="left"/>
        <w:textAlignment w:val="auto"/>
        <w:rPr>
          <w:rFonts w:hint="eastAsia" w:cs="宋体"/>
          <w:color w:val="auto"/>
          <w:sz w:val="21"/>
          <w:szCs w:val="21"/>
          <w:highlight w:val="none"/>
        </w:rPr>
      </w:pPr>
      <w:r>
        <w:rPr>
          <w:rFonts w:hint="eastAsia" w:cs="宋体"/>
          <w:color w:val="auto"/>
          <w:sz w:val="21"/>
          <w:szCs w:val="21"/>
          <w:highlight w:val="none"/>
        </w:rPr>
        <w:t>本协议有效期限自协议生效之日起至甲方书面通知指定开户银行终止协议之日或施工合同履行完毕后终止，在此期限内，</w:t>
      </w:r>
      <w:r>
        <w:rPr>
          <w:rFonts w:hint="eastAsia" w:cs="宋体"/>
          <w:color w:val="auto"/>
          <w:sz w:val="21"/>
          <w:szCs w:val="21"/>
          <w:highlight w:val="none"/>
          <w:u w:val="single"/>
        </w:rPr>
        <w:t xml:space="preserve">                  </w:t>
      </w:r>
      <w:r>
        <w:rPr>
          <w:rFonts w:hint="eastAsia" w:cs="宋体"/>
          <w:color w:val="auto"/>
          <w:sz w:val="21"/>
          <w:szCs w:val="21"/>
          <w:highlight w:val="none"/>
        </w:rPr>
        <w:t>（发包人指定开户银行）按本协议的约定对该共管账户进行监管。</w:t>
      </w:r>
    </w:p>
    <w:p w14:paraId="7D5C721B">
      <w:pPr>
        <w:pageBreakBefore w:val="0"/>
        <w:numPr>
          <w:ilvl w:val="0"/>
          <w:numId w:val="17"/>
        </w:numPr>
        <w:kinsoku/>
        <w:overflowPunct/>
        <w:bidi w:val="0"/>
        <w:spacing w:after="0" w:afterLines="0" w:line="360" w:lineRule="auto"/>
        <w:ind w:firstLine="420" w:firstLineChars="200"/>
        <w:jc w:val="left"/>
        <w:textAlignment w:val="auto"/>
        <w:rPr>
          <w:rFonts w:hint="eastAsia" w:cs="宋体"/>
          <w:color w:val="auto"/>
          <w:sz w:val="21"/>
          <w:szCs w:val="21"/>
          <w:highlight w:val="none"/>
        </w:rPr>
      </w:pPr>
      <w:r>
        <w:rPr>
          <w:rFonts w:hint="eastAsia" w:cs="宋体"/>
          <w:color w:val="auto"/>
          <w:sz w:val="21"/>
          <w:szCs w:val="21"/>
          <w:highlight w:val="none"/>
        </w:rPr>
        <w:t>本协议有效期限内，甲、乙任何一方均无权单独动用监管账户内的资金款项。在具备下列条件后，</w:t>
      </w:r>
      <w:r>
        <w:rPr>
          <w:rFonts w:hint="eastAsia" w:cs="宋体"/>
          <w:color w:val="auto"/>
          <w:sz w:val="21"/>
          <w:szCs w:val="21"/>
          <w:highlight w:val="none"/>
          <w:u w:val="single"/>
        </w:rPr>
        <w:t xml:space="preserve">                 </w:t>
      </w:r>
      <w:r>
        <w:rPr>
          <w:rFonts w:hint="eastAsia" w:cs="宋体"/>
          <w:color w:val="auto"/>
          <w:sz w:val="21"/>
          <w:szCs w:val="21"/>
          <w:highlight w:val="none"/>
        </w:rPr>
        <w:t>（发包人指定开户银行）对共管账户内的资金按照甲乙双方共同（经办时注意是甲乙双方共同进行（一）（二）（三）项）指示进行支付：</w:t>
      </w:r>
    </w:p>
    <w:p w14:paraId="591DA7CD">
      <w:pPr>
        <w:pageBreakBefore w:val="0"/>
        <w:numPr>
          <w:ilvl w:val="0"/>
          <w:numId w:val="18"/>
        </w:numPr>
        <w:kinsoku/>
        <w:overflowPunct/>
        <w:bidi w:val="0"/>
        <w:spacing w:after="0" w:afterLines="0" w:line="360" w:lineRule="auto"/>
        <w:ind w:firstLine="420" w:firstLineChars="200"/>
        <w:jc w:val="left"/>
        <w:textAlignment w:val="auto"/>
        <w:rPr>
          <w:rFonts w:hint="eastAsia" w:cs="宋体"/>
          <w:color w:val="auto"/>
          <w:sz w:val="21"/>
          <w:szCs w:val="21"/>
          <w:highlight w:val="none"/>
        </w:rPr>
      </w:pPr>
      <w:r>
        <w:rPr>
          <w:rFonts w:hint="eastAsia" w:cs="宋体"/>
          <w:color w:val="auto"/>
          <w:sz w:val="21"/>
          <w:szCs w:val="21"/>
          <w:highlight w:val="none"/>
        </w:rPr>
        <w:t>甲、乙双方公司法定代表人或指定委托代理人携带本人身份证件亲自到</w:t>
      </w:r>
      <w:r>
        <w:rPr>
          <w:rFonts w:hint="eastAsia" w:cs="宋体"/>
          <w:color w:val="auto"/>
          <w:sz w:val="21"/>
          <w:szCs w:val="21"/>
          <w:highlight w:val="none"/>
          <w:u w:val="single"/>
        </w:rPr>
        <w:t xml:space="preserve">                  </w:t>
      </w:r>
      <w:r>
        <w:rPr>
          <w:rFonts w:hint="eastAsia" w:cs="宋体"/>
          <w:color w:val="auto"/>
          <w:sz w:val="21"/>
          <w:szCs w:val="21"/>
          <w:highlight w:val="none"/>
        </w:rPr>
        <w:t>（发包人指定开户银行），指定委托代理人必须带上法人委托书原件。</w:t>
      </w:r>
    </w:p>
    <w:p w14:paraId="228A15C9">
      <w:pPr>
        <w:pageBreakBefore w:val="0"/>
        <w:numPr>
          <w:ilvl w:val="0"/>
          <w:numId w:val="18"/>
        </w:numPr>
        <w:kinsoku/>
        <w:overflowPunct/>
        <w:bidi w:val="0"/>
        <w:spacing w:after="0" w:afterLines="0" w:line="360" w:lineRule="auto"/>
        <w:ind w:firstLine="420" w:firstLineChars="200"/>
        <w:jc w:val="left"/>
        <w:textAlignment w:val="auto"/>
        <w:rPr>
          <w:rFonts w:hint="eastAsia" w:cs="宋体"/>
          <w:color w:val="auto"/>
          <w:sz w:val="21"/>
          <w:szCs w:val="21"/>
          <w:highlight w:val="none"/>
        </w:rPr>
      </w:pPr>
      <w:r>
        <w:rPr>
          <w:rFonts w:hint="eastAsia" w:cs="宋体"/>
          <w:color w:val="auto"/>
          <w:sz w:val="21"/>
          <w:szCs w:val="21"/>
          <w:highlight w:val="none"/>
        </w:rPr>
        <w:t>甲、乙双方共同向</w:t>
      </w:r>
      <w:r>
        <w:rPr>
          <w:rFonts w:hint="eastAsia" w:cs="宋体"/>
          <w:color w:val="auto"/>
          <w:sz w:val="21"/>
          <w:szCs w:val="21"/>
          <w:highlight w:val="none"/>
          <w:u w:val="single"/>
        </w:rPr>
        <w:t xml:space="preserve">                 </w:t>
      </w:r>
      <w:r>
        <w:rPr>
          <w:rFonts w:hint="eastAsia" w:cs="宋体"/>
          <w:color w:val="auto"/>
          <w:sz w:val="21"/>
          <w:szCs w:val="21"/>
          <w:highlight w:val="none"/>
        </w:rPr>
        <w:t>（发包人指定开户银行）出具支付通知书原件，该支付通知书上盖甲乙双方的印章必须与预留印鉴一致。</w:t>
      </w:r>
    </w:p>
    <w:p w14:paraId="55744BE2">
      <w:pPr>
        <w:pageBreakBefore w:val="0"/>
        <w:numPr>
          <w:ilvl w:val="0"/>
          <w:numId w:val="18"/>
        </w:numPr>
        <w:kinsoku/>
        <w:overflowPunct/>
        <w:bidi w:val="0"/>
        <w:spacing w:after="0" w:afterLines="0" w:line="360" w:lineRule="auto"/>
        <w:ind w:firstLine="420" w:firstLineChars="200"/>
        <w:jc w:val="left"/>
        <w:textAlignment w:val="auto"/>
        <w:rPr>
          <w:rFonts w:hint="eastAsia" w:cs="宋体"/>
          <w:color w:val="auto"/>
          <w:sz w:val="21"/>
          <w:szCs w:val="21"/>
          <w:highlight w:val="none"/>
        </w:rPr>
      </w:pPr>
      <w:r>
        <w:rPr>
          <w:rFonts w:hint="eastAsia" w:cs="宋体"/>
          <w:color w:val="auto"/>
          <w:sz w:val="21"/>
          <w:szCs w:val="21"/>
          <w:highlight w:val="none"/>
        </w:rPr>
        <w:t>甲、乙公司按要求提供其他相关资料并办理相关手续，同时监管账户内资金的支付须符合有关支付结算办法、相关规定。</w:t>
      </w:r>
    </w:p>
    <w:p w14:paraId="5BD12C90">
      <w:pPr>
        <w:pageBreakBefore w:val="0"/>
        <w:kinsoku/>
        <w:overflowPunct/>
        <w:bidi w:val="0"/>
        <w:spacing w:after="0" w:afterLines="0" w:line="360" w:lineRule="auto"/>
        <w:ind w:firstLine="420" w:firstLineChars="200"/>
        <w:jc w:val="left"/>
        <w:textAlignment w:val="auto"/>
        <w:rPr>
          <w:rFonts w:hint="eastAsia" w:cs="宋体"/>
          <w:color w:val="auto"/>
          <w:sz w:val="21"/>
          <w:szCs w:val="21"/>
          <w:highlight w:val="none"/>
        </w:rPr>
      </w:pPr>
      <w:r>
        <w:rPr>
          <w:rFonts w:hint="eastAsia" w:cs="宋体"/>
          <w:color w:val="auto"/>
          <w:sz w:val="21"/>
          <w:szCs w:val="21"/>
          <w:highlight w:val="none"/>
        </w:rPr>
        <w:t>三、本协议有效期限内，在同时具备下列条件后，</w:t>
      </w:r>
      <w:r>
        <w:rPr>
          <w:rFonts w:hint="eastAsia" w:cs="宋体"/>
          <w:color w:val="auto"/>
          <w:sz w:val="21"/>
          <w:szCs w:val="21"/>
          <w:highlight w:val="none"/>
          <w:u w:val="single"/>
        </w:rPr>
        <w:t xml:space="preserve">                </w:t>
      </w:r>
      <w:r>
        <w:rPr>
          <w:rFonts w:hint="eastAsia" w:cs="宋体"/>
          <w:color w:val="auto"/>
          <w:sz w:val="21"/>
          <w:szCs w:val="21"/>
          <w:highlight w:val="none"/>
        </w:rPr>
        <w:t>（发包人指定开户银行）方可提前解除对监管账户的监管或是该账户进行销户：</w:t>
      </w:r>
    </w:p>
    <w:p w14:paraId="312FD731">
      <w:pPr>
        <w:pageBreakBefore w:val="0"/>
        <w:numPr>
          <w:ilvl w:val="0"/>
          <w:numId w:val="19"/>
        </w:numPr>
        <w:kinsoku/>
        <w:overflowPunct/>
        <w:bidi w:val="0"/>
        <w:spacing w:after="0" w:afterLines="0" w:line="360" w:lineRule="auto"/>
        <w:ind w:firstLine="420" w:firstLineChars="200"/>
        <w:jc w:val="left"/>
        <w:textAlignment w:val="auto"/>
        <w:rPr>
          <w:rFonts w:hint="eastAsia" w:cs="宋体"/>
          <w:color w:val="auto"/>
          <w:sz w:val="21"/>
          <w:szCs w:val="21"/>
          <w:highlight w:val="none"/>
        </w:rPr>
      </w:pPr>
      <w:r>
        <w:rPr>
          <w:rFonts w:hint="eastAsia" w:cs="宋体"/>
          <w:color w:val="auto"/>
          <w:sz w:val="21"/>
          <w:szCs w:val="21"/>
          <w:highlight w:val="none"/>
        </w:rPr>
        <w:t>甲、乙双方公司法定代表人或指定委托代理人携带本人身份证件亲自到</w:t>
      </w:r>
      <w:r>
        <w:rPr>
          <w:rFonts w:hint="eastAsia" w:cs="宋体"/>
          <w:color w:val="auto"/>
          <w:sz w:val="21"/>
          <w:szCs w:val="21"/>
          <w:highlight w:val="none"/>
          <w:u w:val="single"/>
        </w:rPr>
        <w:t xml:space="preserve">              </w:t>
      </w:r>
      <w:r>
        <w:rPr>
          <w:rFonts w:hint="eastAsia" w:cs="宋体"/>
          <w:color w:val="auto"/>
          <w:sz w:val="21"/>
          <w:szCs w:val="21"/>
          <w:highlight w:val="none"/>
        </w:rPr>
        <w:t>（发包人指定开户银行），指定委托代理人必须带上法人委托书原件。</w:t>
      </w:r>
    </w:p>
    <w:p w14:paraId="026A26AA">
      <w:pPr>
        <w:pageBreakBefore w:val="0"/>
        <w:numPr>
          <w:ilvl w:val="0"/>
          <w:numId w:val="19"/>
        </w:numPr>
        <w:kinsoku/>
        <w:overflowPunct/>
        <w:bidi w:val="0"/>
        <w:spacing w:after="0" w:afterLines="0" w:line="360" w:lineRule="auto"/>
        <w:ind w:firstLine="420" w:firstLineChars="200"/>
        <w:jc w:val="left"/>
        <w:textAlignment w:val="auto"/>
        <w:rPr>
          <w:rFonts w:hint="eastAsia" w:cs="宋体"/>
          <w:color w:val="auto"/>
          <w:sz w:val="21"/>
          <w:szCs w:val="21"/>
          <w:highlight w:val="none"/>
        </w:rPr>
      </w:pPr>
      <w:r>
        <w:rPr>
          <w:rFonts w:hint="eastAsia" w:cs="宋体"/>
          <w:color w:val="auto"/>
          <w:sz w:val="21"/>
          <w:szCs w:val="21"/>
          <w:highlight w:val="none"/>
        </w:rPr>
        <w:t>甲、乙双方共同向</w:t>
      </w:r>
      <w:r>
        <w:rPr>
          <w:rFonts w:hint="eastAsia" w:cs="宋体"/>
          <w:color w:val="auto"/>
          <w:sz w:val="21"/>
          <w:szCs w:val="21"/>
          <w:highlight w:val="none"/>
          <w:u w:val="single"/>
        </w:rPr>
        <w:t xml:space="preserve">            </w:t>
      </w:r>
      <w:r>
        <w:rPr>
          <w:rFonts w:hint="eastAsia" w:cs="宋体"/>
          <w:color w:val="auto"/>
          <w:sz w:val="21"/>
          <w:szCs w:val="21"/>
          <w:highlight w:val="none"/>
        </w:rPr>
        <w:t>（发包人指定开户银行）出具解除共管通知书原件，该支付通知书上加盖甲、乙双方的印章必须与预留印鉴一致。甲乙公司按要求提供其他相关资料并办理相关手续。</w:t>
      </w:r>
    </w:p>
    <w:p w14:paraId="7D052CB4">
      <w:pPr>
        <w:pageBreakBefore w:val="0"/>
        <w:numPr>
          <w:ilvl w:val="0"/>
          <w:numId w:val="19"/>
        </w:numPr>
        <w:kinsoku/>
        <w:overflowPunct/>
        <w:bidi w:val="0"/>
        <w:spacing w:after="0" w:afterLines="0" w:line="360" w:lineRule="auto"/>
        <w:ind w:firstLine="420" w:firstLineChars="200"/>
        <w:jc w:val="left"/>
        <w:textAlignment w:val="auto"/>
        <w:rPr>
          <w:rFonts w:hint="eastAsia" w:cs="宋体"/>
          <w:color w:val="auto"/>
          <w:sz w:val="21"/>
          <w:szCs w:val="21"/>
          <w:highlight w:val="none"/>
        </w:rPr>
      </w:pPr>
      <w:r>
        <w:rPr>
          <w:rFonts w:hint="eastAsia" w:cs="宋体"/>
          <w:color w:val="auto"/>
          <w:sz w:val="21"/>
          <w:szCs w:val="21"/>
          <w:highlight w:val="none"/>
        </w:rPr>
        <w:t>本协议自解除共管通知书签署之日起终止，该账户（户名__________，账号____________________）变更预留印鉴为乙方单方印鉴或销户。</w:t>
      </w:r>
    </w:p>
    <w:p w14:paraId="7380B603">
      <w:pPr>
        <w:pageBreakBefore w:val="0"/>
        <w:kinsoku/>
        <w:overflowPunct/>
        <w:bidi w:val="0"/>
        <w:spacing w:after="0" w:afterLines="0" w:line="360" w:lineRule="auto"/>
        <w:ind w:firstLine="420" w:firstLineChars="200"/>
        <w:jc w:val="left"/>
        <w:textAlignment w:val="auto"/>
        <w:rPr>
          <w:rFonts w:hint="eastAsia" w:cs="宋体"/>
          <w:color w:val="auto"/>
          <w:sz w:val="21"/>
          <w:szCs w:val="21"/>
          <w:highlight w:val="none"/>
        </w:rPr>
      </w:pPr>
      <w:r>
        <w:rPr>
          <w:rFonts w:hint="eastAsia" w:cs="宋体"/>
          <w:color w:val="auto"/>
          <w:sz w:val="21"/>
          <w:szCs w:val="21"/>
          <w:highlight w:val="none"/>
        </w:rPr>
        <w:t>四、</w:t>
      </w:r>
      <w:r>
        <w:rPr>
          <w:rFonts w:hint="eastAsia" w:cs="宋体"/>
          <w:color w:val="auto"/>
          <w:sz w:val="21"/>
          <w:szCs w:val="21"/>
          <w:highlight w:val="none"/>
          <w:u w:val="single"/>
        </w:rPr>
        <w:t xml:space="preserve">            </w:t>
      </w:r>
      <w:r>
        <w:rPr>
          <w:rFonts w:hint="eastAsia" w:cs="宋体"/>
          <w:color w:val="auto"/>
          <w:sz w:val="21"/>
          <w:szCs w:val="21"/>
          <w:highlight w:val="none"/>
        </w:rPr>
        <w:t>（发包人指定开户银行）负责根据有关支付结算方法、相关规定对共管账户内的资金进行监管以及依照本协议的规定对共管账户内的资金进行支付。</w:t>
      </w:r>
    </w:p>
    <w:p w14:paraId="2007782A">
      <w:pPr>
        <w:pageBreakBefore w:val="0"/>
        <w:kinsoku/>
        <w:overflowPunct/>
        <w:bidi w:val="0"/>
        <w:spacing w:after="0" w:afterLines="0" w:line="360" w:lineRule="auto"/>
        <w:ind w:firstLine="420" w:firstLineChars="200"/>
        <w:jc w:val="left"/>
        <w:textAlignment w:val="auto"/>
        <w:rPr>
          <w:rFonts w:hint="eastAsia" w:cs="宋体"/>
          <w:color w:val="auto"/>
          <w:sz w:val="21"/>
          <w:szCs w:val="21"/>
          <w:highlight w:val="none"/>
        </w:rPr>
      </w:pPr>
      <w:r>
        <w:rPr>
          <w:rFonts w:hint="eastAsia" w:cs="宋体"/>
          <w:color w:val="auto"/>
          <w:sz w:val="21"/>
          <w:szCs w:val="21"/>
          <w:highlight w:val="none"/>
        </w:rPr>
        <w:t>五、在本协议有效期限内，办理印鉴挂失和印鉴变更等手续必须有甲、乙双方法定代表人或指定委托代理人到场，同时申请书上必须加盖双方的预留印章。</w:t>
      </w:r>
    </w:p>
    <w:p w14:paraId="608E1096">
      <w:pPr>
        <w:pageBreakBefore w:val="0"/>
        <w:numPr>
          <w:ilvl w:val="0"/>
          <w:numId w:val="20"/>
        </w:numPr>
        <w:kinsoku/>
        <w:overflowPunct/>
        <w:bidi w:val="0"/>
        <w:spacing w:after="0" w:afterLines="0" w:line="360" w:lineRule="auto"/>
        <w:ind w:firstLine="420" w:firstLineChars="200"/>
        <w:jc w:val="left"/>
        <w:textAlignment w:val="auto"/>
        <w:rPr>
          <w:rFonts w:hint="eastAsia" w:ascii="宋体" w:hAnsi="宋体" w:eastAsia="宋体" w:cs="宋体"/>
          <w:b/>
          <w:bCs w:val="0"/>
          <w:color w:val="auto"/>
          <w:spacing w:val="0"/>
          <w:w w:val="100"/>
          <w:sz w:val="21"/>
          <w:szCs w:val="21"/>
          <w:highlight w:val="none"/>
        </w:rPr>
      </w:pPr>
      <w:r>
        <w:rPr>
          <w:rFonts w:hint="eastAsia" w:cs="宋体"/>
          <w:color w:val="auto"/>
          <w:sz w:val="21"/>
          <w:szCs w:val="21"/>
          <w:highlight w:val="none"/>
        </w:rPr>
        <w:t>协议经甲乙双方法定代理人或者指定委托代理人签字（或盖个人印章）并加盖公章后生效。协议一式三份，甲、乙和</w:t>
      </w:r>
      <w:r>
        <w:rPr>
          <w:rFonts w:hint="eastAsia" w:cs="宋体"/>
          <w:color w:val="auto"/>
          <w:sz w:val="21"/>
          <w:szCs w:val="21"/>
          <w:highlight w:val="none"/>
          <w:u w:val="single"/>
        </w:rPr>
        <w:t xml:space="preserve">            </w:t>
      </w:r>
      <w:r>
        <w:rPr>
          <w:rFonts w:hint="eastAsia" w:cs="宋体"/>
          <w:color w:val="auto"/>
          <w:sz w:val="21"/>
          <w:szCs w:val="21"/>
          <w:highlight w:val="none"/>
        </w:rPr>
        <w:t xml:space="preserve">（发包人指定开户银行）三方各执一份，均具有同等法律效力。 </w:t>
      </w:r>
    </w:p>
    <w:p w14:paraId="6B11A5F9">
      <w:pPr>
        <w:pageBreakBefore w:val="0"/>
        <w:kinsoku/>
        <w:overflowPunct/>
        <w:bidi w:val="0"/>
        <w:spacing w:after="0" w:afterLines="0" w:line="360" w:lineRule="auto"/>
        <w:textAlignment w:val="auto"/>
        <w:rPr>
          <w:rFonts w:hint="eastAsia" w:ascii="宋体" w:hAnsi="宋体" w:eastAsia="宋体" w:cs="宋体"/>
          <w:b/>
          <w:bCs w:val="0"/>
          <w:color w:val="auto"/>
          <w:spacing w:val="0"/>
          <w:w w:val="100"/>
          <w:sz w:val="21"/>
          <w:szCs w:val="21"/>
          <w:highlight w:val="none"/>
        </w:rPr>
      </w:pPr>
    </w:p>
    <w:bookmarkEnd w:id="743"/>
    <w:bookmarkEnd w:id="744"/>
    <w:bookmarkEnd w:id="745"/>
    <w:bookmarkEnd w:id="746"/>
    <w:bookmarkEnd w:id="747"/>
    <w:bookmarkEnd w:id="748"/>
    <w:bookmarkEnd w:id="749"/>
    <w:p w14:paraId="54532579">
      <w:pPr>
        <w:pStyle w:val="2"/>
        <w:pageBreakBefore w:val="0"/>
        <w:kinsoku/>
        <w:overflowPunct/>
        <w:bidi w:val="0"/>
        <w:spacing w:after="0" w:afterLines="0" w:line="360" w:lineRule="auto"/>
        <w:textAlignment w:val="auto"/>
        <w:rPr>
          <w:rFonts w:hint="eastAsia" w:ascii="宋体" w:hAnsi="宋体" w:eastAsia="宋体" w:cs="宋体"/>
          <w:b/>
          <w:bCs w:val="0"/>
          <w:color w:val="auto"/>
          <w:spacing w:val="0"/>
          <w:w w:val="100"/>
          <w:sz w:val="21"/>
          <w:szCs w:val="21"/>
          <w:highlight w:val="none"/>
        </w:rPr>
      </w:pPr>
    </w:p>
    <w:sectPr>
      <w:headerReference r:id="rId6" w:type="default"/>
      <w:footerReference r:id="rId7" w:type="default"/>
      <w:pgSz w:w="11906" w:h="16838"/>
      <w:pgMar w:top="1440" w:right="1689" w:bottom="1440" w:left="1689" w:header="720" w:footer="998"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4002EFF" w:usb1="C200247B" w:usb2="00000009" w:usb3="00000000" w:csb0="200001FF" w:csb1="00000000"/>
  </w:font>
  <w:font w:name="CG Times">
    <w:altName w:val="Times New Roman"/>
    <w:panose1 w:val="02020603050405020304"/>
    <w:charset w:val="00"/>
    <w:family w:val="roman"/>
    <w:pitch w:val="default"/>
    <w:sig w:usb0="00000007" w:usb1="00000000" w:usb2="00000000" w:usb3="00000000" w:csb0="00000093" w:csb1="00000000"/>
  </w:font>
  <w:font w:name="Times">
    <w:altName w:val="Times New Roman"/>
    <w:panose1 w:val="02020603050405020304"/>
    <w:charset w:val="00"/>
    <w:family w:val="roman"/>
    <w:pitch w:val="default"/>
    <w:sig w:usb0="00000007" w:usb1="00000000" w:usb2="00000000" w:usb3="00000000" w:csb0="00000093" w:csb1="00000000"/>
  </w:font>
  <w:font w:name="仿宋_GB2312">
    <w:altName w:val="仿宋"/>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980BC8">
    <w:pPr>
      <w:pStyle w:val="23"/>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8E74C2">
    <w:pPr>
      <w:pStyle w:val="23"/>
      <w:rPr>
        <w:rFonts w:hint="eastAsia" w:cs="宋体"/>
      </w:rPr>
    </w:pPr>
    <w:r>
      <w:rPr>
        <w:rFonts w:hint="eastAsia" w:cs="宋体"/>
      </w:rPr>
      <w:fldChar w:fldCharType="begin"/>
    </w:r>
    <w:r>
      <w:rPr>
        <w:rFonts w:hint="eastAsia" w:cs="宋体"/>
      </w:rPr>
      <w:instrText xml:space="preserve"> PAGE   \* MERGEFORMAT </w:instrText>
    </w:r>
    <w:r>
      <w:rPr>
        <w:rFonts w:hint="eastAsia" w:cs="宋体"/>
      </w:rPr>
      <w:fldChar w:fldCharType="separate"/>
    </w:r>
    <w:r>
      <w:rPr>
        <w:rFonts w:hint="eastAsia" w:cs="宋体"/>
      </w:rPr>
      <w:t>154</w:t>
    </w:r>
    <w:r>
      <w:rPr>
        <w:rFonts w:hint="eastAsia" w:cs="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7C49FE">
    <w:pPr>
      <w:pStyle w:val="2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F23C60"/>
    <w:multiLevelType w:val="singleLevel"/>
    <w:tmpl w:val="D9F23C60"/>
    <w:lvl w:ilvl="0" w:tentative="0">
      <w:start w:val="6"/>
      <w:numFmt w:val="decimal"/>
      <w:suff w:val="space"/>
      <w:lvlText w:val="%1."/>
      <w:lvlJc w:val="left"/>
    </w:lvl>
  </w:abstractNum>
  <w:abstractNum w:abstractNumId="1">
    <w:nsid w:val="00000006"/>
    <w:multiLevelType w:val="singleLevel"/>
    <w:tmpl w:val="00000006"/>
    <w:lvl w:ilvl="0" w:tentative="0">
      <w:start w:val="1"/>
      <w:numFmt w:val="decimal"/>
      <w:suff w:val="nothing"/>
      <w:lvlText w:val="（%1）"/>
      <w:lvlJc w:val="left"/>
      <w:rPr>
        <w:rFonts w:cs="Times New Roman"/>
      </w:rPr>
    </w:lvl>
  </w:abstractNum>
  <w:abstractNum w:abstractNumId="2">
    <w:nsid w:val="0053208E"/>
    <w:multiLevelType w:val="multilevel"/>
    <w:tmpl w:val="0053208E"/>
    <w:lvl w:ilvl="0" w:tentative="0">
      <w:start w:val="1"/>
      <w:numFmt w:val="decimal"/>
      <w:lvlText w:val="%1."/>
      <w:lvlJc w:val="left"/>
      <w:pPr>
        <w:ind w:left="541" w:hanging="422"/>
      </w:pPr>
      <w:rPr>
        <w:rFonts w:hint="default" w:ascii="宋体" w:hAnsi="宋体" w:eastAsia="宋体" w:cs="宋体"/>
        <w:spacing w:val="-2"/>
        <w:w w:val="100"/>
        <w:sz w:val="26"/>
        <w:szCs w:val="26"/>
        <w:lang w:val="zh-CN" w:eastAsia="zh-CN" w:bidi="zh-CN"/>
      </w:rPr>
    </w:lvl>
    <w:lvl w:ilvl="1" w:tentative="0">
      <w:start w:val="0"/>
      <w:numFmt w:val="bullet"/>
      <w:lvlText w:val="•"/>
      <w:lvlJc w:val="left"/>
      <w:pPr>
        <w:ind w:left="1340" w:hanging="422"/>
      </w:pPr>
      <w:rPr>
        <w:rFonts w:hint="default"/>
        <w:lang w:val="zh-CN" w:eastAsia="zh-CN" w:bidi="zh-CN"/>
      </w:rPr>
    </w:lvl>
    <w:lvl w:ilvl="2" w:tentative="0">
      <w:start w:val="0"/>
      <w:numFmt w:val="bullet"/>
      <w:lvlText w:val="•"/>
      <w:lvlJc w:val="left"/>
      <w:pPr>
        <w:ind w:left="2141" w:hanging="422"/>
      </w:pPr>
      <w:rPr>
        <w:rFonts w:hint="default"/>
        <w:lang w:val="zh-CN" w:eastAsia="zh-CN" w:bidi="zh-CN"/>
      </w:rPr>
    </w:lvl>
    <w:lvl w:ilvl="3" w:tentative="0">
      <w:start w:val="0"/>
      <w:numFmt w:val="bullet"/>
      <w:lvlText w:val="•"/>
      <w:lvlJc w:val="left"/>
      <w:pPr>
        <w:ind w:left="2941" w:hanging="422"/>
      </w:pPr>
      <w:rPr>
        <w:rFonts w:hint="default"/>
        <w:lang w:val="zh-CN" w:eastAsia="zh-CN" w:bidi="zh-CN"/>
      </w:rPr>
    </w:lvl>
    <w:lvl w:ilvl="4" w:tentative="0">
      <w:start w:val="0"/>
      <w:numFmt w:val="bullet"/>
      <w:lvlText w:val="•"/>
      <w:lvlJc w:val="left"/>
      <w:pPr>
        <w:ind w:left="3742" w:hanging="422"/>
      </w:pPr>
      <w:rPr>
        <w:rFonts w:hint="default"/>
        <w:lang w:val="zh-CN" w:eastAsia="zh-CN" w:bidi="zh-CN"/>
      </w:rPr>
    </w:lvl>
    <w:lvl w:ilvl="5" w:tentative="0">
      <w:start w:val="0"/>
      <w:numFmt w:val="bullet"/>
      <w:lvlText w:val="•"/>
      <w:lvlJc w:val="left"/>
      <w:pPr>
        <w:ind w:left="4543" w:hanging="422"/>
      </w:pPr>
      <w:rPr>
        <w:rFonts w:hint="default"/>
        <w:lang w:val="zh-CN" w:eastAsia="zh-CN" w:bidi="zh-CN"/>
      </w:rPr>
    </w:lvl>
    <w:lvl w:ilvl="6" w:tentative="0">
      <w:start w:val="0"/>
      <w:numFmt w:val="bullet"/>
      <w:lvlText w:val="•"/>
      <w:lvlJc w:val="left"/>
      <w:pPr>
        <w:ind w:left="5343" w:hanging="422"/>
      </w:pPr>
      <w:rPr>
        <w:rFonts w:hint="default"/>
        <w:lang w:val="zh-CN" w:eastAsia="zh-CN" w:bidi="zh-CN"/>
      </w:rPr>
    </w:lvl>
    <w:lvl w:ilvl="7" w:tentative="0">
      <w:start w:val="0"/>
      <w:numFmt w:val="bullet"/>
      <w:lvlText w:val="•"/>
      <w:lvlJc w:val="left"/>
      <w:pPr>
        <w:ind w:left="6144" w:hanging="422"/>
      </w:pPr>
      <w:rPr>
        <w:rFonts w:hint="default"/>
        <w:lang w:val="zh-CN" w:eastAsia="zh-CN" w:bidi="zh-CN"/>
      </w:rPr>
    </w:lvl>
    <w:lvl w:ilvl="8" w:tentative="0">
      <w:start w:val="0"/>
      <w:numFmt w:val="bullet"/>
      <w:lvlText w:val="•"/>
      <w:lvlJc w:val="left"/>
      <w:pPr>
        <w:ind w:left="6944" w:hanging="422"/>
      </w:pPr>
      <w:rPr>
        <w:rFonts w:hint="default"/>
        <w:lang w:val="zh-CN" w:eastAsia="zh-CN" w:bidi="zh-CN"/>
      </w:rPr>
    </w:lvl>
  </w:abstractNum>
  <w:abstractNum w:abstractNumId="3">
    <w:nsid w:val="01E967D5"/>
    <w:multiLevelType w:val="multilevel"/>
    <w:tmpl w:val="01E967D5"/>
    <w:lvl w:ilvl="0" w:tentative="0">
      <w:start w:val="1"/>
      <w:numFmt w:val="chineseCountingThousand"/>
      <w:pStyle w:val="103"/>
      <w:lvlText w:val="%1、"/>
      <w:lvlJc w:val="left"/>
      <w:pPr>
        <w:ind w:left="0" w:firstLine="40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CB34DF6"/>
    <w:multiLevelType w:val="multilevel"/>
    <w:tmpl w:val="0CB34DF6"/>
    <w:lvl w:ilvl="0" w:tentative="0">
      <w:start w:val="1"/>
      <w:numFmt w:val="chineseCounting"/>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0D8C6054"/>
    <w:multiLevelType w:val="multilevel"/>
    <w:tmpl w:val="0D8C6054"/>
    <w:lvl w:ilvl="0" w:tentative="0">
      <w:start w:val="1"/>
      <w:numFmt w:val="decimal"/>
      <w:pStyle w:val="95"/>
      <w:lvlText w:val="%1."/>
      <w:lvlJc w:val="left"/>
      <w:pPr>
        <w:ind w:left="78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16"/>
        <w:szCs w:val="0"/>
        <w:u w:val="none" w:color="000000"/>
        <w:shd w:val="clear" w:color="000000" w:fill="000000"/>
        <w:vertAlign w:val="baseline"/>
        <w:lang w:val="zh-CN" w:eastAsia="zh-CN" w:bidi="zh-CN"/>
      </w:rPr>
    </w:lvl>
    <w:lvl w:ilvl="1" w:tentative="0">
      <w:start w:val="1"/>
      <w:numFmt w:val="decimal"/>
      <w:lvlText w:val="%2)"/>
      <w:lvlJc w:val="left"/>
      <w:pPr>
        <w:ind w:left="1200" w:hanging="36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229734FF"/>
    <w:multiLevelType w:val="multilevel"/>
    <w:tmpl w:val="229734FF"/>
    <w:lvl w:ilvl="0" w:tentative="0">
      <w:start w:val="1"/>
      <w:numFmt w:val="decimal"/>
      <w:lvlText w:val="第%1条"/>
      <w:lvlJc w:val="left"/>
      <w:pPr>
        <w:ind w:left="0" w:firstLine="0"/>
      </w:pPr>
    </w:lvl>
    <w:lvl w:ilvl="1" w:tentative="0">
      <w:start w:val="1"/>
      <w:numFmt w:val="decimal"/>
      <w:lvlText w:val="%1.%2"/>
      <w:lvlJc w:val="left"/>
      <w:pPr>
        <w:ind w:left="0" w:firstLine="0"/>
      </w:pPr>
    </w:lvl>
    <w:lvl w:ilvl="2" w:tentative="0">
      <w:start w:val="1"/>
      <w:numFmt w:val="decimal"/>
      <w:lvlText w:val="%1.%2.%3"/>
      <w:lvlJc w:val="left"/>
      <w:pPr>
        <w:ind w:left="0" w:firstLine="0"/>
      </w:pPr>
    </w:lvl>
    <w:lvl w:ilvl="3" w:tentative="0">
      <w:start w:val="1"/>
      <w:numFmt w:val="decimal"/>
      <w:lvlText w:val="%1.%2.%3.%4"/>
      <w:lvlJc w:val="left"/>
      <w:pPr>
        <w:ind w:left="0" w:firstLine="0"/>
      </w:pPr>
    </w:lvl>
    <w:lvl w:ilvl="4" w:tentative="0">
      <w:start w:val="1"/>
      <w:numFmt w:val="decimal"/>
      <w:lvlText w:val="%1.%2.%3.%4.%5"/>
      <w:lvlJc w:val="left"/>
      <w:pPr>
        <w:ind w:left="0" w:firstLine="0"/>
      </w:pPr>
    </w:lvl>
    <w:lvl w:ilvl="5" w:tentative="0">
      <w:start w:val="1"/>
      <w:numFmt w:val="decimal"/>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7">
    <w:nsid w:val="28D9536E"/>
    <w:multiLevelType w:val="multilevel"/>
    <w:tmpl w:val="28D9536E"/>
    <w:lvl w:ilvl="0" w:tentative="0">
      <w:start w:val="1"/>
      <w:numFmt w:val="upperLetter"/>
      <w:pStyle w:val="94"/>
      <w:lvlText w:val="(%1)"/>
      <w:lvlJc w:val="left"/>
      <w:pPr>
        <w:tabs>
          <w:tab w:val="left" w:pos="624"/>
        </w:tabs>
        <w:ind w:left="624" w:hanging="624"/>
      </w:pPr>
    </w:lvl>
    <w:lvl w:ilvl="1" w:tentative="0">
      <w:start w:val="1"/>
      <w:numFmt w:val="upperLetter"/>
      <w:pStyle w:val="73"/>
      <w:lvlText w:val="(%2)"/>
      <w:lvlJc w:val="left"/>
      <w:pPr>
        <w:tabs>
          <w:tab w:val="left" w:pos="1417"/>
        </w:tabs>
        <w:ind w:left="1417" w:hanging="793"/>
      </w:pPr>
    </w:lvl>
    <w:lvl w:ilvl="2" w:tentative="0">
      <w:start w:val="1"/>
      <w:numFmt w:val="upperLetter"/>
      <w:pStyle w:val="100"/>
      <w:lvlText w:val="(%3)"/>
      <w:lvlJc w:val="left"/>
      <w:pPr>
        <w:tabs>
          <w:tab w:val="left" w:pos="1928"/>
        </w:tabs>
        <w:ind w:left="1928" w:hanging="511"/>
      </w:pPr>
    </w:lvl>
    <w:lvl w:ilvl="3" w:tentative="0">
      <w:start w:val="1"/>
      <w:numFmt w:val="lowerLetter"/>
      <w:lvlText w:val="(%4)"/>
      <w:lvlJc w:val="left"/>
      <w:pPr>
        <w:tabs>
          <w:tab w:val="left" w:pos="1928"/>
        </w:tabs>
        <w:ind w:left="1928" w:hanging="511"/>
      </w:pPr>
    </w:lvl>
    <w:lvl w:ilvl="4" w:tentative="0">
      <w:start w:val="1"/>
      <w:numFmt w:val="lowerRoman"/>
      <w:lvlText w:val="(%5)"/>
      <w:lvlJc w:val="left"/>
      <w:pPr>
        <w:tabs>
          <w:tab w:val="left" w:pos="2438"/>
        </w:tabs>
        <w:ind w:left="2438" w:hanging="510"/>
      </w:pPr>
    </w:lvl>
    <w:lvl w:ilvl="5" w:tentative="0">
      <w:start w:val="1"/>
      <w:numFmt w:val="decimal"/>
      <w:lvlText w:val="(%6)"/>
      <w:lvlJc w:val="left"/>
      <w:pPr>
        <w:tabs>
          <w:tab w:val="left" w:pos="2948"/>
        </w:tabs>
        <w:ind w:left="2948" w:hanging="51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decimal"/>
      <w:lvlRestart w:val="0"/>
      <w:lvlText w:val="SCHEDULE %9"/>
      <w:lvlJc w:val="left"/>
      <w:pPr>
        <w:tabs>
          <w:tab w:val="left" w:pos="0"/>
        </w:tabs>
        <w:ind w:left="0" w:firstLine="0"/>
      </w:pPr>
    </w:lvl>
  </w:abstractNum>
  <w:abstractNum w:abstractNumId="8">
    <w:nsid w:val="29930BB8"/>
    <w:multiLevelType w:val="singleLevel"/>
    <w:tmpl w:val="29930BB8"/>
    <w:lvl w:ilvl="0" w:tentative="0">
      <w:start w:val="2"/>
      <w:numFmt w:val="decimal"/>
      <w:suff w:val="space"/>
      <w:lvlText w:val="%1."/>
      <w:lvlJc w:val="left"/>
    </w:lvl>
  </w:abstractNum>
  <w:abstractNum w:abstractNumId="9">
    <w:nsid w:val="301F5202"/>
    <w:multiLevelType w:val="multilevel"/>
    <w:tmpl w:val="301F5202"/>
    <w:lvl w:ilvl="0" w:tentative="0">
      <w:start w:val="1"/>
      <w:numFmt w:val="decimal"/>
      <w:lvlText w:val="第%1条"/>
      <w:lvlJc w:val="left"/>
      <w:pPr>
        <w:ind w:left="851" w:firstLine="0"/>
      </w:pPr>
    </w:lvl>
    <w:lvl w:ilvl="1" w:tentative="0">
      <w:start w:val="1"/>
      <w:numFmt w:val="decimal"/>
      <w:pStyle w:val="93"/>
      <w:lvlText w:val="%1.%2"/>
      <w:lvlJc w:val="left"/>
      <w:pPr>
        <w:ind w:left="991" w:hanging="567"/>
      </w:pPr>
    </w:lvl>
    <w:lvl w:ilvl="2" w:tentative="0">
      <w:start w:val="1"/>
      <w:numFmt w:val="decimal"/>
      <w:pStyle w:val="74"/>
      <w:lvlText w:val="%1.%2.%3"/>
      <w:lvlJc w:val="left"/>
      <w:pPr>
        <w:ind w:left="2835" w:hanging="567"/>
      </w:pPr>
    </w:lvl>
    <w:lvl w:ilvl="3" w:tentative="0">
      <w:start w:val="1"/>
      <w:numFmt w:val="decimal"/>
      <w:lvlText w:val="%1.%2.%3.%4"/>
      <w:lvlJc w:val="left"/>
      <w:pPr>
        <w:ind w:left="1983" w:hanging="708"/>
      </w:pPr>
    </w:lvl>
    <w:lvl w:ilvl="4" w:tentative="0">
      <w:start w:val="1"/>
      <w:numFmt w:val="decimal"/>
      <w:lvlText w:val="%1.%2.%3.%4.%5"/>
      <w:lvlJc w:val="left"/>
      <w:pPr>
        <w:ind w:left="2550" w:hanging="850"/>
      </w:pPr>
    </w:lvl>
    <w:lvl w:ilvl="5" w:tentative="0">
      <w:start w:val="1"/>
      <w:numFmt w:val="decimal"/>
      <w:lvlText w:val="%1.%2.%3.%4.%5.%6"/>
      <w:lvlJc w:val="left"/>
      <w:pPr>
        <w:ind w:left="3259" w:hanging="1134"/>
      </w:pPr>
    </w:lvl>
    <w:lvl w:ilvl="6" w:tentative="0">
      <w:start w:val="1"/>
      <w:numFmt w:val="decimal"/>
      <w:lvlText w:val="%1.%2.%3.%4.%5.%6.%7"/>
      <w:lvlJc w:val="left"/>
      <w:pPr>
        <w:ind w:left="3826" w:hanging="1276"/>
      </w:pPr>
    </w:lvl>
    <w:lvl w:ilvl="7" w:tentative="0">
      <w:start w:val="1"/>
      <w:numFmt w:val="decimal"/>
      <w:lvlText w:val="%1.%2.%3.%4.%5.%6.%7.%8"/>
      <w:lvlJc w:val="left"/>
      <w:pPr>
        <w:ind w:left="4393" w:hanging="1418"/>
      </w:pPr>
    </w:lvl>
    <w:lvl w:ilvl="8" w:tentative="0">
      <w:start w:val="1"/>
      <w:numFmt w:val="decimal"/>
      <w:lvlText w:val="%1.%2.%3.%4.%5.%6.%7.%8.%9"/>
      <w:lvlJc w:val="left"/>
      <w:pPr>
        <w:ind w:left="5101" w:hanging="1700"/>
      </w:pPr>
    </w:lvl>
  </w:abstractNum>
  <w:abstractNum w:abstractNumId="10">
    <w:nsid w:val="3AA800C6"/>
    <w:multiLevelType w:val="multilevel"/>
    <w:tmpl w:val="3AA800C6"/>
    <w:lvl w:ilvl="0" w:tentative="0">
      <w:start w:val="1"/>
      <w:numFmt w:val="decimal"/>
      <w:pStyle w:val="90"/>
      <w:lvlText w:val="第%1条"/>
      <w:lvlJc w:val="left"/>
      <w:pPr>
        <w:ind w:left="0" w:firstLine="0"/>
      </w:pPr>
    </w:lvl>
    <w:lvl w:ilvl="1" w:tentative="0">
      <w:start w:val="1"/>
      <w:numFmt w:val="decimal"/>
      <w:lvlText w:val="%1.%2"/>
      <w:lvlJc w:val="left"/>
      <w:pPr>
        <w:ind w:left="0" w:firstLine="0"/>
      </w:pPr>
    </w:lvl>
    <w:lvl w:ilvl="2" w:tentative="0">
      <w:start w:val="1"/>
      <w:numFmt w:val="decimal"/>
      <w:lvlText w:val="%1.%2.%3"/>
      <w:lvlJc w:val="left"/>
      <w:pPr>
        <w:ind w:left="0" w:firstLine="0"/>
      </w:pPr>
      <w:rPr>
        <w:rFonts w:hint="eastAsia" w:ascii="仿宋_GB2312" w:eastAsia="仿宋_GB2312"/>
      </w:rPr>
    </w:lvl>
    <w:lvl w:ilvl="3" w:tentative="0">
      <w:start w:val="1"/>
      <w:numFmt w:val="decimal"/>
      <w:lvlText w:val="%1.%2.%3.%4"/>
      <w:lvlJc w:val="left"/>
      <w:pPr>
        <w:ind w:left="0" w:firstLine="0"/>
      </w:pPr>
    </w:lvl>
    <w:lvl w:ilvl="4" w:tentative="0">
      <w:start w:val="1"/>
      <w:numFmt w:val="decimal"/>
      <w:lvlText w:val="%1.%2.%3.%4.%5"/>
      <w:lvlJc w:val="left"/>
      <w:pPr>
        <w:ind w:left="0" w:firstLine="0"/>
      </w:pPr>
    </w:lvl>
    <w:lvl w:ilvl="5" w:tentative="0">
      <w:start w:val="1"/>
      <w:numFmt w:val="decimal"/>
      <w:pStyle w:val="81"/>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11">
    <w:nsid w:val="42601A94"/>
    <w:multiLevelType w:val="multilevel"/>
    <w:tmpl w:val="42601A94"/>
    <w:lvl w:ilvl="0" w:tentative="0">
      <w:start w:val="1"/>
      <w:numFmt w:val="chineseCounting"/>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2">
    <w:nsid w:val="543706B6"/>
    <w:multiLevelType w:val="multilevel"/>
    <w:tmpl w:val="543706B6"/>
    <w:lvl w:ilvl="0" w:tentative="0">
      <w:start w:val="6"/>
      <w:numFmt w:val="chineseCounting"/>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3">
    <w:nsid w:val="56A0069D"/>
    <w:multiLevelType w:val="multilevel"/>
    <w:tmpl w:val="56A0069D"/>
    <w:lvl w:ilvl="0" w:tentative="0">
      <w:start w:val="1"/>
      <w:numFmt w:val="chineseCounting"/>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4">
    <w:nsid w:val="61BD6C99"/>
    <w:multiLevelType w:val="multilevel"/>
    <w:tmpl w:val="61BD6C99"/>
    <w:lvl w:ilvl="0" w:tentative="0">
      <w:start w:val="1"/>
      <w:numFmt w:val="lowerRoman"/>
      <w:pStyle w:val="83"/>
      <w:lvlText w:val="(%1)"/>
      <w:lvlJc w:val="left"/>
      <w:pPr>
        <w:ind w:left="1560" w:hanging="7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5">
    <w:nsid w:val="62687BB6"/>
    <w:multiLevelType w:val="multilevel"/>
    <w:tmpl w:val="62687BB6"/>
    <w:lvl w:ilvl="0" w:tentative="0">
      <w:start w:val="1"/>
      <w:numFmt w:val="decimal"/>
      <w:pStyle w:val="80"/>
      <w:lvlText w:val="附件%1"/>
      <w:lvlJc w:val="left"/>
      <w:pPr>
        <w:ind w:left="3681" w:hanging="420"/>
      </w:pPr>
      <w:rPr>
        <w:sz w:val="30"/>
        <w:szCs w:val="3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16">
    <w:nsid w:val="6E87019F"/>
    <w:multiLevelType w:val="multilevel"/>
    <w:tmpl w:val="6E87019F"/>
    <w:lvl w:ilvl="0" w:tentative="0">
      <w:start w:val="1"/>
      <w:numFmt w:val="chineseCountingThousand"/>
      <w:pStyle w:val="89"/>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7">
    <w:nsid w:val="72DF347D"/>
    <w:multiLevelType w:val="multilevel"/>
    <w:tmpl w:val="72DF347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pStyle w:val="96"/>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113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543651A"/>
    <w:multiLevelType w:val="multilevel"/>
    <w:tmpl w:val="7543651A"/>
    <w:lvl w:ilvl="0" w:tentative="0">
      <w:start w:val="1"/>
      <w:numFmt w:val="lowerLetter"/>
      <w:pStyle w:val="78"/>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9"/>
  </w:num>
  <w:num w:numId="3">
    <w:abstractNumId w:val="18"/>
  </w:num>
  <w:num w:numId="4">
    <w:abstractNumId w:val="15"/>
  </w:num>
  <w:num w:numId="5">
    <w:abstractNumId w:val="10"/>
  </w:num>
  <w:num w:numId="6">
    <w:abstractNumId w:val="14"/>
  </w:num>
  <w:num w:numId="7">
    <w:abstractNumId w:val="6"/>
    <w:lvlOverride w:ilvl="0">
      <w:lvl w:ilvl="0" w:tentative="1">
        <w:start w:val="1"/>
        <w:numFmt w:val="decimal"/>
        <w:lvlText w:val="第%1条"/>
        <w:lvlJc w:val="left"/>
        <w:pPr>
          <w:ind w:left="0" w:firstLine="0"/>
        </w:pPr>
      </w:lvl>
    </w:lvlOverride>
    <w:lvlOverride w:ilvl="1">
      <w:lvl w:ilvl="1" w:tentative="1">
        <w:start w:val="1"/>
        <w:numFmt w:val="decimal"/>
        <w:pStyle w:val="104"/>
        <w:lvlText w:val="%1.%2"/>
        <w:lvlJc w:val="left"/>
        <w:pPr>
          <w:ind w:left="1843" w:firstLine="0"/>
        </w:pPr>
      </w:lvl>
    </w:lvlOverride>
    <w:lvlOverride w:ilvl="2">
      <w:lvl w:ilvl="2" w:tentative="1">
        <w:start w:val="1"/>
        <w:numFmt w:val="decimal"/>
        <w:pStyle w:val="88"/>
        <w:lvlText w:val="%1.%2.%3"/>
        <w:lvlJc w:val="left"/>
        <w:pPr>
          <w:ind w:left="2126" w:firstLine="0"/>
        </w:pPr>
      </w:lvl>
    </w:lvlOverride>
    <w:lvlOverride w:ilvl="3">
      <w:lvl w:ilvl="3" w:tentative="1">
        <w:start w:val="1"/>
        <w:numFmt w:val="decimal"/>
        <w:pStyle w:val="99"/>
        <w:lvlText w:val="%1.%2.%3.%4"/>
        <w:lvlJc w:val="left"/>
        <w:pPr>
          <w:ind w:left="710" w:firstLine="0"/>
        </w:pPr>
      </w:lvl>
    </w:lvlOverride>
    <w:lvlOverride w:ilvl="4">
      <w:lvl w:ilvl="4" w:tentative="1">
        <w:start w:val="1"/>
        <w:numFmt w:val="decimal"/>
        <w:lvlText w:val="%1.%2.%3.%4.%5"/>
        <w:lvlJc w:val="left"/>
        <w:pPr>
          <w:ind w:left="0" w:firstLine="0"/>
        </w:pPr>
      </w:lvl>
    </w:lvlOverride>
    <w:lvlOverride w:ilvl="5">
      <w:lvl w:ilvl="5" w:tentative="1">
        <w:start w:val="1"/>
        <w:numFmt w:val="decimal"/>
        <w:lvlText w:val="%1.%2.%3.%4.%5.%6"/>
        <w:lvlJc w:val="left"/>
        <w:pPr>
          <w:ind w:left="0" w:firstLine="0"/>
        </w:pPr>
      </w:lvl>
    </w:lvlOverride>
    <w:lvlOverride w:ilvl="6">
      <w:lvl w:ilvl="6" w:tentative="1">
        <w:start w:val="1"/>
        <w:numFmt w:val="decimal"/>
        <w:lvlText w:val="%1.%2.%3.%4.%5.%6.%7"/>
        <w:lvlJc w:val="left"/>
        <w:pPr>
          <w:ind w:left="0" w:firstLine="0"/>
        </w:pPr>
      </w:lvl>
    </w:lvlOverride>
    <w:lvlOverride w:ilvl="7">
      <w:lvl w:ilvl="7" w:tentative="1">
        <w:start w:val="1"/>
        <w:numFmt w:val="decimal"/>
        <w:lvlText w:val="%1.%2.%3.%4.%5.%6.%7.%8"/>
        <w:lvlJc w:val="left"/>
        <w:pPr>
          <w:ind w:left="0" w:firstLine="0"/>
        </w:pPr>
      </w:lvl>
    </w:lvlOverride>
    <w:lvlOverride w:ilvl="8">
      <w:lvl w:ilvl="8" w:tentative="1">
        <w:start w:val="1"/>
        <w:numFmt w:val="decimal"/>
        <w:lvlText w:val="%1.%2.%3.%4.%5.%6.%7.%8.%9"/>
        <w:lvlJc w:val="left"/>
        <w:pPr>
          <w:ind w:left="0" w:firstLine="0"/>
        </w:pPr>
      </w:lvl>
    </w:lvlOverride>
  </w:num>
  <w:num w:numId="8">
    <w:abstractNumId w:val="16"/>
  </w:num>
  <w:num w:numId="9">
    <w:abstractNumId w:val="5"/>
  </w:num>
  <w:num w:numId="10">
    <w:abstractNumId w:val="17"/>
  </w:num>
  <w:num w:numId="11">
    <w:abstractNumId w:val="6"/>
    <w:lvlOverride w:ilvl="0">
      <w:lvl w:ilvl="0" w:tentative="1">
        <w:start w:val="1"/>
        <w:numFmt w:val="decimal"/>
        <w:lvlText w:val="第%1条"/>
        <w:lvlJc w:val="left"/>
        <w:pPr>
          <w:ind w:left="0" w:firstLine="0"/>
        </w:pPr>
      </w:lvl>
    </w:lvlOverride>
    <w:lvlOverride w:ilvl="1">
      <w:lvl w:ilvl="1" w:tentative="1">
        <w:start w:val="1"/>
        <w:numFmt w:val="decimal"/>
        <w:lvlText w:val="%1.%2"/>
        <w:lvlJc w:val="left"/>
        <w:pPr>
          <w:ind w:left="0" w:firstLine="0"/>
        </w:pPr>
      </w:lvl>
    </w:lvlOverride>
    <w:lvlOverride w:ilvl="2">
      <w:lvl w:ilvl="2" w:tentative="1">
        <w:start w:val="1"/>
        <w:numFmt w:val="decimal"/>
        <w:lvlText w:val="%1.%2.%3"/>
        <w:lvlJc w:val="left"/>
        <w:pPr>
          <w:ind w:left="0" w:firstLine="0"/>
        </w:pPr>
      </w:lvl>
    </w:lvlOverride>
    <w:lvlOverride w:ilvl="3">
      <w:lvl w:ilvl="3" w:tentative="1">
        <w:start w:val="1"/>
        <w:numFmt w:val="decimal"/>
        <w:lvlText w:val="%1.%2.%3.%4"/>
        <w:lvlJc w:val="left"/>
        <w:pPr>
          <w:ind w:left="0" w:firstLine="0"/>
        </w:pPr>
      </w:lvl>
    </w:lvlOverride>
    <w:lvlOverride w:ilvl="4">
      <w:lvl w:ilvl="4" w:tentative="1">
        <w:start w:val="1"/>
        <w:numFmt w:val="decimal"/>
        <w:pStyle w:val="97"/>
        <w:lvlText w:val="(%5)"/>
        <w:lvlJc w:val="left"/>
        <w:pPr>
          <w:ind w:left="310" w:firstLine="400"/>
        </w:pPr>
      </w:lvl>
    </w:lvlOverride>
    <w:lvlOverride w:ilvl="5">
      <w:lvl w:ilvl="5" w:tentative="1">
        <w:start w:val="1"/>
        <w:numFmt w:val="decimal"/>
        <w:lvlText w:val="%6)"/>
        <w:lvlJc w:val="left"/>
        <w:pPr>
          <w:ind w:left="0" w:firstLine="480"/>
        </w:pPr>
      </w:lvl>
    </w:lvlOverride>
    <w:lvlOverride w:ilvl="6">
      <w:lvl w:ilvl="6" w:tentative="1">
        <w:start w:val="1"/>
        <w:numFmt w:val="decimal"/>
        <w:lvlText w:val="%1.%2.%3.%4.%5.%6.%7"/>
        <w:lvlJc w:val="left"/>
        <w:pPr>
          <w:ind w:left="0" w:firstLine="0"/>
        </w:pPr>
      </w:lvl>
    </w:lvlOverride>
    <w:lvlOverride w:ilvl="7">
      <w:lvl w:ilvl="7" w:tentative="1">
        <w:start w:val="1"/>
        <w:numFmt w:val="decimal"/>
        <w:lvlText w:val="%1.%2.%3.%4.%5.%6.%7.%8"/>
        <w:lvlJc w:val="left"/>
        <w:pPr>
          <w:ind w:left="0" w:firstLine="0"/>
        </w:pPr>
      </w:lvl>
    </w:lvlOverride>
    <w:lvlOverride w:ilvl="8">
      <w:lvl w:ilvl="8" w:tentative="1">
        <w:start w:val="1"/>
        <w:numFmt w:val="decimal"/>
        <w:lvlText w:val="%1.%2.%3.%4.%5.%6.%7.%8.%9"/>
        <w:lvlJc w:val="left"/>
        <w:pPr>
          <w:ind w:left="0" w:firstLine="0"/>
        </w:pPr>
      </w:lvl>
    </w:lvlOverride>
  </w:num>
  <w:num w:numId="12">
    <w:abstractNumId w:val="3"/>
  </w:num>
  <w:num w:numId="13">
    <w:abstractNumId w:val="1"/>
  </w:num>
  <w:num w:numId="14">
    <w:abstractNumId w:val="8"/>
  </w:num>
  <w:num w:numId="15">
    <w:abstractNumId w:val="0"/>
  </w:num>
  <w:num w:numId="16">
    <w:abstractNumId w:val="2"/>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displayBackgroundShape w:val="1"/>
  <w:bordersDoNotSurroundHeader w:val="0"/>
  <w:bordersDoNotSurroundFooter w:val="0"/>
  <w:documentProtection w:enforcement="0"/>
  <w:defaultTabStop w:val="420"/>
  <w:hyphenationZone w:val="360"/>
  <w:drawingGridHorizontalSpacing w:val="120"/>
  <w:drawingGridVerticalSpacing w:val="163"/>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5NmMwMWE3YWVlMWZhYzBlNGExMWY3N2FhODNjZTEifQ=="/>
  </w:docVars>
  <w:rsids>
    <w:rsidRoot w:val="00BB761A"/>
    <w:rsid w:val="000008ED"/>
    <w:rsid w:val="0000175A"/>
    <w:rsid w:val="00001FE2"/>
    <w:rsid w:val="0000210C"/>
    <w:rsid w:val="00002ED2"/>
    <w:rsid w:val="0000331A"/>
    <w:rsid w:val="00003350"/>
    <w:rsid w:val="000037F7"/>
    <w:rsid w:val="0000448C"/>
    <w:rsid w:val="000044DB"/>
    <w:rsid w:val="00004A15"/>
    <w:rsid w:val="00004F02"/>
    <w:rsid w:val="0000540C"/>
    <w:rsid w:val="00005BB0"/>
    <w:rsid w:val="00005E7C"/>
    <w:rsid w:val="00005F84"/>
    <w:rsid w:val="0000615D"/>
    <w:rsid w:val="00006265"/>
    <w:rsid w:val="00010067"/>
    <w:rsid w:val="00011B94"/>
    <w:rsid w:val="00011D8A"/>
    <w:rsid w:val="0001206D"/>
    <w:rsid w:val="0001256D"/>
    <w:rsid w:val="00012ABF"/>
    <w:rsid w:val="00014436"/>
    <w:rsid w:val="00014D40"/>
    <w:rsid w:val="00015363"/>
    <w:rsid w:val="00015AC3"/>
    <w:rsid w:val="00015CFF"/>
    <w:rsid w:val="00015FC1"/>
    <w:rsid w:val="00016183"/>
    <w:rsid w:val="00016498"/>
    <w:rsid w:val="0001718A"/>
    <w:rsid w:val="00017225"/>
    <w:rsid w:val="000174A0"/>
    <w:rsid w:val="000174B1"/>
    <w:rsid w:val="00020626"/>
    <w:rsid w:val="00020DA7"/>
    <w:rsid w:val="00020DE7"/>
    <w:rsid w:val="00021AE9"/>
    <w:rsid w:val="00021E9B"/>
    <w:rsid w:val="00022B50"/>
    <w:rsid w:val="00023675"/>
    <w:rsid w:val="00023962"/>
    <w:rsid w:val="000239D0"/>
    <w:rsid w:val="00024601"/>
    <w:rsid w:val="00024725"/>
    <w:rsid w:val="00024862"/>
    <w:rsid w:val="000250C3"/>
    <w:rsid w:val="00027113"/>
    <w:rsid w:val="00027A15"/>
    <w:rsid w:val="00027BD6"/>
    <w:rsid w:val="00030D02"/>
    <w:rsid w:val="00031237"/>
    <w:rsid w:val="000314BB"/>
    <w:rsid w:val="00031DD9"/>
    <w:rsid w:val="000320AD"/>
    <w:rsid w:val="0003241E"/>
    <w:rsid w:val="000325AB"/>
    <w:rsid w:val="00032622"/>
    <w:rsid w:val="00033BBE"/>
    <w:rsid w:val="00033F6D"/>
    <w:rsid w:val="00033FF5"/>
    <w:rsid w:val="000344A8"/>
    <w:rsid w:val="0003452C"/>
    <w:rsid w:val="00036458"/>
    <w:rsid w:val="000365E8"/>
    <w:rsid w:val="00037012"/>
    <w:rsid w:val="00037D23"/>
    <w:rsid w:val="00040385"/>
    <w:rsid w:val="000403EA"/>
    <w:rsid w:val="00040F94"/>
    <w:rsid w:val="00041122"/>
    <w:rsid w:val="000415A5"/>
    <w:rsid w:val="000421CB"/>
    <w:rsid w:val="00042C2E"/>
    <w:rsid w:val="00042FFA"/>
    <w:rsid w:val="000431FD"/>
    <w:rsid w:val="0004336E"/>
    <w:rsid w:val="00043959"/>
    <w:rsid w:val="00043F50"/>
    <w:rsid w:val="0004492B"/>
    <w:rsid w:val="00044F61"/>
    <w:rsid w:val="000455BC"/>
    <w:rsid w:val="00046640"/>
    <w:rsid w:val="000469C6"/>
    <w:rsid w:val="00047623"/>
    <w:rsid w:val="00047BC4"/>
    <w:rsid w:val="00047C24"/>
    <w:rsid w:val="00050126"/>
    <w:rsid w:val="00050273"/>
    <w:rsid w:val="0005050E"/>
    <w:rsid w:val="00050770"/>
    <w:rsid w:val="0005087B"/>
    <w:rsid w:val="00050B41"/>
    <w:rsid w:val="00051F3C"/>
    <w:rsid w:val="00052763"/>
    <w:rsid w:val="000527D2"/>
    <w:rsid w:val="00052B60"/>
    <w:rsid w:val="00052E40"/>
    <w:rsid w:val="00053163"/>
    <w:rsid w:val="00053CCC"/>
    <w:rsid w:val="000541A1"/>
    <w:rsid w:val="00054404"/>
    <w:rsid w:val="00054539"/>
    <w:rsid w:val="000545C0"/>
    <w:rsid w:val="00054A06"/>
    <w:rsid w:val="00054A5F"/>
    <w:rsid w:val="00055A04"/>
    <w:rsid w:val="000563E5"/>
    <w:rsid w:val="000572A3"/>
    <w:rsid w:val="000578B9"/>
    <w:rsid w:val="00057DFA"/>
    <w:rsid w:val="000604FA"/>
    <w:rsid w:val="00061F6E"/>
    <w:rsid w:val="00062388"/>
    <w:rsid w:val="00062DB6"/>
    <w:rsid w:val="0006317A"/>
    <w:rsid w:val="00063C7A"/>
    <w:rsid w:val="000644FD"/>
    <w:rsid w:val="00064953"/>
    <w:rsid w:val="00065796"/>
    <w:rsid w:val="00065F71"/>
    <w:rsid w:val="00066535"/>
    <w:rsid w:val="0007074C"/>
    <w:rsid w:val="000716FA"/>
    <w:rsid w:val="000717A9"/>
    <w:rsid w:val="00071B0F"/>
    <w:rsid w:val="00071DD7"/>
    <w:rsid w:val="00071F37"/>
    <w:rsid w:val="00072BFA"/>
    <w:rsid w:val="00073405"/>
    <w:rsid w:val="000734D1"/>
    <w:rsid w:val="00073B6B"/>
    <w:rsid w:val="00074099"/>
    <w:rsid w:val="00074C93"/>
    <w:rsid w:val="00075EAB"/>
    <w:rsid w:val="000763A2"/>
    <w:rsid w:val="000771D6"/>
    <w:rsid w:val="00077CC0"/>
    <w:rsid w:val="00080257"/>
    <w:rsid w:val="000804F6"/>
    <w:rsid w:val="00080FF8"/>
    <w:rsid w:val="00082BD3"/>
    <w:rsid w:val="00083A85"/>
    <w:rsid w:val="00083BCC"/>
    <w:rsid w:val="00084365"/>
    <w:rsid w:val="00084385"/>
    <w:rsid w:val="00084CC0"/>
    <w:rsid w:val="00085057"/>
    <w:rsid w:val="00085490"/>
    <w:rsid w:val="00085B4B"/>
    <w:rsid w:val="00085DE8"/>
    <w:rsid w:val="000864BC"/>
    <w:rsid w:val="00086505"/>
    <w:rsid w:val="00086766"/>
    <w:rsid w:val="00086ABF"/>
    <w:rsid w:val="00086B70"/>
    <w:rsid w:val="00086F67"/>
    <w:rsid w:val="00090295"/>
    <w:rsid w:val="00090A0E"/>
    <w:rsid w:val="00090B22"/>
    <w:rsid w:val="00090B88"/>
    <w:rsid w:val="00090E47"/>
    <w:rsid w:val="0009187E"/>
    <w:rsid w:val="00091A38"/>
    <w:rsid w:val="00091D27"/>
    <w:rsid w:val="00092A34"/>
    <w:rsid w:val="0009323B"/>
    <w:rsid w:val="000935C3"/>
    <w:rsid w:val="00093B05"/>
    <w:rsid w:val="00093F37"/>
    <w:rsid w:val="00093FC6"/>
    <w:rsid w:val="00094ACE"/>
    <w:rsid w:val="00096643"/>
    <w:rsid w:val="00096ADA"/>
    <w:rsid w:val="0009711C"/>
    <w:rsid w:val="0009723A"/>
    <w:rsid w:val="000974F5"/>
    <w:rsid w:val="000979DF"/>
    <w:rsid w:val="00097F7A"/>
    <w:rsid w:val="000A0B31"/>
    <w:rsid w:val="000A14FE"/>
    <w:rsid w:val="000A1597"/>
    <w:rsid w:val="000A1661"/>
    <w:rsid w:val="000A1DE8"/>
    <w:rsid w:val="000A35E4"/>
    <w:rsid w:val="000A41B0"/>
    <w:rsid w:val="000A4754"/>
    <w:rsid w:val="000A4AD5"/>
    <w:rsid w:val="000A63B0"/>
    <w:rsid w:val="000A65F1"/>
    <w:rsid w:val="000A6A2C"/>
    <w:rsid w:val="000A74F4"/>
    <w:rsid w:val="000A7F33"/>
    <w:rsid w:val="000A7F50"/>
    <w:rsid w:val="000B0882"/>
    <w:rsid w:val="000B106C"/>
    <w:rsid w:val="000B1829"/>
    <w:rsid w:val="000B2290"/>
    <w:rsid w:val="000B3397"/>
    <w:rsid w:val="000B4158"/>
    <w:rsid w:val="000B43B6"/>
    <w:rsid w:val="000B46FF"/>
    <w:rsid w:val="000B5040"/>
    <w:rsid w:val="000B59A2"/>
    <w:rsid w:val="000B694C"/>
    <w:rsid w:val="000B6958"/>
    <w:rsid w:val="000B6CD4"/>
    <w:rsid w:val="000B6D52"/>
    <w:rsid w:val="000B7E1D"/>
    <w:rsid w:val="000C0144"/>
    <w:rsid w:val="000C0745"/>
    <w:rsid w:val="000C11F3"/>
    <w:rsid w:val="000C1568"/>
    <w:rsid w:val="000C1F2D"/>
    <w:rsid w:val="000C304E"/>
    <w:rsid w:val="000C3B05"/>
    <w:rsid w:val="000C3E8E"/>
    <w:rsid w:val="000C4089"/>
    <w:rsid w:val="000C464B"/>
    <w:rsid w:val="000C46FB"/>
    <w:rsid w:val="000C5009"/>
    <w:rsid w:val="000C50B9"/>
    <w:rsid w:val="000C5651"/>
    <w:rsid w:val="000C59A0"/>
    <w:rsid w:val="000C59CC"/>
    <w:rsid w:val="000C5D76"/>
    <w:rsid w:val="000C621B"/>
    <w:rsid w:val="000C633C"/>
    <w:rsid w:val="000C70C2"/>
    <w:rsid w:val="000C7172"/>
    <w:rsid w:val="000D0EE3"/>
    <w:rsid w:val="000D18B7"/>
    <w:rsid w:val="000D1900"/>
    <w:rsid w:val="000D207F"/>
    <w:rsid w:val="000D21E3"/>
    <w:rsid w:val="000D24E1"/>
    <w:rsid w:val="000D333B"/>
    <w:rsid w:val="000D4184"/>
    <w:rsid w:val="000D4711"/>
    <w:rsid w:val="000D4D7D"/>
    <w:rsid w:val="000D4E79"/>
    <w:rsid w:val="000D4EC6"/>
    <w:rsid w:val="000D571E"/>
    <w:rsid w:val="000D5907"/>
    <w:rsid w:val="000D5B3D"/>
    <w:rsid w:val="000D62E6"/>
    <w:rsid w:val="000D775A"/>
    <w:rsid w:val="000D7BBC"/>
    <w:rsid w:val="000D7BC2"/>
    <w:rsid w:val="000D7E6A"/>
    <w:rsid w:val="000E0149"/>
    <w:rsid w:val="000E03AD"/>
    <w:rsid w:val="000E0DAE"/>
    <w:rsid w:val="000E0EED"/>
    <w:rsid w:val="000E1BDB"/>
    <w:rsid w:val="000E2C91"/>
    <w:rsid w:val="000E2DEB"/>
    <w:rsid w:val="000E36A7"/>
    <w:rsid w:val="000E3F65"/>
    <w:rsid w:val="000E46A3"/>
    <w:rsid w:val="000E4B93"/>
    <w:rsid w:val="000E4C5D"/>
    <w:rsid w:val="000E55E9"/>
    <w:rsid w:val="000E59F4"/>
    <w:rsid w:val="000E5D4B"/>
    <w:rsid w:val="000E61D9"/>
    <w:rsid w:val="000E639B"/>
    <w:rsid w:val="000E6F24"/>
    <w:rsid w:val="000E73D5"/>
    <w:rsid w:val="000E760F"/>
    <w:rsid w:val="000E7965"/>
    <w:rsid w:val="000E7E15"/>
    <w:rsid w:val="000F032D"/>
    <w:rsid w:val="000F05DD"/>
    <w:rsid w:val="000F06FF"/>
    <w:rsid w:val="000F09EA"/>
    <w:rsid w:val="000F0BFA"/>
    <w:rsid w:val="000F13BB"/>
    <w:rsid w:val="000F183E"/>
    <w:rsid w:val="000F2393"/>
    <w:rsid w:val="000F24DD"/>
    <w:rsid w:val="000F344C"/>
    <w:rsid w:val="000F3845"/>
    <w:rsid w:val="000F3968"/>
    <w:rsid w:val="000F4B92"/>
    <w:rsid w:val="000F4F59"/>
    <w:rsid w:val="000F535E"/>
    <w:rsid w:val="000F597C"/>
    <w:rsid w:val="000F631C"/>
    <w:rsid w:val="000F664F"/>
    <w:rsid w:val="000F6FA9"/>
    <w:rsid w:val="000F71C5"/>
    <w:rsid w:val="000F7FDB"/>
    <w:rsid w:val="00100161"/>
    <w:rsid w:val="00100A6C"/>
    <w:rsid w:val="00100D5D"/>
    <w:rsid w:val="0010142B"/>
    <w:rsid w:val="00101F88"/>
    <w:rsid w:val="001031AA"/>
    <w:rsid w:val="00103465"/>
    <w:rsid w:val="00103AFE"/>
    <w:rsid w:val="00103E17"/>
    <w:rsid w:val="00104847"/>
    <w:rsid w:val="00107194"/>
    <w:rsid w:val="00107521"/>
    <w:rsid w:val="00110195"/>
    <w:rsid w:val="00110873"/>
    <w:rsid w:val="00110DE1"/>
    <w:rsid w:val="001110AE"/>
    <w:rsid w:val="00111127"/>
    <w:rsid w:val="001115EC"/>
    <w:rsid w:val="00111E99"/>
    <w:rsid w:val="00111FD9"/>
    <w:rsid w:val="001128C0"/>
    <w:rsid w:val="00113483"/>
    <w:rsid w:val="001139A9"/>
    <w:rsid w:val="00113A6D"/>
    <w:rsid w:val="00116814"/>
    <w:rsid w:val="00116A27"/>
    <w:rsid w:val="00117345"/>
    <w:rsid w:val="00117816"/>
    <w:rsid w:val="00117AB9"/>
    <w:rsid w:val="0012053C"/>
    <w:rsid w:val="00120E62"/>
    <w:rsid w:val="00120EF1"/>
    <w:rsid w:val="00121366"/>
    <w:rsid w:val="00122A69"/>
    <w:rsid w:val="00123214"/>
    <w:rsid w:val="00123E94"/>
    <w:rsid w:val="0012425C"/>
    <w:rsid w:val="001248CB"/>
    <w:rsid w:val="00124E70"/>
    <w:rsid w:val="00125116"/>
    <w:rsid w:val="001251BB"/>
    <w:rsid w:val="001257BE"/>
    <w:rsid w:val="00125933"/>
    <w:rsid w:val="00126032"/>
    <w:rsid w:val="00126379"/>
    <w:rsid w:val="00126A45"/>
    <w:rsid w:val="001272D1"/>
    <w:rsid w:val="001278D6"/>
    <w:rsid w:val="00127E8F"/>
    <w:rsid w:val="001303E9"/>
    <w:rsid w:val="00130CD4"/>
    <w:rsid w:val="00130DCE"/>
    <w:rsid w:val="00131E8B"/>
    <w:rsid w:val="00132481"/>
    <w:rsid w:val="001328E0"/>
    <w:rsid w:val="00132B9F"/>
    <w:rsid w:val="001331FB"/>
    <w:rsid w:val="00133A69"/>
    <w:rsid w:val="00134079"/>
    <w:rsid w:val="00134094"/>
    <w:rsid w:val="00136097"/>
    <w:rsid w:val="001362CA"/>
    <w:rsid w:val="00136472"/>
    <w:rsid w:val="001366EC"/>
    <w:rsid w:val="001370BF"/>
    <w:rsid w:val="00137250"/>
    <w:rsid w:val="00137691"/>
    <w:rsid w:val="001376E1"/>
    <w:rsid w:val="00137853"/>
    <w:rsid w:val="0013793E"/>
    <w:rsid w:val="00137BCA"/>
    <w:rsid w:val="00137D96"/>
    <w:rsid w:val="00137F8C"/>
    <w:rsid w:val="00140384"/>
    <w:rsid w:val="001406F6"/>
    <w:rsid w:val="001407A6"/>
    <w:rsid w:val="00140859"/>
    <w:rsid w:val="00140F7C"/>
    <w:rsid w:val="00141617"/>
    <w:rsid w:val="00141910"/>
    <w:rsid w:val="00141B16"/>
    <w:rsid w:val="0014207F"/>
    <w:rsid w:val="00142270"/>
    <w:rsid w:val="00142366"/>
    <w:rsid w:val="00143257"/>
    <w:rsid w:val="0014356B"/>
    <w:rsid w:val="001438A3"/>
    <w:rsid w:val="0014496F"/>
    <w:rsid w:val="001450AE"/>
    <w:rsid w:val="001451BC"/>
    <w:rsid w:val="001456AE"/>
    <w:rsid w:val="001465AC"/>
    <w:rsid w:val="00146E62"/>
    <w:rsid w:val="00147B2D"/>
    <w:rsid w:val="001512F4"/>
    <w:rsid w:val="001519F9"/>
    <w:rsid w:val="00151EB0"/>
    <w:rsid w:val="0015238E"/>
    <w:rsid w:val="00152877"/>
    <w:rsid w:val="001528A9"/>
    <w:rsid w:val="00152AAB"/>
    <w:rsid w:val="00152FCD"/>
    <w:rsid w:val="001530C8"/>
    <w:rsid w:val="001531E0"/>
    <w:rsid w:val="0015361F"/>
    <w:rsid w:val="00153F3B"/>
    <w:rsid w:val="001547D0"/>
    <w:rsid w:val="00154E3C"/>
    <w:rsid w:val="001575A9"/>
    <w:rsid w:val="001575F4"/>
    <w:rsid w:val="00157AE7"/>
    <w:rsid w:val="00160075"/>
    <w:rsid w:val="00160A9E"/>
    <w:rsid w:val="00160CA1"/>
    <w:rsid w:val="0016130F"/>
    <w:rsid w:val="00162A3F"/>
    <w:rsid w:val="00162C92"/>
    <w:rsid w:val="00163363"/>
    <w:rsid w:val="00163627"/>
    <w:rsid w:val="001643C5"/>
    <w:rsid w:val="00164579"/>
    <w:rsid w:val="001651A4"/>
    <w:rsid w:val="00165454"/>
    <w:rsid w:val="00165C83"/>
    <w:rsid w:val="00165EC9"/>
    <w:rsid w:val="00166121"/>
    <w:rsid w:val="001666A7"/>
    <w:rsid w:val="0016679A"/>
    <w:rsid w:val="00167530"/>
    <w:rsid w:val="001675AD"/>
    <w:rsid w:val="00170552"/>
    <w:rsid w:val="00170D71"/>
    <w:rsid w:val="001717B3"/>
    <w:rsid w:val="00171B67"/>
    <w:rsid w:val="00171D0C"/>
    <w:rsid w:val="00171D48"/>
    <w:rsid w:val="00171F3E"/>
    <w:rsid w:val="00172962"/>
    <w:rsid w:val="00172AA5"/>
    <w:rsid w:val="001737D6"/>
    <w:rsid w:val="00173BDD"/>
    <w:rsid w:val="00173FC5"/>
    <w:rsid w:val="00174444"/>
    <w:rsid w:val="00174A25"/>
    <w:rsid w:val="00175577"/>
    <w:rsid w:val="00175DB5"/>
    <w:rsid w:val="0017679D"/>
    <w:rsid w:val="00176F42"/>
    <w:rsid w:val="0017771A"/>
    <w:rsid w:val="00180093"/>
    <w:rsid w:val="00180154"/>
    <w:rsid w:val="00180227"/>
    <w:rsid w:val="00180E46"/>
    <w:rsid w:val="00180EB8"/>
    <w:rsid w:val="001811D1"/>
    <w:rsid w:val="001819AF"/>
    <w:rsid w:val="001819E4"/>
    <w:rsid w:val="0018213A"/>
    <w:rsid w:val="00182254"/>
    <w:rsid w:val="001825A6"/>
    <w:rsid w:val="00183800"/>
    <w:rsid w:val="00183840"/>
    <w:rsid w:val="00183949"/>
    <w:rsid w:val="00184C99"/>
    <w:rsid w:val="00184E32"/>
    <w:rsid w:val="00185800"/>
    <w:rsid w:val="00186257"/>
    <w:rsid w:val="00186437"/>
    <w:rsid w:val="0018672F"/>
    <w:rsid w:val="00186A61"/>
    <w:rsid w:val="001874B8"/>
    <w:rsid w:val="001877C9"/>
    <w:rsid w:val="001878FD"/>
    <w:rsid w:val="0018797D"/>
    <w:rsid w:val="00190C01"/>
    <w:rsid w:val="00190C2D"/>
    <w:rsid w:val="00190F09"/>
    <w:rsid w:val="00191A37"/>
    <w:rsid w:val="0019297D"/>
    <w:rsid w:val="0019374E"/>
    <w:rsid w:val="0019387D"/>
    <w:rsid w:val="00194095"/>
    <w:rsid w:val="00194744"/>
    <w:rsid w:val="00195C62"/>
    <w:rsid w:val="00195F96"/>
    <w:rsid w:val="00196028"/>
    <w:rsid w:val="00197279"/>
    <w:rsid w:val="00197D64"/>
    <w:rsid w:val="001A004F"/>
    <w:rsid w:val="001A03FF"/>
    <w:rsid w:val="001A173C"/>
    <w:rsid w:val="001A1E82"/>
    <w:rsid w:val="001A2646"/>
    <w:rsid w:val="001A2F39"/>
    <w:rsid w:val="001A35E8"/>
    <w:rsid w:val="001A3D59"/>
    <w:rsid w:val="001A3F85"/>
    <w:rsid w:val="001A41E4"/>
    <w:rsid w:val="001A43B7"/>
    <w:rsid w:val="001A48AE"/>
    <w:rsid w:val="001A5397"/>
    <w:rsid w:val="001A6691"/>
    <w:rsid w:val="001A6D50"/>
    <w:rsid w:val="001A7316"/>
    <w:rsid w:val="001A78B3"/>
    <w:rsid w:val="001A79FA"/>
    <w:rsid w:val="001A7A91"/>
    <w:rsid w:val="001A7ACC"/>
    <w:rsid w:val="001B0274"/>
    <w:rsid w:val="001B0FF7"/>
    <w:rsid w:val="001B150A"/>
    <w:rsid w:val="001B174A"/>
    <w:rsid w:val="001B211B"/>
    <w:rsid w:val="001B2131"/>
    <w:rsid w:val="001B23A3"/>
    <w:rsid w:val="001B2CA3"/>
    <w:rsid w:val="001B2E0D"/>
    <w:rsid w:val="001B44AE"/>
    <w:rsid w:val="001B46A7"/>
    <w:rsid w:val="001B4DBE"/>
    <w:rsid w:val="001B4EC7"/>
    <w:rsid w:val="001B515D"/>
    <w:rsid w:val="001B52E5"/>
    <w:rsid w:val="001B5437"/>
    <w:rsid w:val="001B57C9"/>
    <w:rsid w:val="001B57E8"/>
    <w:rsid w:val="001B5E91"/>
    <w:rsid w:val="001B67EC"/>
    <w:rsid w:val="001B6D01"/>
    <w:rsid w:val="001B7CB2"/>
    <w:rsid w:val="001B7CB4"/>
    <w:rsid w:val="001C034D"/>
    <w:rsid w:val="001C143A"/>
    <w:rsid w:val="001C1DEA"/>
    <w:rsid w:val="001C2433"/>
    <w:rsid w:val="001C3234"/>
    <w:rsid w:val="001C4F4A"/>
    <w:rsid w:val="001C5071"/>
    <w:rsid w:val="001C54B6"/>
    <w:rsid w:val="001C57AF"/>
    <w:rsid w:val="001C5FC4"/>
    <w:rsid w:val="001C6165"/>
    <w:rsid w:val="001C6BFD"/>
    <w:rsid w:val="001C70A4"/>
    <w:rsid w:val="001C7270"/>
    <w:rsid w:val="001C7745"/>
    <w:rsid w:val="001C786F"/>
    <w:rsid w:val="001C7FCD"/>
    <w:rsid w:val="001D05B5"/>
    <w:rsid w:val="001D0613"/>
    <w:rsid w:val="001D0A3B"/>
    <w:rsid w:val="001D0BD6"/>
    <w:rsid w:val="001D0E30"/>
    <w:rsid w:val="001D0FAA"/>
    <w:rsid w:val="001D2206"/>
    <w:rsid w:val="001D2430"/>
    <w:rsid w:val="001D2DFC"/>
    <w:rsid w:val="001D2FCE"/>
    <w:rsid w:val="001D3C49"/>
    <w:rsid w:val="001D58D7"/>
    <w:rsid w:val="001D59A9"/>
    <w:rsid w:val="001D5C46"/>
    <w:rsid w:val="001D6BEC"/>
    <w:rsid w:val="001D74B2"/>
    <w:rsid w:val="001E045E"/>
    <w:rsid w:val="001E15AB"/>
    <w:rsid w:val="001E1FB6"/>
    <w:rsid w:val="001E2695"/>
    <w:rsid w:val="001E3CFD"/>
    <w:rsid w:val="001E3F29"/>
    <w:rsid w:val="001E4D4E"/>
    <w:rsid w:val="001E51B8"/>
    <w:rsid w:val="001E5621"/>
    <w:rsid w:val="001E5849"/>
    <w:rsid w:val="001E5B6C"/>
    <w:rsid w:val="001E618E"/>
    <w:rsid w:val="001E688C"/>
    <w:rsid w:val="001E70D7"/>
    <w:rsid w:val="001E7F32"/>
    <w:rsid w:val="001F084E"/>
    <w:rsid w:val="001F160B"/>
    <w:rsid w:val="001F1A31"/>
    <w:rsid w:val="001F20F4"/>
    <w:rsid w:val="001F232A"/>
    <w:rsid w:val="001F2E00"/>
    <w:rsid w:val="001F33FD"/>
    <w:rsid w:val="001F3D6C"/>
    <w:rsid w:val="001F4885"/>
    <w:rsid w:val="001F52F6"/>
    <w:rsid w:val="001F538C"/>
    <w:rsid w:val="001F7B83"/>
    <w:rsid w:val="002005FC"/>
    <w:rsid w:val="00200B8B"/>
    <w:rsid w:val="002012C3"/>
    <w:rsid w:val="00201450"/>
    <w:rsid w:val="00202002"/>
    <w:rsid w:val="002026C1"/>
    <w:rsid w:val="00202C17"/>
    <w:rsid w:val="00202DFA"/>
    <w:rsid w:val="00202EE3"/>
    <w:rsid w:val="00203137"/>
    <w:rsid w:val="00203425"/>
    <w:rsid w:val="00203CCE"/>
    <w:rsid w:val="002059DB"/>
    <w:rsid w:val="00205E49"/>
    <w:rsid w:val="002061F7"/>
    <w:rsid w:val="002075FB"/>
    <w:rsid w:val="00207A13"/>
    <w:rsid w:val="00207E55"/>
    <w:rsid w:val="00207EF8"/>
    <w:rsid w:val="002100B9"/>
    <w:rsid w:val="002124FD"/>
    <w:rsid w:val="00213F48"/>
    <w:rsid w:val="00214B77"/>
    <w:rsid w:val="00214DED"/>
    <w:rsid w:val="00215010"/>
    <w:rsid w:val="00216574"/>
    <w:rsid w:val="0021680E"/>
    <w:rsid w:val="00216A6A"/>
    <w:rsid w:val="00216E07"/>
    <w:rsid w:val="002171AE"/>
    <w:rsid w:val="00217698"/>
    <w:rsid w:val="002176FE"/>
    <w:rsid w:val="00220451"/>
    <w:rsid w:val="002211A5"/>
    <w:rsid w:val="00221831"/>
    <w:rsid w:val="0022183E"/>
    <w:rsid w:val="00221885"/>
    <w:rsid w:val="00222F38"/>
    <w:rsid w:val="00223A55"/>
    <w:rsid w:val="0022459A"/>
    <w:rsid w:val="00224B20"/>
    <w:rsid w:val="00225902"/>
    <w:rsid w:val="00225A28"/>
    <w:rsid w:val="00225A78"/>
    <w:rsid w:val="00225DC4"/>
    <w:rsid w:val="00226127"/>
    <w:rsid w:val="00226470"/>
    <w:rsid w:val="00226689"/>
    <w:rsid w:val="002268D9"/>
    <w:rsid w:val="00226CCF"/>
    <w:rsid w:val="00227A33"/>
    <w:rsid w:val="00227D93"/>
    <w:rsid w:val="00230115"/>
    <w:rsid w:val="0023051C"/>
    <w:rsid w:val="002305E3"/>
    <w:rsid w:val="00231E61"/>
    <w:rsid w:val="00232BCD"/>
    <w:rsid w:val="00233EEF"/>
    <w:rsid w:val="0023439C"/>
    <w:rsid w:val="002357D4"/>
    <w:rsid w:val="00235BAE"/>
    <w:rsid w:val="00235CA3"/>
    <w:rsid w:val="00236442"/>
    <w:rsid w:val="00236A1D"/>
    <w:rsid w:val="0023714F"/>
    <w:rsid w:val="0023757B"/>
    <w:rsid w:val="00237CB9"/>
    <w:rsid w:val="00240B42"/>
    <w:rsid w:val="00240BFB"/>
    <w:rsid w:val="00241293"/>
    <w:rsid w:val="0024160C"/>
    <w:rsid w:val="0024178A"/>
    <w:rsid w:val="00241BE5"/>
    <w:rsid w:val="00242A86"/>
    <w:rsid w:val="00242B43"/>
    <w:rsid w:val="00242D35"/>
    <w:rsid w:val="00244BBF"/>
    <w:rsid w:val="00244FAD"/>
    <w:rsid w:val="00244FCF"/>
    <w:rsid w:val="0024542A"/>
    <w:rsid w:val="00250056"/>
    <w:rsid w:val="00250991"/>
    <w:rsid w:val="00250CD1"/>
    <w:rsid w:val="00250E7C"/>
    <w:rsid w:val="00251202"/>
    <w:rsid w:val="00251374"/>
    <w:rsid w:val="00251818"/>
    <w:rsid w:val="00251FD6"/>
    <w:rsid w:val="0025268B"/>
    <w:rsid w:val="00252AB0"/>
    <w:rsid w:val="00252B68"/>
    <w:rsid w:val="00252C9C"/>
    <w:rsid w:val="00253036"/>
    <w:rsid w:val="0025341A"/>
    <w:rsid w:val="00253AA1"/>
    <w:rsid w:val="00253F5C"/>
    <w:rsid w:val="002542D5"/>
    <w:rsid w:val="00254641"/>
    <w:rsid w:val="00254733"/>
    <w:rsid w:val="00254BBE"/>
    <w:rsid w:val="00254FCF"/>
    <w:rsid w:val="00255885"/>
    <w:rsid w:val="00255B13"/>
    <w:rsid w:val="00255EAA"/>
    <w:rsid w:val="00256E0D"/>
    <w:rsid w:val="00257EA8"/>
    <w:rsid w:val="00257F12"/>
    <w:rsid w:val="00260180"/>
    <w:rsid w:val="00260500"/>
    <w:rsid w:val="00261349"/>
    <w:rsid w:val="0026134F"/>
    <w:rsid w:val="002615A0"/>
    <w:rsid w:val="00261671"/>
    <w:rsid w:val="00261790"/>
    <w:rsid w:val="00262ED7"/>
    <w:rsid w:val="002630C5"/>
    <w:rsid w:val="002639E4"/>
    <w:rsid w:val="00263C74"/>
    <w:rsid w:val="002644DA"/>
    <w:rsid w:val="00264537"/>
    <w:rsid w:val="0026477A"/>
    <w:rsid w:val="0026486A"/>
    <w:rsid w:val="00264F68"/>
    <w:rsid w:val="002652A9"/>
    <w:rsid w:val="0026690E"/>
    <w:rsid w:val="00266B91"/>
    <w:rsid w:val="00266BA0"/>
    <w:rsid w:val="002670C7"/>
    <w:rsid w:val="00267811"/>
    <w:rsid w:val="00267AA7"/>
    <w:rsid w:val="002704ED"/>
    <w:rsid w:val="002714E8"/>
    <w:rsid w:val="00272A76"/>
    <w:rsid w:val="002732A3"/>
    <w:rsid w:val="00273CE6"/>
    <w:rsid w:val="00274784"/>
    <w:rsid w:val="00274D81"/>
    <w:rsid w:val="00275A95"/>
    <w:rsid w:val="00275D0A"/>
    <w:rsid w:val="00275E3B"/>
    <w:rsid w:val="002765E5"/>
    <w:rsid w:val="0027689A"/>
    <w:rsid w:val="0027750B"/>
    <w:rsid w:val="00277E8B"/>
    <w:rsid w:val="002804EB"/>
    <w:rsid w:val="002821EE"/>
    <w:rsid w:val="00282BAD"/>
    <w:rsid w:val="00283BBC"/>
    <w:rsid w:val="00283EBD"/>
    <w:rsid w:val="002847CD"/>
    <w:rsid w:val="002849FA"/>
    <w:rsid w:val="00284C5F"/>
    <w:rsid w:val="00284F46"/>
    <w:rsid w:val="002852B4"/>
    <w:rsid w:val="00285974"/>
    <w:rsid w:val="00285E5A"/>
    <w:rsid w:val="002868B4"/>
    <w:rsid w:val="00287308"/>
    <w:rsid w:val="00287E11"/>
    <w:rsid w:val="0029025C"/>
    <w:rsid w:val="00290A2F"/>
    <w:rsid w:val="00290E8E"/>
    <w:rsid w:val="00293441"/>
    <w:rsid w:val="002939BF"/>
    <w:rsid w:val="00293D35"/>
    <w:rsid w:val="00293EE1"/>
    <w:rsid w:val="00294B3D"/>
    <w:rsid w:val="00294D0F"/>
    <w:rsid w:val="00295362"/>
    <w:rsid w:val="00295C5A"/>
    <w:rsid w:val="002965B0"/>
    <w:rsid w:val="00296BE0"/>
    <w:rsid w:val="00296D08"/>
    <w:rsid w:val="00297C4E"/>
    <w:rsid w:val="002A063A"/>
    <w:rsid w:val="002A1219"/>
    <w:rsid w:val="002A14AE"/>
    <w:rsid w:val="002A15E6"/>
    <w:rsid w:val="002A2097"/>
    <w:rsid w:val="002A330E"/>
    <w:rsid w:val="002A3900"/>
    <w:rsid w:val="002A4016"/>
    <w:rsid w:val="002A4054"/>
    <w:rsid w:val="002A456F"/>
    <w:rsid w:val="002A5095"/>
    <w:rsid w:val="002A50F9"/>
    <w:rsid w:val="002A5261"/>
    <w:rsid w:val="002A5AB6"/>
    <w:rsid w:val="002A6973"/>
    <w:rsid w:val="002B0E8D"/>
    <w:rsid w:val="002B0F2F"/>
    <w:rsid w:val="002B0FB0"/>
    <w:rsid w:val="002B11AE"/>
    <w:rsid w:val="002B12CB"/>
    <w:rsid w:val="002B15B6"/>
    <w:rsid w:val="002B2753"/>
    <w:rsid w:val="002B3076"/>
    <w:rsid w:val="002B3A55"/>
    <w:rsid w:val="002B3A84"/>
    <w:rsid w:val="002B40B7"/>
    <w:rsid w:val="002B45B0"/>
    <w:rsid w:val="002B46E8"/>
    <w:rsid w:val="002B4BC9"/>
    <w:rsid w:val="002B4CBA"/>
    <w:rsid w:val="002B52CA"/>
    <w:rsid w:val="002B6C29"/>
    <w:rsid w:val="002B6F3F"/>
    <w:rsid w:val="002B77B9"/>
    <w:rsid w:val="002C0BC1"/>
    <w:rsid w:val="002C0D0A"/>
    <w:rsid w:val="002C1275"/>
    <w:rsid w:val="002C1910"/>
    <w:rsid w:val="002C203A"/>
    <w:rsid w:val="002C20F6"/>
    <w:rsid w:val="002C230E"/>
    <w:rsid w:val="002C2FFE"/>
    <w:rsid w:val="002C3631"/>
    <w:rsid w:val="002C402E"/>
    <w:rsid w:val="002C42F5"/>
    <w:rsid w:val="002C49B6"/>
    <w:rsid w:val="002C5DA1"/>
    <w:rsid w:val="002C5F8F"/>
    <w:rsid w:val="002C6647"/>
    <w:rsid w:val="002C6D04"/>
    <w:rsid w:val="002C7035"/>
    <w:rsid w:val="002C7367"/>
    <w:rsid w:val="002C76AD"/>
    <w:rsid w:val="002C7948"/>
    <w:rsid w:val="002D0A1A"/>
    <w:rsid w:val="002D0AA3"/>
    <w:rsid w:val="002D17D4"/>
    <w:rsid w:val="002D1827"/>
    <w:rsid w:val="002D1AEA"/>
    <w:rsid w:val="002D24A6"/>
    <w:rsid w:val="002D2690"/>
    <w:rsid w:val="002D2716"/>
    <w:rsid w:val="002D291B"/>
    <w:rsid w:val="002D3484"/>
    <w:rsid w:val="002D4055"/>
    <w:rsid w:val="002D40F5"/>
    <w:rsid w:val="002D4613"/>
    <w:rsid w:val="002D5C50"/>
    <w:rsid w:val="002D5F5B"/>
    <w:rsid w:val="002D6D37"/>
    <w:rsid w:val="002D6FDA"/>
    <w:rsid w:val="002D73E1"/>
    <w:rsid w:val="002D79FC"/>
    <w:rsid w:val="002E1561"/>
    <w:rsid w:val="002E1646"/>
    <w:rsid w:val="002E1ED1"/>
    <w:rsid w:val="002E2E33"/>
    <w:rsid w:val="002E3C10"/>
    <w:rsid w:val="002E4AEF"/>
    <w:rsid w:val="002E61E0"/>
    <w:rsid w:val="002E6602"/>
    <w:rsid w:val="002E6D9E"/>
    <w:rsid w:val="002E784C"/>
    <w:rsid w:val="002F03BF"/>
    <w:rsid w:val="002F05D5"/>
    <w:rsid w:val="002F14F8"/>
    <w:rsid w:val="002F1768"/>
    <w:rsid w:val="002F1D40"/>
    <w:rsid w:val="002F2A4B"/>
    <w:rsid w:val="002F2E4B"/>
    <w:rsid w:val="002F4477"/>
    <w:rsid w:val="002F4B2A"/>
    <w:rsid w:val="002F6380"/>
    <w:rsid w:val="002F646E"/>
    <w:rsid w:val="002F64B3"/>
    <w:rsid w:val="002F64EA"/>
    <w:rsid w:val="002F69EE"/>
    <w:rsid w:val="002F741B"/>
    <w:rsid w:val="002F7857"/>
    <w:rsid w:val="003007E5"/>
    <w:rsid w:val="00300FB1"/>
    <w:rsid w:val="0030135A"/>
    <w:rsid w:val="003013BB"/>
    <w:rsid w:val="00301601"/>
    <w:rsid w:val="00301C7D"/>
    <w:rsid w:val="00301F3E"/>
    <w:rsid w:val="003020AD"/>
    <w:rsid w:val="00302541"/>
    <w:rsid w:val="00302703"/>
    <w:rsid w:val="003029A7"/>
    <w:rsid w:val="00302E13"/>
    <w:rsid w:val="00302F65"/>
    <w:rsid w:val="003032F8"/>
    <w:rsid w:val="00303706"/>
    <w:rsid w:val="00303795"/>
    <w:rsid w:val="003037E9"/>
    <w:rsid w:val="003068C2"/>
    <w:rsid w:val="003070BF"/>
    <w:rsid w:val="00307809"/>
    <w:rsid w:val="003103F1"/>
    <w:rsid w:val="00310B67"/>
    <w:rsid w:val="0031163B"/>
    <w:rsid w:val="00312955"/>
    <w:rsid w:val="0031376F"/>
    <w:rsid w:val="0031399D"/>
    <w:rsid w:val="003139A5"/>
    <w:rsid w:val="00315CCC"/>
    <w:rsid w:val="00316557"/>
    <w:rsid w:val="00316619"/>
    <w:rsid w:val="0031774C"/>
    <w:rsid w:val="00317927"/>
    <w:rsid w:val="00321F3C"/>
    <w:rsid w:val="003227B6"/>
    <w:rsid w:val="00322990"/>
    <w:rsid w:val="00322DCB"/>
    <w:rsid w:val="00323F11"/>
    <w:rsid w:val="0032428C"/>
    <w:rsid w:val="003246A4"/>
    <w:rsid w:val="00324960"/>
    <w:rsid w:val="00324B60"/>
    <w:rsid w:val="00324BB2"/>
    <w:rsid w:val="00324D1D"/>
    <w:rsid w:val="0032513C"/>
    <w:rsid w:val="003251FC"/>
    <w:rsid w:val="003258C4"/>
    <w:rsid w:val="00326054"/>
    <w:rsid w:val="003261E2"/>
    <w:rsid w:val="003264C3"/>
    <w:rsid w:val="00326B14"/>
    <w:rsid w:val="00326F3A"/>
    <w:rsid w:val="00330768"/>
    <w:rsid w:val="003309C1"/>
    <w:rsid w:val="003312F7"/>
    <w:rsid w:val="0033183F"/>
    <w:rsid w:val="00332D35"/>
    <w:rsid w:val="003334AA"/>
    <w:rsid w:val="003334F4"/>
    <w:rsid w:val="003338E4"/>
    <w:rsid w:val="00334678"/>
    <w:rsid w:val="00334ADD"/>
    <w:rsid w:val="003350EC"/>
    <w:rsid w:val="00335500"/>
    <w:rsid w:val="00335A83"/>
    <w:rsid w:val="00336C99"/>
    <w:rsid w:val="003371FC"/>
    <w:rsid w:val="003378E5"/>
    <w:rsid w:val="003409C8"/>
    <w:rsid w:val="00341D18"/>
    <w:rsid w:val="00341FB1"/>
    <w:rsid w:val="003421B6"/>
    <w:rsid w:val="00342A3F"/>
    <w:rsid w:val="00342C03"/>
    <w:rsid w:val="00342F77"/>
    <w:rsid w:val="00343031"/>
    <w:rsid w:val="00343EC4"/>
    <w:rsid w:val="003447BD"/>
    <w:rsid w:val="00344D43"/>
    <w:rsid w:val="0034653C"/>
    <w:rsid w:val="003465B8"/>
    <w:rsid w:val="00346807"/>
    <w:rsid w:val="0034743B"/>
    <w:rsid w:val="0035065B"/>
    <w:rsid w:val="003506A0"/>
    <w:rsid w:val="00350DC9"/>
    <w:rsid w:val="00350E54"/>
    <w:rsid w:val="00350F88"/>
    <w:rsid w:val="00351185"/>
    <w:rsid w:val="0035219D"/>
    <w:rsid w:val="00352230"/>
    <w:rsid w:val="0035281D"/>
    <w:rsid w:val="003531C5"/>
    <w:rsid w:val="003542F6"/>
    <w:rsid w:val="003545DE"/>
    <w:rsid w:val="00354842"/>
    <w:rsid w:val="00355C19"/>
    <w:rsid w:val="00356C38"/>
    <w:rsid w:val="00356D39"/>
    <w:rsid w:val="00357FD7"/>
    <w:rsid w:val="00360755"/>
    <w:rsid w:val="00360ACE"/>
    <w:rsid w:val="00361CC8"/>
    <w:rsid w:val="00361CDF"/>
    <w:rsid w:val="00361DE2"/>
    <w:rsid w:val="00362249"/>
    <w:rsid w:val="003625FD"/>
    <w:rsid w:val="003627D8"/>
    <w:rsid w:val="00362A69"/>
    <w:rsid w:val="003631BD"/>
    <w:rsid w:val="00363BEC"/>
    <w:rsid w:val="003642B8"/>
    <w:rsid w:val="003647EF"/>
    <w:rsid w:val="00364B4D"/>
    <w:rsid w:val="00364BEC"/>
    <w:rsid w:val="00365672"/>
    <w:rsid w:val="0036579A"/>
    <w:rsid w:val="00365A31"/>
    <w:rsid w:val="00365C41"/>
    <w:rsid w:val="00366365"/>
    <w:rsid w:val="00366915"/>
    <w:rsid w:val="003675AF"/>
    <w:rsid w:val="003676AE"/>
    <w:rsid w:val="00367ADE"/>
    <w:rsid w:val="00371CEC"/>
    <w:rsid w:val="003733D4"/>
    <w:rsid w:val="00373D20"/>
    <w:rsid w:val="003742FC"/>
    <w:rsid w:val="0037472C"/>
    <w:rsid w:val="00374F3B"/>
    <w:rsid w:val="00376191"/>
    <w:rsid w:val="003765B8"/>
    <w:rsid w:val="00376BFA"/>
    <w:rsid w:val="00377C1D"/>
    <w:rsid w:val="00377F88"/>
    <w:rsid w:val="0038057C"/>
    <w:rsid w:val="00380E6E"/>
    <w:rsid w:val="00380F92"/>
    <w:rsid w:val="00381AF5"/>
    <w:rsid w:val="003820D1"/>
    <w:rsid w:val="003826BB"/>
    <w:rsid w:val="003836AD"/>
    <w:rsid w:val="00384D25"/>
    <w:rsid w:val="00384FBB"/>
    <w:rsid w:val="003859F7"/>
    <w:rsid w:val="00385D48"/>
    <w:rsid w:val="0038607F"/>
    <w:rsid w:val="00386B0D"/>
    <w:rsid w:val="00386BC8"/>
    <w:rsid w:val="00386C65"/>
    <w:rsid w:val="0038714C"/>
    <w:rsid w:val="00390906"/>
    <w:rsid w:val="0039123D"/>
    <w:rsid w:val="003915BC"/>
    <w:rsid w:val="00391CC1"/>
    <w:rsid w:val="00392142"/>
    <w:rsid w:val="00392B69"/>
    <w:rsid w:val="00392E18"/>
    <w:rsid w:val="003933C1"/>
    <w:rsid w:val="003936A8"/>
    <w:rsid w:val="00393BB0"/>
    <w:rsid w:val="00394084"/>
    <w:rsid w:val="0039417C"/>
    <w:rsid w:val="00395056"/>
    <w:rsid w:val="0039597A"/>
    <w:rsid w:val="00396211"/>
    <w:rsid w:val="00396651"/>
    <w:rsid w:val="003973C9"/>
    <w:rsid w:val="00397A31"/>
    <w:rsid w:val="003A0B9E"/>
    <w:rsid w:val="003A12D8"/>
    <w:rsid w:val="003A2269"/>
    <w:rsid w:val="003A2315"/>
    <w:rsid w:val="003A2B6A"/>
    <w:rsid w:val="003A2E69"/>
    <w:rsid w:val="003A2E7D"/>
    <w:rsid w:val="003A3659"/>
    <w:rsid w:val="003A4469"/>
    <w:rsid w:val="003A4AF6"/>
    <w:rsid w:val="003A6D75"/>
    <w:rsid w:val="003A769B"/>
    <w:rsid w:val="003A7BE2"/>
    <w:rsid w:val="003B0213"/>
    <w:rsid w:val="003B053F"/>
    <w:rsid w:val="003B1620"/>
    <w:rsid w:val="003B20CB"/>
    <w:rsid w:val="003B4BD7"/>
    <w:rsid w:val="003B5EBB"/>
    <w:rsid w:val="003B617A"/>
    <w:rsid w:val="003B75A3"/>
    <w:rsid w:val="003B7F88"/>
    <w:rsid w:val="003C0EC9"/>
    <w:rsid w:val="003C0F29"/>
    <w:rsid w:val="003C0F77"/>
    <w:rsid w:val="003C2B9B"/>
    <w:rsid w:val="003C302B"/>
    <w:rsid w:val="003C4E4F"/>
    <w:rsid w:val="003C59B9"/>
    <w:rsid w:val="003C5B8B"/>
    <w:rsid w:val="003C5F06"/>
    <w:rsid w:val="003C604B"/>
    <w:rsid w:val="003C65A2"/>
    <w:rsid w:val="003C6C7B"/>
    <w:rsid w:val="003C6D06"/>
    <w:rsid w:val="003C6D37"/>
    <w:rsid w:val="003C6FEB"/>
    <w:rsid w:val="003C7AD8"/>
    <w:rsid w:val="003C7BF5"/>
    <w:rsid w:val="003C7D6F"/>
    <w:rsid w:val="003D0967"/>
    <w:rsid w:val="003D13AA"/>
    <w:rsid w:val="003D20DD"/>
    <w:rsid w:val="003D223F"/>
    <w:rsid w:val="003D2506"/>
    <w:rsid w:val="003D2786"/>
    <w:rsid w:val="003D294B"/>
    <w:rsid w:val="003D2CED"/>
    <w:rsid w:val="003D2F38"/>
    <w:rsid w:val="003D46EA"/>
    <w:rsid w:val="003D4B13"/>
    <w:rsid w:val="003D54CA"/>
    <w:rsid w:val="003D5A97"/>
    <w:rsid w:val="003D5C44"/>
    <w:rsid w:val="003D6214"/>
    <w:rsid w:val="003D6E27"/>
    <w:rsid w:val="003D7F0B"/>
    <w:rsid w:val="003E0494"/>
    <w:rsid w:val="003E0957"/>
    <w:rsid w:val="003E09E3"/>
    <w:rsid w:val="003E0ACC"/>
    <w:rsid w:val="003E16F5"/>
    <w:rsid w:val="003E18DE"/>
    <w:rsid w:val="003E1A15"/>
    <w:rsid w:val="003E2AA8"/>
    <w:rsid w:val="003E2FDA"/>
    <w:rsid w:val="003E3240"/>
    <w:rsid w:val="003E3C1E"/>
    <w:rsid w:val="003E409D"/>
    <w:rsid w:val="003E44D0"/>
    <w:rsid w:val="003E4617"/>
    <w:rsid w:val="003E4D80"/>
    <w:rsid w:val="003E6444"/>
    <w:rsid w:val="003E663D"/>
    <w:rsid w:val="003F01E1"/>
    <w:rsid w:val="003F07A1"/>
    <w:rsid w:val="003F22FD"/>
    <w:rsid w:val="003F2E23"/>
    <w:rsid w:val="003F3C01"/>
    <w:rsid w:val="003F41D4"/>
    <w:rsid w:val="003F4A8C"/>
    <w:rsid w:val="003F4AE4"/>
    <w:rsid w:val="003F525A"/>
    <w:rsid w:val="003F52EA"/>
    <w:rsid w:val="003F6D23"/>
    <w:rsid w:val="003F7255"/>
    <w:rsid w:val="003F77C8"/>
    <w:rsid w:val="003F78D0"/>
    <w:rsid w:val="003F7E77"/>
    <w:rsid w:val="004015D2"/>
    <w:rsid w:val="004040B4"/>
    <w:rsid w:val="00404118"/>
    <w:rsid w:val="00404F19"/>
    <w:rsid w:val="004057A8"/>
    <w:rsid w:val="004061C8"/>
    <w:rsid w:val="004066E8"/>
    <w:rsid w:val="0041007C"/>
    <w:rsid w:val="004109CD"/>
    <w:rsid w:val="00410DC5"/>
    <w:rsid w:val="00410FEA"/>
    <w:rsid w:val="00411905"/>
    <w:rsid w:val="00411B74"/>
    <w:rsid w:val="00411D0F"/>
    <w:rsid w:val="004124B2"/>
    <w:rsid w:val="00412528"/>
    <w:rsid w:val="004128A3"/>
    <w:rsid w:val="00413229"/>
    <w:rsid w:val="00413BC2"/>
    <w:rsid w:val="00413DF9"/>
    <w:rsid w:val="00414216"/>
    <w:rsid w:val="00414409"/>
    <w:rsid w:val="004154B7"/>
    <w:rsid w:val="00415F0C"/>
    <w:rsid w:val="0041626C"/>
    <w:rsid w:val="0041653D"/>
    <w:rsid w:val="004168F7"/>
    <w:rsid w:val="00417424"/>
    <w:rsid w:val="00417A97"/>
    <w:rsid w:val="00421668"/>
    <w:rsid w:val="004223EA"/>
    <w:rsid w:val="00422754"/>
    <w:rsid w:val="00422D19"/>
    <w:rsid w:val="0042304A"/>
    <w:rsid w:val="004232EA"/>
    <w:rsid w:val="00423440"/>
    <w:rsid w:val="0042368E"/>
    <w:rsid w:val="004236BC"/>
    <w:rsid w:val="00423FBF"/>
    <w:rsid w:val="00424CF2"/>
    <w:rsid w:val="0042589E"/>
    <w:rsid w:val="00426D9C"/>
    <w:rsid w:val="00427387"/>
    <w:rsid w:val="004307C5"/>
    <w:rsid w:val="00430E9E"/>
    <w:rsid w:val="00430F3C"/>
    <w:rsid w:val="004316AE"/>
    <w:rsid w:val="004318EC"/>
    <w:rsid w:val="00431D82"/>
    <w:rsid w:val="004340A1"/>
    <w:rsid w:val="00434565"/>
    <w:rsid w:val="00434B7A"/>
    <w:rsid w:val="00434D11"/>
    <w:rsid w:val="0043541E"/>
    <w:rsid w:val="004354F6"/>
    <w:rsid w:val="00435832"/>
    <w:rsid w:val="004361A7"/>
    <w:rsid w:val="004361FB"/>
    <w:rsid w:val="004362A1"/>
    <w:rsid w:val="00436716"/>
    <w:rsid w:val="00437359"/>
    <w:rsid w:val="00441F1D"/>
    <w:rsid w:val="00444CBE"/>
    <w:rsid w:val="0044521A"/>
    <w:rsid w:val="00445969"/>
    <w:rsid w:val="00445A9E"/>
    <w:rsid w:val="00445DEA"/>
    <w:rsid w:val="004462A6"/>
    <w:rsid w:val="00446414"/>
    <w:rsid w:val="00446AF8"/>
    <w:rsid w:val="00447222"/>
    <w:rsid w:val="00447C0B"/>
    <w:rsid w:val="00447C1E"/>
    <w:rsid w:val="00450AB6"/>
    <w:rsid w:val="0045110D"/>
    <w:rsid w:val="00451860"/>
    <w:rsid w:val="004524E0"/>
    <w:rsid w:val="004526E2"/>
    <w:rsid w:val="00452DB5"/>
    <w:rsid w:val="004542E1"/>
    <w:rsid w:val="00454FB6"/>
    <w:rsid w:val="004553C7"/>
    <w:rsid w:val="0045548E"/>
    <w:rsid w:val="0045549E"/>
    <w:rsid w:val="00456343"/>
    <w:rsid w:val="00456547"/>
    <w:rsid w:val="00456557"/>
    <w:rsid w:val="00456791"/>
    <w:rsid w:val="0045735C"/>
    <w:rsid w:val="00457891"/>
    <w:rsid w:val="00457E80"/>
    <w:rsid w:val="004608AB"/>
    <w:rsid w:val="004611CE"/>
    <w:rsid w:val="00461243"/>
    <w:rsid w:val="004619F9"/>
    <w:rsid w:val="00462784"/>
    <w:rsid w:val="004628E1"/>
    <w:rsid w:val="00462CFB"/>
    <w:rsid w:val="00462E89"/>
    <w:rsid w:val="00463809"/>
    <w:rsid w:val="0046382F"/>
    <w:rsid w:val="00463906"/>
    <w:rsid w:val="00463940"/>
    <w:rsid w:val="00463B39"/>
    <w:rsid w:val="004640D3"/>
    <w:rsid w:val="00464D1B"/>
    <w:rsid w:val="004654AA"/>
    <w:rsid w:val="004658C0"/>
    <w:rsid w:val="00465DCE"/>
    <w:rsid w:val="0046663C"/>
    <w:rsid w:val="00470D54"/>
    <w:rsid w:val="0047132B"/>
    <w:rsid w:val="00471692"/>
    <w:rsid w:val="00471800"/>
    <w:rsid w:val="00471B76"/>
    <w:rsid w:val="00471CBC"/>
    <w:rsid w:val="00471E09"/>
    <w:rsid w:val="00472A6B"/>
    <w:rsid w:val="004744D4"/>
    <w:rsid w:val="004745E1"/>
    <w:rsid w:val="00474A4A"/>
    <w:rsid w:val="00475261"/>
    <w:rsid w:val="00475824"/>
    <w:rsid w:val="00475F26"/>
    <w:rsid w:val="004767BA"/>
    <w:rsid w:val="00480E2E"/>
    <w:rsid w:val="00481224"/>
    <w:rsid w:val="004817BB"/>
    <w:rsid w:val="004822C9"/>
    <w:rsid w:val="00482896"/>
    <w:rsid w:val="00483239"/>
    <w:rsid w:val="0048339A"/>
    <w:rsid w:val="004838EF"/>
    <w:rsid w:val="0048399D"/>
    <w:rsid w:val="00483AB7"/>
    <w:rsid w:val="004851EC"/>
    <w:rsid w:val="004857EA"/>
    <w:rsid w:val="00486C25"/>
    <w:rsid w:val="00486EAA"/>
    <w:rsid w:val="00486FBF"/>
    <w:rsid w:val="004874B2"/>
    <w:rsid w:val="0049058D"/>
    <w:rsid w:val="00490F08"/>
    <w:rsid w:val="004910A4"/>
    <w:rsid w:val="004911D1"/>
    <w:rsid w:val="00491663"/>
    <w:rsid w:val="00492916"/>
    <w:rsid w:val="00492D79"/>
    <w:rsid w:val="004937EB"/>
    <w:rsid w:val="00493A05"/>
    <w:rsid w:val="004950A7"/>
    <w:rsid w:val="004952D1"/>
    <w:rsid w:val="00495354"/>
    <w:rsid w:val="00495A54"/>
    <w:rsid w:val="00495CA0"/>
    <w:rsid w:val="0049604A"/>
    <w:rsid w:val="004960E8"/>
    <w:rsid w:val="00496154"/>
    <w:rsid w:val="00496471"/>
    <w:rsid w:val="00496653"/>
    <w:rsid w:val="004966E8"/>
    <w:rsid w:val="00497BB4"/>
    <w:rsid w:val="004A0A11"/>
    <w:rsid w:val="004A0A9B"/>
    <w:rsid w:val="004A0D74"/>
    <w:rsid w:val="004A14ED"/>
    <w:rsid w:val="004A161D"/>
    <w:rsid w:val="004A1831"/>
    <w:rsid w:val="004A1B22"/>
    <w:rsid w:val="004A1E97"/>
    <w:rsid w:val="004A1EDA"/>
    <w:rsid w:val="004A34A5"/>
    <w:rsid w:val="004A34F6"/>
    <w:rsid w:val="004A37EC"/>
    <w:rsid w:val="004A4FB8"/>
    <w:rsid w:val="004A5368"/>
    <w:rsid w:val="004A5429"/>
    <w:rsid w:val="004A5AE3"/>
    <w:rsid w:val="004A62C1"/>
    <w:rsid w:val="004A651C"/>
    <w:rsid w:val="004A7667"/>
    <w:rsid w:val="004A767B"/>
    <w:rsid w:val="004A79EF"/>
    <w:rsid w:val="004B08F8"/>
    <w:rsid w:val="004B09D3"/>
    <w:rsid w:val="004B0B5A"/>
    <w:rsid w:val="004B0C6C"/>
    <w:rsid w:val="004B0D0A"/>
    <w:rsid w:val="004B0D62"/>
    <w:rsid w:val="004B3E55"/>
    <w:rsid w:val="004B41C8"/>
    <w:rsid w:val="004B423F"/>
    <w:rsid w:val="004B42A8"/>
    <w:rsid w:val="004B4568"/>
    <w:rsid w:val="004B4951"/>
    <w:rsid w:val="004B53D0"/>
    <w:rsid w:val="004B558F"/>
    <w:rsid w:val="004B593C"/>
    <w:rsid w:val="004B5D39"/>
    <w:rsid w:val="004B70EF"/>
    <w:rsid w:val="004B732B"/>
    <w:rsid w:val="004B73CF"/>
    <w:rsid w:val="004B7413"/>
    <w:rsid w:val="004B76DC"/>
    <w:rsid w:val="004C037B"/>
    <w:rsid w:val="004C08D8"/>
    <w:rsid w:val="004C0BAC"/>
    <w:rsid w:val="004C145A"/>
    <w:rsid w:val="004C17E6"/>
    <w:rsid w:val="004C214E"/>
    <w:rsid w:val="004C255D"/>
    <w:rsid w:val="004C318A"/>
    <w:rsid w:val="004C441C"/>
    <w:rsid w:val="004C47D0"/>
    <w:rsid w:val="004C5802"/>
    <w:rsid w:val="004C6146"/>
    <w:rsid w:val="004C69A5"/>
    <w:rsid w:val="004C6A32"/>
    <w:rsid w:val="004C700B"/>
    <w:rsid w:val="004C7490"/>
    <w:rsid w:val="004C7CD4"/>
    <w:rsid w:val="004D054F"/>
    <w:rsid w:val="004D058F"/>
    <w:rsid w:val="004D096E"/>
    <w:rsid w:val="004D1478"/>
    <w:rsid w:val="004D1573"/>
    <w:rsid w:val="004D1BF3"/>
    <w:rsid w:val="004D29C7"/>
    <w:rsid w:val="004D2AAC"/>
    <w:rsid w:val="004D3004"/>
    <w:rsid w:val="004D31D0"/>
    <w:rsid w:val="004D35F4"/>
    <w:rsid w:val="004D3BB5"/>
    <w:rsid w:val="004D3F6B"/>
    <w:rsid w:val="004D3F89"/>
    <w:rsid w:val="004D4EC6"/>
    <w:rsid w:val="004D5C00"/>
    <w:rsid w:val="004D5EEE"/>
    <w:rsid w:val="004D5FDD"/>
    <w:rsid w:val="004D620F"/>
    <w:rsid w:val="004D6C6A"/>
    <w:rsid w:val="004D6FEA"/>
    <w:rsid w:val="004E03B2"/>
    <w:rsid w:val="004E18B5"/>
    <w:rsid w:val="004E19B0"/>
    <w:rsid w:val="004E22DF"/>
    <w:rsid w:val="004E24DC"/>
    <w:rsid w:val="004E2818"/>
    <w:rsid w:val="004E37B8"/>
    <w:rsid w:val="004E4E01"/>
    <w:rsid w:val="004E513C"/>
    <w:rsid w:val="004E530B"/>
    <w:rsid w:val="004E5B7A"/>
    <w:rsid w:val="004E5B92"/>
    <w:rsid w:val="004E5BA9"/>
    <w:rsid w:val="004E5CA3"/>
    <w:rsid w:val="004E638B"/>
    <w:rsid w:val="004E6469"/>
    <w:rsid w:val="004E64D6"/>
    <w:rsid w:val="004E6A57"/>
    <w:rsid w:val="004E73AF"/>
    <w:rsid w:val="004E7F1C"/>
    <w:rsid w:val="004F144A"/>
    <w:rsid w:val="004F1A15"/>
    <w:rsid w:val="004F1C56"/>
    <w:rsid w:val="004F1EB6"/>
    <w:rsid w:val="004F31B8"/>
    <w:rsid w:val="004F3531"/>
    <w:rsid w:val="004F432F"/>
    <w:rsid w:val="004F4775"/>
    <w:rsid w:val="004F4866"/>
    <w:rsid w:val="004F4AA7"/>
    <w:rsid w:val="004F4EB2"/>
    <w:rsid w:val="004F5D79"/>
    <w:rsid w:val="004F681D"/>
    <w:rsid w:val="004F7123"/>
    <w:rsid w:val="004F7211"/>
    <w:rsid w:val="004F746E"/>
    <w:rsid w:val="004F7D80"/>
    <w:rsid w:val="0050132B"/>
    <w:rsid w:val="00502276"/>
    <w:rsid w:val="00503494"/>
    <w:rsid w:val="005036CD"/>
    <w:rsid w:val="00503766"/>
    <w:rsid w:val="005048FD"/>
    <w:rsid w:val="00504985"/>
    <w:rsid w:val="00504D95"/>
    <w:rsid w:val="00506126"/>
    <w:rsid w:val="0050777D"/>
    <w:rsid w:val="005100AD"/>
    <w:rsid w:val="0051041B"/>
    <w:rsid w:val="005108CC"/>
    <w:rsid w:val="00511E17"/>
    <w:rsid w:val="00512A9E"/>
    <w:rsid w:val="00512FA2"/>
    <w:rsid w:val="00513728"/>
    <w:rsid w:val="00514286"/>
    <w:rsid w:val="005144E9"/>
    <w:rsid w:val="0051532D"/>
    <w:rsid w:val="00516054"/>
    <w:rsid w:val="005160BB"/>
    <w:rsid w:val="005169E6"/>
    <w:rsid w:val="005176F4"/>
    <w:rsid w:val="00517BA2"/>
    <w:rsid w:val="0052015B"/>
    <w:rsid w:val="00520839"/>
    <w:rsid w:val="005208EA"/>
    <w:rsid w:val="00520BFF"/>
    <w:rsid w:val="00520E41"/>
    <w:rsid w:val="00520EAA"/>
    <w:rsid w:val="00523007"/>
    <w:rsid w:val="005237C0"/>
    <w:rsid w:val="00524519"/>
    <w:rsid w:val="00524572"/>
    <w:rsid w:val="005250BC"/>
    <w:rsid w:val="0052557D"/>
    <w:rsid w:val="00525857"/>
    <w:rsid w:val="00525A65"/>
    <w:rsid w:val="00526496"/>
    <w:rsid w:val="00526A55"/>
    <w:rsid w:val="00527843"/>
    <w:rsid w:val="00527BA3"/>
    <w:rsid w:val="005306F3"/>
    <w:rsid w:val="005313EF"/>
    <w:rsid w:val="00532527"/>
    <w:rsid w:val="00532885"/>
    <w:rsid w:val="00532900"/>
    <w:rsid w:val="00532C77"/>
    <w:rsid w:val="00532DD0"/>
    <w:rsid w:val="0053324A"/>
    <w:rsid w:val="005336EB"/>
    <w:rsid w:val="00534E07"/>
    <w:rsid w:val="005359BC"/>
    <w:rsid w:val="00535B30"/>
    <w:rsid w:val="00540D43"/>
    <w:rsid w:val="005412C3"/>
    <w:rsid w:val="00541C9A"/>
    <w:rsid w:val="0054260F"/>
    <w:rsid w:val="00542702"/>
    <w:rsid w:val="00542C3D"/>
    <w:rsid w:val="00542C61"/>
    <w:rsid w:val="0054451A"/>
    <w:rsid w:val="0054474B"/>
    <w:rsid w:val="00544C92"/>
    <w:rsid w:val="00545C5D"/>
    <w:rsid w:val="005462CB"/>
    <w:rsid w:val="00546471"/>
    <w:rsid w:val="005477DB"/>
    <w:rsid w:val="00547E10"/>
    <w:rsid w:val="0055017C"/>
    <w:rsid w:val="00550EBD"/>
    <w:rsid w:val="00551432"/>
    <w:rsid w:val="005524D9"/>
    <w:rsid w:val="00552EA3"/>
    <w:rsid w:val="0055361A"/>
    <w:rsid w:val="00553ED9"/>
    <w:rsid w:val="00553FD7"/>
    <w:rsid w:val="00554094"/>
    <w:rsid w:val="005540C9"/>
    <w:rsid w:val="00554306"/>
    <w:rsid w:val="00554E41"/>
    <w:rsid w:val="00555954"/>
    <w:rsid w:val="00556051"/>
    <w:rsid w:val="005564D4"/>
    <w:rsid w:val="0055718B"/>
    <w:rsid w:val="00557858"/>
    <w:rsid w:val="0055788E"/>
    <w:rsid w:val="00557B54"/>
    <w:rsid w:val="00557CDC"/>
    <w:rsid w:val="00557F97"/>
    <w:rsid w:val="00560899"/>
    <w:rsid w:val="00560CC0"/>
    <w:rsid w:val="00560CF7"/>
    <w:rsid w:val="00560F60"/>
    <w:rsid w:val="0056156A"/>
    <w:rsid w:val="0056227D"/>
    <w:rsid w:val="00562B9E"/>
    <w:rsid w:val="00562F64"/>
    <w:rsid w:val="005636A9"/>
    <w:rsid w:val="005638AA"/>
    <w:rsid w:val="00563C6B"/>
    <w:rsid w:val="00564827"/>
    <w:rsid w:val="00564ADF"/>
    <w:rsid w:val="00564EA7"/>
    <w:rsid w:val="00564F7B"/>
    <w:rsid w:val="005653FE"/>
    <w:rsid w:val="00565E15"/>
    <w:rsid w:val="00565F1F"/>
    <w:rsid w:val="005679F8"/>
    <w:rsid w:val="00567C0E"/>
    <w:rsid w:val="00570787"/>
    <w:rsid w:val="005708AA"/>
    <w:rsid w:val="00571839"/>
    <w:rsid w:val="00571840"/>
    <w:rsid w:val="00572789"/>
    <w:rsid w:val="005727B1"/>
    <w:rsid w:val="0057287D"/>
    <w:rsid w:val="00572C44"/>
    <w:rsid w:val="0057323B"/>
    <w:rsid w:val="005740AB"/>
    <w:rsid w:val="00574313"/>
    <w:rsid w:val="005746D2"/>
    <w:rsid w:val="0057590A"/>
    <w:rsid w:val="00576337"/>
    <w:rsid w:val="00576D50"/>
    <w:rsid w:val="00577BF4"/>
    <w:rsid w:val="00577EC8"/>
    <w:rsid w:val="00580F30"/>
    <w:rsid w:val="00581051"/>
    <w:rsid w:val="005815D1"/>
    <w:rsid w:val="005822CD"/>
    <w:rsid w:val="00582BAC"/>
    <w:rsid w:val="0058434F"/>
    <w:rsid w:val="005844D5"/>
    <w:rsid w:val="005848ED"/>
    <w:rsid w:val="00584B07"/>
    <w:rsid w:val="00585160"/>
    <w:rsid w:val="00585844"/>
    <w:rsid w:val="00586A7D"/>
    <w:rsid w:val="00590071"/>
    <w:rsid w:val="00590223"/>
    <w:rsid w:val="005902FF"/>
    <w:rsid w:val="00590653"/>
    <w:rsid w:val="00590CF0"/>
    <w:rsid w:val="00591729"/>
    <w:rsid w:val="00591A22"/>
    <w:rsid w:val="00592610"/>
    <w:rsid w:val="00593091"/>
    <w:rsid w:val="005930A4"/>
    <w:rsid w:val="005934F4"/>
    <w:rsid w:val="00593AF7"/>
    <w:rsid w:val="00594C9D"/>
    <w:rsid w:val="00595ADF"/>
    <w:rsid w:val="00595E0E"/>
    <w:rsid w:val="00596DD5"/>
    <w:rsid w:val="00596E45"/>
    <w:rsid w:val="00596E93"/>
    <w:rsid w:val="00597237"/>
    <w:rsid w:val="00597F34"/>
    <w:rsid w:val="005A07B9"/>
    <w:rsid w:val="005A099A"/>
    <w:rsid w:val="005A0C2C"/>
    <w:rsid w:val="005A0C9A"/>
    <w:rsid w:val="005A0F79"/>
    <w:rsid w:val="005A0FD9"/>
    <w:rsid w:val="005A11C6"/>
    <w:rsid w:val="005A176E"/>
    <w:rsid w:val="005A1ECD"/>
    <w:rsid w:val="005A2DA0"/>
    <w:rsid w:val="005A3612"/>
    <w:rsid w:val="005A37C7"/>
    <w:rsid w:val="005A3840"/>
    <w:rsid w:val="005A4637"/>
    <w:rsid w:val="005A4877"/>
    <w:rsid w:val="005A5225"/>
    <w:rsid w:val="005A5469"/>
    <w:rsid w:val="005A5B1E"/>
    <w:rsid w:val="005A5CB5"/>
    <w:rsid w:val="005A6296"/>
    <w:rsid w:val="005A6B6C"/>
    <w:rsid w:val="005A6FDD"/>
    <w:rsid w:val="005B0550"/>
    <w:rsid w:val="005B05EC"/>
    <w:rsid w:val="005B0EC7"/>
    <w:rsid w:val="005B1748"/>
    <w:rsid w:val="005B2AF0"/>
    <w:rsid w:val="005B375F"/>
    <w:rsid w:val="005B4258"/>
    <w:rsid w:val="005B46B5"/>
    <w:rsid w:val="005B4EA5"/>
    <w:rsid w:val="005B6016"/>
    <w:rsid w:val="005B6596"/>
    <w:rsid w:val="005B6955"/>
    <w:rsid w:val="005B6E07"/>
    <w:rsid w:val="005B733A"/>
    <w:rsid w:val="005B7BEC"/>
    <w:rsid w:val="005C048D"/>
    <w:rsid w:val="005C05D6"/>
    <w:rsid w:val="005C06A2"/>
    <w:rsid w:val="005C075D"/>
    <w:rsid w:val="005C15A9"/>
    <w:rsid w:val="005C1B11"/>
    <w:rsid w:val="005C1E5A"/>
    <w:rsid w:val="005C2754"/>
    <w:rsid w:val="005C2FFE"/>
    <w:rsid w:val="005C33CA"/>
    <w:rsid w:val="005C53BE"/>
    <w:rsid w:val="005C6B63"/>
    <w:rsid w:val="005C7069"/>
    <w:rsid w:val="005C761E"/>
    <w:rsid w:val="005C7B30"/>
    <w:rsid w:val="005D0486"/>
    <w:rsid w:val="005D081A"/>
    <w:rsid w:val="005D1530"/>
    <w:rsid w:val="005D261B"/>
    <w:rsid w:val="005D28E0"/>
    <w:rsid w:val="005D2A58"/>
    <w:rsid w:val="005D33C0"/>
    <w:rsid w:val="005D3AD0"/>
    <w:rsid w:val="005D3D65"/>
    <w:rsid w:val="005D3DEB"/>
    <w:rsid w:val="005D58D8"/>
    <w:rsid w:val="005D5CAD"/>
    <w:rsid w:val="005D5E94"/>
    <w:rsid w:val="005D6876"/>
    <w:rsid w:val="005D6E45"/>
    <w:rsid w:val="005D6EDA"/>
    <w:rsid w:val="005D7041"/>
    <w:rsid w:val="005D7632"/>
    <w:rsid w:val="005D79C6"/>
    <w:rsid w:val="005D7CF8"/>
    <w:rsid w:val="005E0446"/>
    <w:rsid w:val="005E10C4"/>
    <w:rsid w:val="005E1B1D"/>
    <w:rsid w:val="005E23CF"/>
    <w:rsid w:val="005E278C"/>
    <w:rsid w:val="005E2BB1"/>
    <w:rsid w:val="005E3055"/>
    <w:rsid w:val="005E3280"/>
    <w:rsid w:val="005E33D5"/>
    <w:rsid w:val="005E3723"/>
    <w:rsid w:val="005E390E"/>
    <w:rsid w:val="005E432C"/>
    <w:rsid w:val="005E4CB1"/>
    <w:rsid w:val="005E4D82"/>
    <w:rsid w:val="005E505B"/>
    <w:rsid w:val="005E5516"/>
    <w:rsid w:val="005E5771"/>
    <w:rsid w:val="005E64D3"/>
    <w:rsid w:val="005E6FFA"/>
    <w:rsid w:val="005E7A52"/>
    <w:rsid w:val="005E7ED9"/>
    <w:rsid w:val="005F058D"/>
    <w:rsid w:val="005F11F5"/>
    <w:rsid w:val="005F1F7E"/>
    <w:rsid w:val="005F2784"/>
    <w:rsid w:val="005F27F0"/>
    <w:rsid w:val="005F29E7"/>
    <w:rsid w:val="005F3706"/>
    <w:rsid w:val="005F3A50"/>
    <w:rsid w:val="005F4891"/>
    <w:rsid w:val="005F4BED"/>
    <w:rsid w:val="005F65C5"/>
    <w:rsid w:val="005F7136"/>
    <w:rsid w:val="005F766D"/>
    <w:rsid w:val="0060053E"/>
    <w:rsid w:val="00600616"/>
    <w:rsid w:val="0060077C"/>
    <w:rsid w:val="00601190"/>
    <w:rsid w:val="00601487"/>
    <w:rsid w:val="006014AF"/>
    <w:rsid w:val="0060216D"/>
    <w:rsid w:val="00602887"/>
    <w:rsid w:val="00602CEA"/>
    <w:rsid w:val="006036FD"/>
    <w:rsid w:val="0060409F"/>
    <w:rsid w:val="006044E6"/>
    <w:rsid w:val="00605B2F"/>
    <w:rsid w:val="00606405"/>
    <w:rsid w:val="00606414"/>
    <w:rsid w:val="00607246"/>
    <w:rsid w:val="00607432"/>
    <w:rsid w:val="00607A99"/>
    <w:rsid w:val="00607AD9"/>
    <w:rsid w:val="006105A7"/>
    <w:rsid w:val="006117D2"/>
    <w:rsid w:val="00611AE6"/>
    <w:rsid w:val="00611D63"/>
    <w:rsid w:val="00611DB9"/>
    <w:rsid w:val="00612613"/>
    <w:rsid w:val="00612BE5"/>
    <w:rsid w:val="00613469"/>
    <w:rsid w:val="00613664"/>
    <w:rsid w:val="00614602"/>
    <w:rsid w:val="00614638"/>
    <w:rsid w:val="00614D73"/>
    <w:rsid w:val="00614EA5"/>
    <w:rsid w:val="006154AC"/>
    <w:rsid w:val="00616BF7"/>
    <w:rsid w:val="00616E14"/>
    <w:rsid w:val="00616EC5"/>
    <w:rsid w:val="00617360"/>
    <w:rsid w:val="006179C4"/>
    <w:rsid w:val="00617A51"/>
    <w:rsid w:val="00620973"/>
    <w:rsid w:val="00620FFA"/>
    <w:rsid w:val="006228D5"/>
    <w:rsid w:val="006233E8"/>
    <w:rsid w:val="00623F8E"/>
    <w:rsid w:val="006250D2"/>
    <w:rsid w:val="00625746"/>
    <w:rsid w:val="00625A70"/>
    <w:rsid w:val="006260A5"/>
    <w:rsid w:val="00626386"/>
    <w:rsid w:val="00627E2A"/>
    <w:rsid w:val="00630536"/>
    <w:rsid w:val="006314F2"/>
    <w:rsid w:val="0063159C"/>
    <w:rsid w:val="00631FC9"/>
    <w:rsid w:val="006320DF"/>
    <w:rsid w:val="00633CED"/>
    <w:rsid w:val="00634242"/>
    <w:rsid w:val="00634820"/>
    <w:rsid w:val="006350DE"/>
    <w:rsid w:val="00636B51"/>
    <w:rsid w:val="006370C6"/>
    <w:rsid w:val="00640148"/>
    <w:rsid w:val="00640154"/>
    <w:rsid w:val="0064062F"/>
    <w:rsid w:val="0064108B"/>
    <w:rsid w:val="0064170D"/>
    <w:rsid w:val="006418DF"/>
    <w:rsid w:val="00641E1D"/>
    <w:rsid w:val="00642A89"/>
    <w:rsid w:val="00642BE9"/>
    <w:rsid w:val="00642CAD"/>
    <w:rsid w:val="00642CD3"/>
    <w:rsid w:val="00642E27"/>
    <w:rsid w:val="00643C90"/>
    <w:rsid w:val="006447AF"/>
    <w:rsid w:val="0064496E"/>
    <w:rsid w:val="006449E4"/>
    <w:rsid w:val="00645773"/>
    <w:rsid w:val="006457F9"/>
    <w:rsid w:val="00646412"/>
    <w:rsid w:val="00647BEB"/>
    <w:rsid w:val="00647F71"/>
    <w:rsid w:val="006504E0"/>
    <w:rsid w:val="0065054D"/>
    <w:rsid w:val="006505CA"/>
    <w:rsid w:val="00650E60"/>
    <w:rsid w:val="00651CCB"/>
    <w:rsid w:val="00652039"/>
    <w:rsid w:val="00652DE0"/>
    <w:rsid w:val="00653298"/>
    <w:rsid w:val="006539CB"/>
    <w:rsid w:val="00653AE5"/>
    <w:rsid w:val="00653D72"/>
    <w:rsid w:val="00653ED1"/>
    <w:rsid w:val="00654013"/>
    <w:rsid w:val="006551A4"/>
    <w:rsid w:val="00655916"/>
    <w:rsid w:val="00655D31"/>
    <w:rsid w:val="00656131"/>
    <w:rsid w:val="0065617E"/>
    <w:rsid w:val="00656CD2"/>
    <w:rsid w:val="00656E22"/>
    <w:rsid w:val="00657245"/>
    <w:rsid w:val="006575BC"/>
    <w:rsid w:val="006600BF"/>
    <w:rsid w:val="006611D3"/>
    <w:rsid w:val="00661E06"/>
    <w:rsid w:val="006623A1"/>
    <w:rsid w:val="00662E96"/>
    <w:rsid w:val="00663152"/>
    <w:rsid w:val="006635B4"/>
    <w:rsid w:val="00663753"/>
    <w:rsid w:val="00663DE8"/>
    <w:rsid w:val="00664708"/>
    <w:rsid w:val="006659F3"/>
    <w:rsid w:val="006660D3"/>
    <w:rsid w:val="0066616F"/>
    <w:rsid w:val="00666AF5"/>
    <w:rsid w:val="0066744E"/>
    <w:rsid w:val="0066755A"/>
    <w:rsid w:val="00667AAF"/>
    <w:rsid w:val="00667FC0"/>
    <w:rsid w:val="00670390"/>
    <w:rsid w:val="00671C03"/>
    <w:rsid w:val="00671DC5"/>
    <w:rsid w:val="00671EAD"/>
    <w:rsid w:val="00671F51"/>
    <w:rsid w:val="00672081"/>
    <w:rsid w:val="00673007"/>
    <w:rsid w:val="0067424B"/>
    <w:rsid w:val="006753BC"/>
    <w:rsid w:val="00675A0E"/>
    <w:rsid w:val="00675B84"/>
    <w:rsid w:val="00676A41"/>
    <w:rsid w:val="00676AA5"/>
    <w:rsid w:val="00677B55"/>
    <w:rsid w:val="00680011"/>
    <w:rsid w:val="006801BC"/>
    <w:rsid w:val="006801E8"/>
    <w:rsid w:val="00680A21"/>
    <w:rsid w:val="00681939"/>
    <w:rsid w:val="00682074"/>
    <w:rsid w:val="006823B5"/>
    <w:rsid w:val="00683205"/>
    <w:rsid w:val="006839CE"/>
    <w:rsid w:val="00683E2C"/>
    <w:rsid w:val="0068419F"/>
    <w:rsid w:val="0068624D"/>
    <w:rsid w:val="00686304"/>
    <w:rsid w:val="0068647F"/>
    <w:rsid w:val="00686C23"/>
    <w:rsid w:val="00687068"/>
    <w:rsid w:val="006876BA"/>
    <w:rsid w:val="00687AD0"/>
    <w:rsid w:val="0069038C"/>
    <w:rsid w:val="00690D20"/>
    <w:rsid w:val="006911B1"/>
    <w:rsid w:val="006918F7"/>
    <w:rsid w:val="00691F4B"/>
    <w:rsid w:val="00692393"/>
    <w:rsid w:val="00692981"/>
    <w:rsid w:val="00692E3B"/>
    <w:rsid w:val="00693327"/>
    <w:rsid w:val="006946B1"/>
    <w:rsid w:val="0069518B"/>
    <w:rsid w:val="00695543"/>
    <w:rsid w:val="006957E7"/>
    <w:rsid w:val="00695D22"/>
    <w:rsid w:val="00696214"/>
    <w:rsid w:val="006963CB"/>
    <w:rsid w:val="00696487"/>
    <w:rsid w:val="00697065"/>
    <w:rsid w:val="00697099"/>
    <w:rsid w:val="006977BF"/>
    <w:rsid w:val="006979C0"/>
    <w:rsid w:val="00697D3A"/>
    <w:rsid w:val="006A001F"/>
    <w:rsid w:val="006A04FD"/>
    <w:rsid w:val="006A057C"/>
    <w:rsid w:val="006A0DA4"/>
    <w:rsid w:val="006A14E8"/>
    <w:rsid w:val="006A2435"/>
    <w:rsid w:val="006A24E1"/>
    <w:rsid w:val="006A299B"/>
    <w:rsid w:val="006A31A6"/>
    <w:rsid w:val="006A47EC"/>
    <w:rsid w:val="006A4946"/>
    <w:rsid w:val="006A4B78"/>
    <w:rsid w:val="006A4F59"/>
    <w:rsid w:val="006A542A"/>
    <w:rsid w:val="006A5662"/>
    <w:rsid w:val="006A56F7"/>
    <w:rsid w:val="006A59DB"/>
    <w:rsid w:val="006A78F1"/>
    <w:rsid w:val="006A79C6"/>
    <w:rsid w:val="006A7A84"/>
    <w:rsid w:val="006A7AC8"/>
    <w:rsid w:val="006B07EA"/>
    <w:rsid w:val="006B1A68"/>
    <w:rsid w:val="006B26FA"/>
    <w:rsid w:val="006B2885"/>
    <w:rsid w:val="006B3845"/>
    <w:rsid w:val="006B387A"/>
    <w:rsid w:val="006B3CE4"/>
    <w:rsid w:val="006B4293"/>
    <w:rsid w:val="006B4ED4"/>
    <w:rsid w:val="006B5490"/>
    <w:rsid w:val="006B59B4"/>
    <w:rsid w:val="006B5BCA"/>
    <w:rsid w:val="006B5E83"/>
    <w:rsid w:val="006B64EA"/>
    <w:rsid w:val="006B6749"/>
    <w:rsid w:val="006B6AD0"/>
    <w:rsid w:val="006B6B21"/>
    <w:rsid w:val="006B6BDE"/>
    <w:rsid w:val="006B73A5"/>
    <w:rsid w:val="006C0028"/>
    <w:rsid w:val="006C1FD9"/>
    <w:rsid w:val="006C2111"/>
    <w:rsid w:val="006C2118"/>
    <w:rsid w:val="006C22D1"/>
    <w:rsid w:val="006C2AC1"/>
    <w:rsid w:val="006C3DDE"/>
    <w:rsid w:val="006C4206"/>
    <w:rsid w:val="006C4683"/>
    <w:rsid w:val="006C510E"/>
    <w:rsid w:val="006C5F50"/>
    <w:rsid w:val="006C60AE"/>
    <w:rsid w:val="006C60F8"/>
    <w:rsid w:val="006C6475"/>
    <w:rsid w:val="006C6752"/>
    <w:rsid w:val="006C73BE"/>
    <w:rsid w:val="006C74FC"/>
    <w:rsid w:val="006D0122"/>
    <w:rsid w:val="006D1EBC"/>
    <w:rsid w:val="006D2722"/>
    <w:rsid w:val="006D2C6D"/>
    <w:rsid w:val="006D3345"/>
    <w:rsid w:val="006D3BCC"/>
    <w:rsid w:val="006D4230"/>
    <w:rsid w:val="006D4EB3"/>
    <w:rsid w:val="006D53C3"/>
    <w:rsid w:val="006D55C3"/>
    <w:rsid w:val="006D55F2"/>
    <w:rsid w:val="006D55FF"/>
    <w:rsid w:val="006D5EFB"/>
    <w:rsid w:val="006D654B"/>
    <w:rsid w:val="006D6933"/>
    <w:rsid w:val="006D69F4"/>
    <w:rsid w:val="006D72DF"/>
    <w:rsid w:val="006D7524"/>
    <w:rsid w:val="006D7EBD"/>
    <w:rsid w:val="006D7F00"/>
    <w:rsid w:val="006E0522"/>
    <w:rsid w:val="006E0786"/>
    <w:rsid w:val="006E1938"/>
    <w:rsid w:val="006E19C3"/>
    <w:rsid w:val="006E1ABA"/>
    <w:rsid w:val="006E1C2A"/>
    <w:rsid w:val="006E2FA6"/>
    <w:rsid w:val="006E3166"/>
    <w:rsid w:val="006E331E"/>
    <w:rsid w:val="006E36F4"/>
    <w:rsid w:val="006E4119"/>
    <w:rsid w:val="006E4137"/>
    <w:rsid w:val="006E463F"/>
    <w:rsid w:val="006E50B5"/>
    <w:rsid w:val="006E510E"/>
    <w:rsid w:val="006E5810"/>
    <w:rsid w:val="006E6192"/>
    <w:rsid w:val="006E63DC"/>
    <w:rsid w:val="006E6619"/>
    <w:rsid w:val="006E6BE2"/>
    <w:rsid w:val="006E6D75"/>
    <w:rsid w:val="006F020B"/>
    <w:rsid w:val="006F08AC"/>
    <w:rsid w:val="006F176D"/>
    <w:rsid w:val="006F1C68"/>
    <w:rsid w:val="006F1DC8"/>
    <w:rsid w:val="006F1F5E"/>
    <w:rsid w:val="006F2294"/>
    <w:rsid w:val="006F29A3"/>
    <w:rsid w:val="006F5A77"/>
    <w:rsid w:val="006F5E55"/>
    <w:rsid w:val="006F6116"/>
    <w:rsid w:val="006F6282"/>
    <w:rsid w:val="006F637C"/>
    <w:rsid w:val="006F66D8"/>
    <w:rsid w:val="006F6BBF"/>
    <w:rsid w:val="006F6E0D"/>
    <w:rsid w:val="006F7050"/>
    <w:rsid w:val="006F7336"/>
    <w:rsid w:val="006F7E22"/>
    <w:rsid w:val="00700E09"/>
    <w:rsid w:val="00701478"/>
    <w:rsid w:val="007016E6"/>
    <w:rsid w:val="0070207C"/>
    <w:rsid w:val="00702D5C"/>
    <w:rsid w:val="0070338B"/>
    <w:rsid w:val="007040A9"/>
    <w:rsid w:val="00704503"/>
    <w:rsid w:val="007049B5"/>
    <w:rsid w:val="00706F6E"/>
    <w:rsid w:val="0070706E"/>
    <w:rsid w:val="007078B6"/>
    <w:rsid w:val="00707A6D"/>
    <w:rsid w:val="00710C52"/>
    <w:rsid w:val="00711078"/>
    <w:rsid w:val="00711425"/>
    <w:rsid w:val="00712EDE"/>
    <w:rsid w:val="00712F60"/>
    <w:rsid w:val="00712F6C"/>
    <w:rsid w:val="0071312D"/>
    <w:rsid w:val="00714244"/>
    <w:rsid w:val="00714264"/>
    <w:rsid w:val="00714FAF"/>
    <w:rsid w:val="00715511"/>
    <w:rsid w:val="007155A3"/>
    <w:rsid w:val="00715C3F"/>
    <w:rsid w:val="00715C45"/>
    <w:rsid w:val="007160E1"/>
    <w:rsid w:val="007162FD"/>
    <w:rsid w:val="00717263"/>
    <w:rsid w:val="00717335"/>
    <w:rsid w:val="00720985"/>
    <w:rsid w:val="0072109F"/>
    <w:rsid w:val="00721C56"/>
    <w:rsid w:val="00722236"/>
    <w:rsid w:val="007223B1"/>
    <w:rsid w:val="00722C09"/>
    <w:rsid w:val="00722D26"/>
    <w:rsid w:val="00722F72"/>
    <w:rsid w:val="007231A6"/>
    <w:rsid w:val="00723525"/>
    <w:rsid w:val="0072398D"/>
    <w:rsid w:val="007245C7"/>
    <w:rsid w:val="007247EE"/>
    <w:rsid w:val="00725439"/>
    <w:rsid w:val="007257AC"/>
    <w:rsid w:val="00725964"/>
    <w:rsid w:val="00725F48"/>
    <w:rsid w:val="00726386"/>
    <w:rsid w:val="0072646F"/>
    <w:rsid w:val="00730E3B"/>
    <w:rsid w:val="00731B02"/>
    <w:rsid w:val="0073212A"/>
    <w:rsid w:val="00734F96"/>
    <w:rsid w:val="00735531"/>
    <w:rsid w:val="00735B60"/>
    <w:rsid w:val="00735F43"/>
    <w:rsid w:val="00735FA1"/>
    <w:rsid w:val="0073649A"/>
    <w:rsid w:val="0074025A"/>
    <w:rsid w:val="0074090C"/>
    <w:rsid w:val="007415BF"/>
    <w:rsid w:val="007416BD"/>
    <w:rsid w:val="00741720"/>
    <w:rsid w:val="0074309F"/>
    <w:rsid w:val="00743519"/>
    <w:rsid w:val="00743ADA"/>
    <w:rsid w:val="00744567"/>
    <w:rsid w:val="00744948"/>
    <w:rsid w:val="007451A8"/>
    <w:rsid w:val="007455D7"/>
    <w:rsid w:val="00746B99"/>
    <w:rsid w:val="0074782A"/>
    <w:rsid w:val="00747FBC"/>
    <w:rsid w:val="00750720"/>
    <w:rsid w:val="00750EAE"/>
    <w:rsid w:val="00751F1C"/>
    <w:rsid w:val="007525F1"/>
    <w:rsid w:val="00753D53"/>
    <w:rsid w:val="0075466C"/>
    <w:rsid w:val="007554A8"/>
    <w:rsid w:val="007559F5"/>
    <w:rsid w:val="00755C16"/>
    <w:rsid w:val="007560AA"/>
    <w:rsid w:val="00756EEE"/>
    <w:rsid w:val="00756F01"/>
    <w:rsid w:val="00757127"/>
    <w:rsid w:val="00757507"/>
    <w:rsid w:val="00760865"/>
    <w:rsid w:val="0076093A"/>
    <w:rsid w:val="007613D2"/>
    <w:rsid w:val="00761849"/>
    <w:rsid w:val="00763645"/>
    <w:rsid w:val="007646A6"/>
    <w:rsid w:val="0076495D"/>
    <w:rsid w:val="007649B2"/>
    <w:rsid w:val="00764DCF"/>
    <w:rsid w:val="0076613C"/>
    <w:rsid w:val="00766293"/>
    <w:rsid w:val="0076652C"/>
    <w:rsid w:val="00766C2A"/>
    <w:rsid w:val="007700D4"/>
    <w:rsid w:val="00770699"/>
    <w:rsid w:val="0077080C"/>
    <w:rsid w:val="00770B1F"/>
    <w:rsid w:val="0077264F"/>
    <w:rsid w:val="00772894"/>
    <w:rsid w:val="007750EA"/>
    <w:rsid w:val="007754D8"/>
    <w:rsid w:val="0077556B"/>
    <w:rsid w:val="0077611B"/>
    <w:rsid w:val="007763F0"/>
    <w:rsid w:val="00776601"/>
    <w:rsid w:val="00780913"/>
    <w:rsid w:val="00780A9F"/>
    <w:rsid w:val="00780AE5"/>
    <w:rsid w:val="007819F2"/>
    <w:rsid w:val="00782C28"/>
    <w:rsid w:val="00782D3D"/>
    <w:rsid w:val="0078395D"/>
    <w:rsid w:val="00783E39"/>
    <w:rsid w:val="00784800"/>
    <w:rsid w:val="0078496A"/>
    <w:rsid w:val="007849CD"/>
    <w:rsid w:val="0078587E"/>
    <w:rsid w:val="00786170"/>
    <w:rsid w:val="00786C30"/>
    <w:rsid w:val="00787828"/>
    <w:rsid w:val="007900FC"/>
    <w:rsid w:val="00790221"/>
    <w:rsid w:val="007906A7"/>
    <w:rsid w:val="00790771"/>
    <w:rsid w:val="00790C09"/>
    <w:rsid w:val="00790C5C"/>
    <w:rsid w:val="00791013"/>
    <w:rsid w:val="007911BF"/>
    <w:rsid w:val="0079137E"/>
    <w:rsid w:val="00792723"/>
    <w:rsid w:val="007930C0"/>
    <w:rsid w:val="00793819"/>
    <w:rsid w:val="00793896"/>
    <w:rsid w:val="00794AB9"/>
    <w:rsid w:val="00794D4B"/>
    <w:rsid w:val="007951E2"/>
    <w:rsid w:val="0079530E"/>
    <w:rsid w:val="007955D4"/>
    <w:rsid w:val="0079574F"/>
    <w:rsid w:val="007957FA"/>
    <w:rsid w:val="00796566"/>
    <w:rsid w:val="007975C1"/>
    <w:rsid w:val="00797733"/>
    <w:rsid w:val="00797911"/>
    <w:rsid w:val="007A0BB7"/>
    <w:rsid w:val="007A0F33"/>
    <w:rsid w:val="007A1333"/>
    <w:rsid w:val="007A20E6"/>
    <w:rsid w:val="007A2B91"/>
    <w:rsid w:val="007A44F5"/>
    <w:rsid w:val="007A4CF2"/>
    <w:rsid w:val="007A5177"/>
    <w:rsid w:val="007A5E2C"/>
    <w:rsid w:val="007A5E30"/>
    <w:rsid w:val="007A5E92"/>
    <w:rsid w:val="007A655A"/>
    <w:rsid w:val="007A7305"/>
    <w:rsid w:val="007A74D9"/>
    <w:rsid w:val="007A7859"/>
    <w:rsid w:val="007A7AAF"/>
    <w:rsid w:val="007A7D44"/>
    <w:rsid w:val="007B027C"/>
    <w:rsid w:val="007B04B1"/>
    <w:rsid w:val="007B08CA"/>
    <w:rsid w:val="007B0E26"/>
    <w:rsid w:val="007B0E88"/>
    <w:rsid w:val="007B1157"/>
    <w:rsid w:val="007B20DC"/>
    <w:rsid w:val="007B23E8"/>
    <w:rsid w:val="007B27B2"/>
    <w:rsid w:val="007B3055"/>
    <w:rsid w:val="007B3225"/>
    <w:rsid w:val="007B3333"/>
    <w:rsid w:val="007B3558"/>
    <w:rsid w:val="007B38C1"/>
    <w:rsid w:val="007B3A80"/>
    <w:rsid w:val="007B4878"/>
    <w:rsid w:val="007B5223"/>
    <w:rsid w:val="007B52AB"/>
    <w:rsid w:val="007B54E8"/>
    <w:rsid w:val="007B620B"/>
    <w:rsid w:val="007B72CB"/>
    <w:rsid w:val="007B7346"/>
    <w:rsid w:val="007B7481"/>
    <w:rsid w:val="007B7C59"/>
    <w:rsid w:val="007B7F2B"/>
    <w:rsid w:val="007C06CA"/>
    <w:rsid w:val="007C0BC0"/>
    <w:rsid w:val="007C18EA"/>
    <w:rsid w:val="007C19E1"/>
    <w:rsid w:val="007C29DE"/>
    <w:rsid w:val="007C3613"/>
    <w:rsid w:val="007C3932"/>
    <w:rsid w:val="007C40D5"/>
    <w:rsid w:val="007C44C6"/>
    <w:rsid w:val="007C49D5"/>
    <w:rsid w:val="007C52B3"/>
    <w:rsid w:val="007C549D"/>
    <w:rsid w:val="007C5A90"/>
    <w:rsid w:val="007C613D"/>
    <w:rsid w:val="007C6AEC"/>
    <w:rsid w:val="007D1F9E"/>
    <w:rsid w:val="007D28B3"/>
    <w:rsid w:val="007D2EFE"/>
    <w:rsid w:val="007D4B4C"/>
    <w:rsid w:val="007D5857"/>
    <w:rsid w:val="007D6FA6"/>
    <w:rsid w:val="007E0432"/>
    <w:rsid w:val="007E15DF"/>
    <w:rsid w:val="007E1716"/>
    <w:rsid w:val="007E2339"/>
    <w:rsid w:val="007E3354"/>
    <w:rsid w:val="007E3E3D"/>
    <w:rsid w:val="007E3EA3"/>
    <w:rsid w:val="007E45E2"/>
    <w:rsid w:val="007E49B5"/>
    <w:rsid w:val="007E5AF3"/>
    <w:rsid w:val="007E615D"/>
    <w:rsid w:val="007E63A0"/>
    <w:rsid w:val="007E67BA"/>
    <w:rsid w:val="007E6825"/>
    <w:rsid w:val="007E6AA4"/>
    <w:rsid w:val="007E6CF4"/>
    <w:rsid w:val="007E6E7B"/>
    <w:rsid w:val="007E73AF"/>
    <w:rsid w:val="007E74A1"/>
    <w:rsid w:val="007E78B0"/>
    <w:rsid w:val="007E78FB"/>
    <w:rsid w:val="007F0163"/>
    <w:rsid w:val="007F0461"/>
    <w:rsid w:val="007F0530"/>
    <w:rsid w:val="007F096D"/>
    <w:rsid w:val="007F0F8E"/>
    <w:rsid w:val="007F113B"/>
    <w:rsid w:val="007F1422"/>
    <w:rsid w:val="007F17C1"/>
    <w:rsid w:val="007F23D9"/>
    <w:rsid w:val="007F2C69"/>
    <w:rsid w:val="007F34E8"/>
    <w:rsid w:val="007F3503"/>
    <w:rsid w:val="007F4000"/>
    <w:rsid w:val="007F4026"/>
    <w:rsid w:val="007F4FD8"/>
    <w:rsid w:val="007F57AD"/>
    <w:rsid w:val="007F60A5"/>
    <w:rsid w:val="007F60EA"/>
    <w:rsid w:val="007F6453"/>
    <w:rsid w:val="007F6E0D"/>
    <w:rsid w:val="008012A5"/>
    <w:rsid w:val="008021B4"/>
    <w:rsid w:val="00802E89"/>
    <w:rsid w:val="00802F47"/>
    <w:rsid w:val="00803A94"/>
    <w:rsid w:val="00803DB2"/>
    <w:rsid w:val="008047CA"/>
    <w:rsid w:val="00804923"/>
    <w:rsid w:val="0080611D"/>
    <w:rsid w:val="0080625A"/>
    <w:rsid w:val="008066BD"/>
    <w:rsid w:val="00807EEB"/>
    <w:rsid w:val="00810DB5"/>
    <w:rsid w:val="008112B6"/>
    <w:rsid w:val="008123ED"/>
    <w:rsid w:val="00812D38"/>
    <w:rsid w:val="00812F19"/>
    <w:rsid w:val="00813067"/>
    <w:rsid w:val="008132D1"/>
    <w:rsid w:val="008133FA"/>
    <w:rsid w:val="008139A1"/>
    <w:rsid w:val="00814ABA"/>
    <w:rsid w:val="00814CF6"/>
    <w:rsid w:val="00815CC9"/>
    <w:rsid w:val="00816295"/>
    <w:rsid w:val="008166ED"/>
    <w:rsid w:val="00816E7B"/>
    <w:rsid w:val="00817BB1"/>
    <w:rsid w:val="00817D87"/>
    <w:rsid w:val="0082079E"/>
    <w:rsid w:val="00820F07"/>
    <w:rsid w:val="00821996"/>
    <w:rsid w:val="008224B3"/>
    <w:rsid w:val="00823622"/>
    <w:rsid w:val="00823C3B"/>
    <w:rsid w:val="00823D5E"/>
    <w:rsid w:val="00825D6E"/>
    <w:rsid w:val="008267A8"/>
    <w:rsid w:val="00826F3F"/>
    <w:rsid w:val="008274BE"/>
    <w:rsid w:val="00827A41"/>
    <w:rsid w:val="00827E93"/>
    <w:rsid w:val="008301FE"/>
    <w:rsid w:val="008306ED"/>
    <w:rsid w:val="00830E37"/>
    <w:rsid w:val="00830ED0"/>
    <w:rsid w:val="00830EF1"/>
    <w:rsid w:val="00831C94"/>
    <w:rsid w:val="00832A09"/>
    <w:rsid w:val="00833484"/>
    <w:rsid w:val="00833B43"/>
    <w:rsid w:val="008341B9"/>
    <w:rsid w:val="008347B6"/>
    <w:rsid w:val="00834EC0"/>
    <w:rsid w:val="00835430"/>
    <w:rsid w:val="0083543F"/>
    <w:rsid w:val="00835C02"/>
    <w:rsid w:val="00835CFD"/>
    <w:rsid w:val="00835F13"/>
    <w:rsid w:val="00836002"/>
    <w:rsid w:val="00836487"/>
    <w:rsid w:val="00836D2A"/>
    <w:rsid w:val="00837370"/>
    <w:rsid w:val="00837EB9"/>
    <w:rsid w:val="008400CA"/>
    <w:rsid w:val="008406E0"/>
    <w:rsid w:val="00840A40"/>
    <w:rsid w:val="00840CE4"/>
    <w:rsid w:val="0084122E"/>
    <w:rsid w:val="00841B28"/>
    <w:rsid w:val="008420BB"/>
    <w:rsid w:val="00842930"/>
    <w:rsid w:val="00842A8E"/>
    <w:rsid w:val="00843B0F"/>
    <w:rsid w:val="008446D6"/>
    <w:rsid w:val="00844C15"/>
    <w:rsid w:val="00845234"/>
    <w:rsid w:val="00845599"/>
    <w:rsid w:val="008455FA"/>
    <w:rsid w:val="00845B71"/>
    <w:rsid w:val="00845D0E"/>
    <w:rsid w:val="00845D2A"/>
    <w:rsid w:val="00847240"/>
    <w:rsid w:val="008475F8"/>
    <w:rsid w:val="0084765D"/>
    <w:rsid w:val="008476E4"/>
    <w:rsid w:val="00847E4E"/>
    <w:rsid w:val="008504B1"/>
    <w:rsid w:val="00850870"/>
    <w:rsid w:val="00850FEF"/>
    <w:rsid w:val="0085129E"/>
    <w:rsid w:val="0085203A"/>
    <w:rsid w:val="00852DE9"/>
    <w:rsid w:val="008532C1"/>
    <w:rsid w:val="00853918"/>
    <w:rsid w:val="00854393"/>
    <w:rsid w:val="00854DB5"/>
    <w:rsid w:val="008554BE"/>
    <w:rsid w:val="00855893"/>
    <w:rsid w:val="008558C7"/>
    <w:rsid w:val="0085626B"/>
    <w:rsid w:val="0085640C"/>
    <w:rsid w:val="0085795F"/>
    <w:rsid w:val="00860D8F"/>
    <w:rsid w:val="008621A6"/>
    <w:rsid w:val="0086241C"/>
    <w:rsid w:val="0086256A"/>
    <w:rsid w:val="008626DA"/>
    <w:rsid w:val="0086288E"/>
    <w:rsid w:val="0086290C"/>
    <w:rsid w:val="00862CE8"/>
    <w:rsid w:val="0086339A"/>
    <w:rsid w:val="008649AC"/>
    <w:rsid w:val="00864EAF"/>
    <w:rsid w:val="00865182"/>
    <w:rsid w:val="00865BB9"/>
    <w:rsid w:val="00866B94"/>
    <w:rsid w:val="00867321"/>
    <w:rsid w:val="0087015A"/>
    <w:rsid w:val="0087047E"/>
    <w:rsid w:val="008708A0"/>
    <w:rsid w:val="00871954"/>
    <w:rsid w:val="00871C9F"/>
    <w:rsid w:val="00872F5D"/>
    <w:rsid w:val="008737FB"/>
    <w:rsid w:val="00874D08"/>
    <w:rsid w:val="0087581D"/>
    <w:rsid w:val="0087587B"/>
    <w:rsid w:val="008759F7"/>
    <w:rsid w:val="00875AA3"/>
    <w:rsid w:val="008770F0"/>
    <w:rsid w:val="008773AD"/>
    <w:rsid w:val="008811BC"/>
    <w:rsid w:val="008817D1"/>
    <w:rsid w:val="00881CF5"/>
    <w:rsid w:val="00882020"/>
    <w:rsid w:val="008826C0"/>
    <w:rsid w:val="00882A48"/>
    <w:rsid w:val="0088340B"/>
    <w:rsid w:val="00883523"/>
    <w:rsid w:val="0088394C"/>
    <w:rsid w:val="00884AD4"/>
    <w:rsid w:val="008853BC"/>
    <w:rsid w:val="00887476"/>
    <w:rsid w:val="008902FF"/>
    <w:rsid w:val="008904DC"/>
    <w:rsid w:val="00890609"/>
    <w:rsid w:val="008906CF"/>
    <w:rsid w:val="00890D6C"/>
    <w:rsid w:val="0089117D"/>
    <w:rsid w:val="00891715"/>
    <w:rsid w:val="00891AC1"/>
    <w:rsid w:val="00892385"/>
    <w:rsid w:val="00892462"/>
    <w:rsid w:val="0089252F"/>
    <w:rsid w:val="00892A8E"/>
    <w:rsid w:val="00892C58"/>
    <w:rsid w:val="00893200"/>
    <w:rsid w:val="008932FD"/>
    <w:rsid w:val="008936F4"/>
    <w:rsid w:val="008952F9"/>
    <w:rsid w:val="00895506"/>
    <w:rsid w:val="008957BD"/>
    <w:rsid w:val="00895907"/>
    <w:rsid w:val="008967C8"/>
    <w:rsid w:val="00896BAC"/>
    <w:rsid w:val="00896FAA"/>
    <w:rsid w:val="00897517"/>
    <w:rsid w:val="00897B62"/>
    <w:rsid w:val="008A005D"/>
    <w:rsid w:val="008A05F2"/>
    <w:rsid w:val="008A0DAE"/>
    <w:rsid w:val="008A182E"/>
    <w:rsid w:val="008A187B"/>
    <w:rsid w:val="008A2650"/>
    <w:rsid w:val="008A296C"/>
    <w:rsid w:val="008A3423"/>
    <w:rsid w:val="008A3581"/>
    <w:rsid w:val="008A3A05"/>
    <w:rsid w:val="008A4732"/>
    <w:rsid w:val="008A4839"/>
    <w:rsid w:val="008A4B5A"/>
    <w:rsid w:val="008A4E34"/>
    <w:rsid w:val="008A4E9F"/>
    <w:rsid w:val="008A5164"/>
    <w:rsid w:val="008A57D1"/>
    <w:rsid w:val="008A648B"/>
    <w:rsid w:val="008A6BB9"/>
    <w:rsid w:val="008A6D0A"/>
    <w:rsid w:val="008A7371"/>
    <w:rsid w:val="008A7375"/>
    <w:rsid w:val="008A765C"/>
    <w:rsid w:val="008A781B"/>
    <w:rsid w:val="008A7A79"/>
    <w:rsid w:val="008A7ED9"/>
    <w:rsid w:val="008B032C"/>
    <w:rsid w:val="008B04D4"/>
    <w:rsid w:val="008B0840"/>
    <w:rsid w:val="008B09EE"/>
    <w:rsid w:val="008B1004"/>
    <w:rsid w:val="008B1357"/>
    <w:rsid w:val="008B14F4"/>
    <w:rsid w:val="008B1617"/>
    <w:rsid w:val="008B231E"/>
    <w:rsid w:val="008B2753"/>
    <w:rsid w:val="008B29D9"/>
    <w:rsid w:val="008B2B45"/>
    <w:rsid w:val="008B3022"/>
    <w:rsid w:val="008B32C0"/>
    <w:rsid w:val="008B32F1"/>
    <w:rsid w:val="008B3593"/>
    <w:rsid w:val="008B4B00"/>
    <w:rsid w:val="008B637B"/>
    <w:rsid w:val="008B6579"/>
    <w:rsid w:val="008B7744"/>
    <w:rsid w:val="008B7F2E"/>
    <w:rsid w:val="008C01B7"/>
    <w:rsid w:val="008C04A0"/>
    <w:rsid w:val="008C20CD"/>
    <w:rsid w:val="008C23D2"/>
    <w:rsid w:val="008C2CC4"/>
    <w:rsid w:val="008C2E86"/>
    <w:rsid w:val="008C2E98"/>
    <w:rsid w:val="008C33DE"/>
    <w:rsid w:val="008C3AFC"/>
    <w:rsid w:val="008C467B"/>
    <w:rsid w:val="008C4FFC"/>
    <w:rsid w:val="008C645F"/>
    <w:rsid w:val="008C64CE"/>
    <w:rsid w:val="008C64F8"/>
    <w:rsid w:val="008C6CC9"/>
    <w:rsid w:val="008C77FB"/>
    <w:rsid w:val="008C7B8D"/>
    <w:rsid w:val="008D18BD"/>
    <w:rsid w:val="008D20EB"/>
    <w:rsid w:val="008D2135"/>
    <w:rsid w:val="008D219F"/>
    <w:rsid w:val="008D27C0"/>
    <w:rsid w:val="008D293F"/>
    <w:rsid w:val="008D38C8"/>
    <w:rsid w:val="008D3A48"/>
    <w:rsid w:val="008D468B"/>
    <w:rsid w:val="008D4824"/>
    <w:rsid w:val="008D4A94"/>
    <w:rsid w:val="008D4B61"/>
    <w:rsid w:val="008D5E3C"/>
    <w:rsid w:val="008D6AAC"/>
    <w:rsid w:val="008D6ECE"/>
    <w:rsid w:val="008D732E"/>
    <w:rsid w:val="008D76B5"/>
    <w:rsid w:val="008D7CA5"/>
    <w:rsid w:val="008E0291"/>
    <w:rsid w:val="008E08DD"/>
    <w:rsid w:val="008E09DD"/>
    <w:rsid w:val="008E0BF7"/>
    <w:rsid w:val="008E0E7A"/>
    <w:rsid w:val="008E0F9F"/>
    <w:rsid w:val="008E118D"/>
    <w:rsid w:val="008E1661"/>
    <w:rsid w:val="008E1BE5"/>
    <w:rsid w:val="008E36B9"/>
    <w:rsid w:val="008E4471"/>
    <w:rsid w:val="008E462B"/>
    <w:rsid w:val="008E4817"/>
    <w:rsid w:val="008E4E5B"/>
    <w:rsid w:val="008E4FA9"/>
    <w:rsid w:val="008E64D7"/>
    <w:rsid w:val="008E66D3"/>
    <w:rsid w:val="008E66F9"/>
    <w:rsid w:val="008E6FF5"/>
    <w:rsid w:val="008E7358"/>
    <w:rsid w:val="008E7C28"/>
    <w:rsid w:val="008F03F6"/>
    <w:rsid w:val="008F0D53"/>
    <w:rsid w:val="008F1080"/>
    <w:rsid w:val="008F11C4"/>
    <w:rsid w:val="008F1A58"/>
    <w:rsid w:val="008F1DDE"/>
    <w:rsid w:val="008F28D3"/>
    <w:rsid w:val="008F2EFC"/>
    <w:rsid w:val="008F322F"/>
    <w:rsid w:val="008F32E1"/>
    <w:rsid w:val="008F33F3"/>
    <w:rsid w:val="008F3CC9"/>
    <w:rsid w:val="008F40A9"/>
    <w:rsid w:val="008F4650"/>
    <w:rsid w:val="008F497A"/>
    <w:rsid w:val="008F4F5D"/>
    <w:rsid w:val="008F6800"/>
    <w:rsid w:val="008F7418"/>
    <w:rsid w:val="0090075C"/>
    <w:rsid w:val="009028D1"/>
    <w:rsid w:val="009028D3"/>
    <w:rsid w:val="00903120"/>
    <w:rsid w:val="009055E6"/>
    <w:rsid w:val="009056B5"/>
    <w:rsid w:val="00906D55"/>
    <w:rsid w:val="00907098"/>
    <w:rsid w:val="009070C5"/>
    <w:rsid w:val="0091131B"/>
    <w:rsid w:val="00911537"/>
    <w:rsid w:val="00912C1F"/>
    <w:rsid w:val="009132BF"/>
    <w:rsid w:val="00913EA2"/>
    <w:rsid w:val="00914B4B"/>
    <w:rsid w:val="00915A01"/>
    <w:rsid w:val="00915D99"/>
    <w:rsid w:val="0091616D"/>
    <w:rsid w:val="00916430"/>
    <w:rsid w:val="00916851"/>
    <w:rsid w:val="00916923"/>
    <w:rsid w:val="009172AF"/>
    <w:rsid w:val="00917333"/>
    <w:rsid w:val="00917A41"/>
    <w:rsid w:val="00920C75"/>
    <w:rsid w:val="00921692"/>
    <w:rsid w:val="00922903"/>
    <w:rsid w:val="00922C17"/>
    <w:rsid w:val="00922D4C"/>
    <w:rsid w:val="00923653"/>
    <w:rsid w:val="00923F2F"/>
    <w:rsid w:val="00924373"/>
    <w:rsid w:val="00924D08"/>
    <w:rsid w:val="009266D5"/>
    <w:rsid w:val="00926AAF"/>
    <w:rsid w:val="00926E22"/>
    <w:rsid w:val="00927153"/>
    <w:rsid w:val="00927759"/>
    <w:rsid w:val="00927780"/>
    <w:rsid w:val="00930254"/>
    <w:rsid w:val="00931620"/>
    <w:rsid w:val="00931870"/>
    <w:rsid w:val="00931C9D"/>
    <w:rsid w:val="00932025"/>
    <w:rsid w:val="00932B2F"/>
    <w:rsid w:val="00932DEA"/>
    <w:rsid w:val="00932E80"/>
    <w:rsid w:val="00933993"/>
    <w:rsid w:val="009341DD"/>
    <w:rsid w:val="00934F99"/>
    <w:rsid w:val="00935FB7"/>
    <w:rsid w:val="0093606F"/>
    <w:rsid w:val="00936239"/>
    <w:rsid w:val="00936677"/>
    <w:rsid w:val="009404CC"/>
    <w:rsid w:val="009408AD"/>
    <w:rsid w:val="00940DF6"/>
    <w:rsid w:val="00941492"/>
    <w:rsid w:val="009416D1"/>
    <w:rsid w:val="0094191B"/>
    <w:rsid w:val="00941934"/>
    <w:rsid w:val="00941A46"/>
    <w:rsid w:val="00941CC9"/>
    <w:rsid w:val="009432D5"/>
    <w:rsid w:val="00943644"/>
    <w:rsid w:val="00944623"/>
    <w:rsid w:val="009448F1"/>
    <w:rsid w:val="009449B0"/>
    <w:rsid w:val="00944D54"/>
    <w:rsid w:val="00945049"/>
    <w:rsid w:val="00945279"/>
    <w:rsid w:val="00945A7E"/>
    <w:rsid w:val="009461D3"/>
    <w:rsid w:val="0094687A"/>
    <w:rsid w:val="00946B17"/>
    <w:rsid w:val="00946B6C"/>
    <w:rsid w:val="00947197"/>
    <w:rsid w:val="009472B9"/>
    <w:rsid w:val="009477CE"/>
    <w:rsid w:val="00947A8D"/>
    <w:rsid w:val="009502CD"/>
    <w:rsid w:val="00950A50"/>
    <w:rsid w:val="009512A8"/>
    <w:rsid w:val="00951B70"/>
    <w:rsid w:val="00951BC5"/>
    <w:rsid w:val="00952BC8"/>
    <w:rsid w:val="00952EAA"/>
    <w:rsid w:val="00953704"/>
    <w:rsid w:val="009538C0"/>
    <w:rsid w:val="00953E75"/>
    <w:rsid w:val="009542DE"/>
    <w:rsid w:val="0095441F"/>
    <w:rsid w:val="009544E3"/>
    <w:rsid w:val="00956C83"/>
    <w:rsid w:val="00957021"/>
    <w:rsid w:val="009573A8"/>
    <w:rsid w:val="00957DC9"/>
    <w:rsid w:val="00957E6D"/>
    <w:rsid w:val="00957F9C"/>
    <w:rsid w:val="00960366"/>
    <w:rsid w:val="00960703"/>
    <w:rsid w:val="00960A97"/>
    <w:rsid w:val="00960D0D"/>
    <w:rsid w:val="0096114F"/>
    <w:rsid w:val="00962347"/>
    <w:rsid w:val="00963802"/>
    <w:rsid w:val="00963C13"/>
    <w:rsid w:val="0096406C"/>
    <w:rsid w:val="009645B8"/>
    <w:rsid w:val="00964698"/>
    <w:rsid w:val="0096510C"/>
    <w:rsid w:val="009657BB"/>
    <w:rsid w:val="00965807"/>
    <w:rsid w:val="009659F1"/>
    <w:rsid w:val="00965C04"/>
    <w:rsid w:val="00965F18"/>
    <w:rsid w:val="00967780"/>
    <w:rsid w:val="00967F5E"/>
    <w:rsid w:val="00970677"/>
    <w:rsid w:val="00970F96"/>
    <w:rsid w:val="00971B04"/>
    <w:rsid w:val="009723B5"/>
    <w:rsid w:val="0097269F"/>
    <w:rsid w:val="0097285D"/>
    <w:rsid w:val="0097295A"/>
    <w:rsid w:val="0097374E"/>
    <w:rsid w:val="009737BC"/>
    <w:rsid w:val="00973EBA"/>
    <w:rsid w:val="00975DC5"/>
    <w:rsid w:val="00976362"/>
    <w:rsid w:val="00976685"/>
    <w:rsid w:val="00976F4B"/>
    <w:rsid w:val="0097727E"/>
    <w:rsid w:val="00977391"/>
    <w:rsid w:val="009773AE"/>
    <w:rsid w:val="00977F4E"/>
    <w:rsid w:val="009806D0"/>
    <w:rsid w:val="00980700"/>
    <w:rsid w:val="0098082A"/>
    <w:rsid w:val="00980852"/>
    <w:rsid w:val="00980B35"/>
    <w:rsid w:val="00980C20"/>
    <w:rsid w:val="00981060"/>
    <w:rsid w:val="009813C4"/>
    <w:rsid w:val="00982969"/>
    <w:rsid w:val="00982E41"/>
    <w:rsid w:val="009830CB"/>
    <w:rsid w:val="00983398"/>
    <w:rsid w:val="00983C0D"/>
    <w:rsid w:val="009843C8"/>
    <w:rsid w:val="0098476A"/>
    <w:rsid w:val="0098498B"/>
    <w:rsid w:val="00984FAA"/>
    <w:rsid w:val="0098614F"/>
    <w:rsid w:val="00986D33"/>
    <w:rsid w:val="00987214"/>
    <w:rsid w:val="0098740B"/>
    <w:rsid w:val="009900F6"/>
    <w:rsid w:val="0099073D"/>
    <w:rsid w:val="009908A8"/>
    <w:rsid w:val="00990EA7"/>
    <w:rsid w:val="009928FE"/>
    <w:rsid w:val="009939BF"/>
    <w:rsid w:val="009946F9"/>
    <w:rsid w:val="00994AD7"/>
    <w:rsid w:val="00994B96"/>
    <w:rsid w:val="00996C5C"/>
    <w:rsid w:val="00996F5A"/>
    <w:rsid w:val="00996F8F"/>
    <w:rsid w:val="00997AA1"/>
    <w:rsid w:val="00997EE7"/>
    <w:rsid w:val="009A057F"/>
    <w:rsid w:val="009A074F"/>
    <w:rsid w:val="009A0B78"/>
    <w:rsid w:val="009A134A"/>
    <w:rsid w:val="009A2A05"/>
    <w:rsid w:val="009A3171"/>
    <w:rsid w:val="009A35F0"/>
    <w:rsid w:val="009A3B07"/>
    <w:rsid w:val="009A3C90"/>
    <w:rsid w:val="009A40B5"/>
    <w:rsid w:val="009A54BC"/>
    <w:rsid w:val="009A62CC"/>
    <w:rsid w:val="009A65FD"/>
    <w:rsid w:val="009A6757"/>
    <w:rsid w:val="009A68C3"/>
    <w:rsid w:val="009A7719"/>
    <w:rsid w:val="009A7AFD"/>
    <w:rsid w:val="009B061A"/>
    <w:rsid w:val="009B1044"/>
    <w:rsid w:val="009B146A"/>
    <w:rsid w:val="009B2BCB"/>
    <w:rsid w:val="009B3076"/>
    <w:rsid w:val="009B3971"/>
    <w:rsid w:val="009B4064"/>
    <w:rsid w:val="009B4711"/>
    <w:rsid w:val="009B4B4E"/>
    <w:rsid w:val="009B4BB4"/>
    <w:rsid w:val="009B4BE2"/>
    <w:rsid w:val="009B56E8"/>
    <w:rsid w:val="009B5EB1"/>
    <w:rsid w:val="009B681F"/>
    <w:rsid w:val="009B7193"/>
    <w:rsid w:val="009B7ABF"/>
    <w:rsid w:val="009C0431"/>
    <w:rsid w:val="009C144B"/>
    <w:rsid w:val="009C1A27"/>
    <w:rsid w:val="009C1C59"/>
    <w:rsid w:val="009C2629"/>
    <w:rsid w:val="009C2A3E"/>
    <w:rsid w:val="009C2C53"/>
    <w:rsid w:val="009C2DED"/>
    <w:rsid w:val="009C34EE"/>
    <w:rsid w:val="009C3BBD"/>
    <w:rsid w:val="009C48DF"/>
    <w:rsid w:val="009C4BDD"/>
    <w:rsid w:val="009C6A79"/>
    <w:rsid w:val="009C7697"/>
    <w:rsid w:val="009C76CB"/>
    <w:rsid w:val="009C77C7"/>
    <w:rsid w:val="009C7EE2"/>
    <w:rsid w:val="009C7FC2"/>
    <w:rsid w:val="009D0223"/>
    <w:rsid w:val="009D06A9"/>
    <w:rsid w:val="009D34AA"/>
    <w:rsid w:val="009D3899"/>
    <w:rsid w:val="009D3D49"/>
    <w:rsid w:val="009D3F55"/>
    <w:rsid w:val="009D436A"/>
    <w:rsid w:val="009D43A3"/>
    <w:rsid w:val="009D530B"/>
    <w:rsid w:val="009D6B72"/>
    <w:rsid w:val="009D72C9"/>
    <w:rsid w:val="009D77B6"/>
    <w:rsid w:val="009D7BFC"/>
    <w:rsid w:val="009D7E54"/>
    <w:rsid w:val="009D7FCB"/>
    <w:rsid w:val="009E0200"/>
    <w:rsid w:val="009E0278"/>
    <w:rsid w:val="009E059C"/>
    <w:rsid w:val="009E1104"/>
    <w:rsid w:val="009E1845"/>
    <w:rsid w:val="009E1F4D"/>
    <w:rsid w:val="009E2232"/>
    <w:rsid w:val="009E2D47"/>
    <w:rsid w:val="009E2E1D"/>
    <w:rsid w:val="009E36E4"/>
    <w:rsid w:val="009E37F4"/>
    <w:rsid w:val="009E459D"/>
    <w:rsid w:val="009E47D9"/>
    <w:rsid w:val="009E5894"/>
    <w:rsid w:val="009E694F"/>
    <w:rsid w:val="009E6CD5"/>
    <w:rsid w:val="009E72D2"/>
    <w:rsid w:val="009E73BF"/>
    <w:rsid w:val="009E78CA"/>
    <w:rsid w:val="009E7DC6"/>
    <w:rsid w:val="009F0556"/>
    <w:rsid w:val="009F05EB"/>
    <w:rsid w:val="009F0990"/>
    <w:rsid w:val="009F0E80"/>
    <w:rsid w:val="009F1210"/>
    <w:rsid w:val="009F147C"/>
    <w:rsid w:val="009F154F"/>
    <w:rsid w:val="009F214E"/>
    <w:rsid w:val="009F258A"/>
    <w:rsid w:val="009F32DF"/>
    <w:rsid w:val="009F3A9A"/>
    <w:rsid w:val="009F4690"/>
    <w:rsid w:val="009F48A5"/>
    <w:rsid w:val="009F4A02"/>
    <w:rsid w:val="009F5101"/>
    <w:rsid w:val="009F6207"/>
    <w:rsid w:val="009F65F0"/>
    <w:rsid w:val="009F6A5D"/>
    <w:rsid w:val="009F6C74"/>
    <w:rsid w:val="009F6EA7"/>
    <w:rsid w:val="009F7727"/>
    <w:rsid w:val="009F77DA"/>
    <w:rsid w:val="00A003E7"/>
    <w:rsid w:val="00A016E4"/>
    <w:rsid w:val="00A01D7C"/>
    <w:rsid w:val="00A031A5"/>
    <w:rsid w:val="00A05723"/>
    <w:rsid w:val="00A07167"/>
    <w:rsid w:val="00A07808"/>
    <w:rsid w:val="00A079E9"/>
    <w:rsid w:val="00A10035"/>
    <w:rsid w:val="00A104E5"/>
    <w:rsid w:val="00A1127F"/>
    <w:rsid w:val="00A11EFC"/>
    <w:rsid w:val="00A12048"/>
    <w:rsid w:val="00A122CC"/>
    <w:rsid w:val="00A123D6"/>
    <w:rsid w:val="00A13717"/>
    <w:rsid w:val="00A13ABC"/>
    <w:rsid w:val="00A149D5"/>
    <w:rsid w:val="00A1547F"/>
    <w:rsid w:val="00A15A15"/>
    <w:rsid w:val="00A15B28"/>
    <w:rsid w:val="00A171A1"/>
    <w:rsid w:val="00A207CB"/>
    <w:rsid w:val="00A21056"/>
    <w:rsid w:val="00A21285"/>
    <w:rsid w:val="00A22371"/>
    <w:rsid w:val="00A23B81"/>
    <w:rsid w:val="00A23C2D"/>
    <w:rsid w:val="00A23D11"/>
    <w:rsid w:val="00A2413E"/>
    <w:rsid w:val="00A242D8"/>
    <w:rsid w:val="00A2453D"/>
    <w:rsid w:val="00A24E93"/>
    <w:rsid w:val="00A2541D"/>
    <w:rsid w:val="00A259A7"/>
    <w:rsid w:val="00A259E1"/>
    <w:rsid w:val="00A25A18"/>
    <w:rsid w:val="00A26286"/>
    <w:rsid w:val="00A26FF7"/>
    <w:rsid w:val="00A270D6"/>
    <w:rsid w:val="00A273F7"/>
    <w:rsid w:val="00A27426"/>
    <w:rsid w:val="00A2768E"/>
    <w:rsid w:val="00A30046"/>
    <w:rsid w:val="00A30C53"/>
    <w:rsid w:val="00A30D6D"/>
    <w:rsid w:val="00A31EBD"/>
    <w:rsid w:val="00A332AF"/>
    <w:rsid w:val="00A33D5D"/>
    <w:rsid w:val="00A3494F"/>
    <w:rsid w:val="00A34F58"/>
    <w:rsid w:val="00A35B57"/>
    <w:rsid w:val="00A36A94"/>
    <w:rsid w:val="00A36ACE"/>
    <w:rsid w:val="00A405C4"/>
    <w:rsid w:val="00A41B7F"/>
    <w:rsid w:val="00A42940"/>
    <w:rsid w:val="00A42DBA"/>
    <w:rsid w:val="00A434BB"/>
    <w:rsid w:val="00A4357E"/>
    <w:rsid w:val="00A43843"/>
    <w:rsid w:val="00A4432F"/>
    <w:rsid w:val="00A4453F"/>
    <w:rsid w:val="00A45507"/>
    <w:rsid w:val="00A45D5C"/>
    <w:rsid w:val="00A46352"/>
    <w:rsid w:val="00A4641A"/>
    <w:rsid w:val="00A46AD1"/>
    <w:rsid w:val="00A4771E"/>
    <w:rsid w:val="00A501B1"/>
    <w:rsid w:val="00A505B4"/>
    <w:rsid w:val="00A51840"/>
    <w:rsid w:val="00A53161"/>
    <w:rsid w:val="00A5588E"/>
    <w:rsid w:val="00A559E8"/>
    <w:rsid w:val="00A55FB6"/>
    <w:rsid w:val="00A566B8"/>
    <w:rsid w:val="00A57805"/>
    <w:rsid w:val="00A57B1C"/>
    <w:rsid w:val="00A60751"/>
    <w:rsid w:val="00A60C3A"/>
    <w:rsid w:val="00A6104E"/>
    <w:rsid w:val="00A61364"/>
    <w:rsid w:val="00A61705"/>
    <w:rsid w:val="00A61B82"/>
    <w:rsid w:val="00A621FA"/>
    <w:rsid w:val="00A624D3"/>
    <w:rsid w:val="00A63B5B"/>
    <w:rsid w:val="00A63F11"/>
    <w:rsid w:val="00A65C82"/>
    <w:rsid w:val="00A66943"/>
    <w:rsid w:val="00A67F46"/>
    <w:rsid w:val="00A703A1"/>
    <w:rsid w:val="00A70DA2"/>
    <w:rsid w:val="00A71417"/>
    <w:rsid w:val="00A7182D"/>
    <w:rsid w:val="00A7233F"/>
    <w:rsid w:val="00A723C3"/>
    <w:rsid w:val="00A7277A"/>
    <w:rsid w:val="00A72946"/>
    <w:rsid w:val="00A72983"/>
    <w:rsid w:val="00A72C5A"/>
    <w:rsid w:val="00A73E4D"/>
    <w:rsid w:val="00A7447D"/>
    <w:rsid w:val="00A755E8"/>
    <w:rsid w:val="00A75AE4"/>
    <w:rsid w:val="00A75FA3"/>
    <w:rsid w:val="00A7690D"/>
    <w:rsid w:val="00A76D0F"/>
    <w:rsid w:val="00A770F6"/>
    <w:rsid w:val="00A80CBA"/>
    <w:rsid w:val="00A814AD"/>
    <w:rsid w:val="00A81913"/>
    <w:rsid w:val="00A81C49"/>
    <w:rsid w:val="00A82238"/>
    <w:rsid w:val="00A823B4"/>
    <w:rsid w:val="00A82ADD"/>
    <w:rsid w:val="00A82C5E"/>
    <w:rsid w:val="00A85400"/>
    <w:rsid w:val="00A85E97"/>
    <w:rsid w:val="00A86039"/>
    <w:rsid w:val="00A869CA"/>
    <w:rsid w:val="00A87484"/>
    <w:rsid w:val="00A87F8A"/>
    <w:rsid w:val="00A90E29"/>
    <w:rsid w:val="00A90E9F"/>
    <w:rsid w:val="00A91412"/>
    <w:rsid w:val="00A916F2"/>
    <w:rsid w:val="00A91A14"/>
    <w:rsid w:val="00A91BD5"/>
    <w:rsid w:val="00A92381"/>
    <w:rsid w:val="00A925C7"/>
    <w:rsid w:val="00A925E6"/>
    <w:rsid w:val="00A93402"/>
    <w:rsid w:val="00A94DAA"/>
    <w:rsid w:val="00A94E0C"/>
    <w:rsid w:val="00A953ED"/>
    <w:rsid w:val="00A96142"/>
    <w:rsid w:val="00A961ED"/>
    <w:rsid w:val="00A96300"/>
    <w:rsid w:val="00A97A2E"/>
    <w:rsid w:val="00A97A82"/>
    <w:rsid w:val="00A97F27"/>
    <w:rsid w:val="00AA0BF5"/>
    <w:rsid w:val="00AA16F9"/>
    <w:rsid w:val="00AA1DF2"/>
    <w:rsid w:val="00AA2234"/>
    <w:rsid w:val="00AA23E3"/>
    <w:rsid w:val="00AA2DCA"/>
    <w:rsid w:val="00AA2EE5"/>
    <w:rsid w:val="00AA541B"/>
    <w:rsid w:val="00AA5E4B"/>
    <w:rsid w:val="00AA63CB"/>
    <w:rsid w:val="00AA69F5"/>
    <w:rsid w:val="00AA6D1A"/>
    <w:rsid w:val="00AA74D4"/>
    <w:rsid w:val="00AA7858"/>
    <w:rsid w:val="00AA7A1B"/>
    <w:rsid w:val="00AB080E"/>
    <w:rsid w:val="00AB0E1F"/>
    <w:rsid w:val="00AB0FBE"/>
    <w:rsid w:val="00AB159A"/>
    <w:rsid w:val="00AB1B20"/>
    <w:rsid w:val="00AB2FF6"/>
    <w:rsid w:val="00AB3057"/>
    <w:rsid w:val="00AB380D"/>
    <w:rsid w:val="00AB5CCC"/>
    <w:rsid w:val="00AB6412"/>
    <w:rsid w:val="00AB6CE2"/>
    <w:rsid w:val="00AB7053"/>
    <w:rsid w:val="00AC0A6D"/>
    <w:rsid w:val="00AC1391"/>
    <w:rsid w:val="00AC2E87"/>
    <w:rsid w:val="00AC342E"/>
    <w:rsid w:val="00AC37F3"/>
    <w:rsid w:val="00AC3CA7"/>
    <w:rsid w:val="00AC42A8"/>
    <w:rsid w:val="00AC449F"/>
    <w:rsid w:val="00AC4D26"/>
    <w:rsid w:val="00AC4D89"/>
    <w:rsid w:val="00AC4EB8"/>
    <w:rsid w:val="00AC4FC7"/>
    <w:rsid w:val="00AC5492"/>
    <w:rsid w:val="00AC5D74"/>
    <w:rsid w:val="00AC5FDE"/>
    <w:rsid w:val="00AC63D1"/>
    <w:rsid w:val="00AC688F"/>
    <w:rsid w:val="00AC7438"/>
    <w:rsid w:val="00AC75A3"/>
    <w:rsid w:val="00AC7C31"/>
    <w:rsid w:val="00AC7E85"/>
    <w:rsid w:val="00AD0186"/>
    <w:rsid w:val="00AD043F"/>
    <w:rsid w:val="00AD0537"/>
    <w:rsid w:val="00AD08EE"/>
    <w:rsid w:val="00AD21E9"/>
    <w:rsid w:val="00AD2909"/>
    <w:rsid w:val="00AD2980"/>
    <w:rsid w:val="00AD2D3B"/>
    <w:rsid w:val="00AD477B"/>
    <w:rsid w:val="00AD4F00"/>
    <w:rsid w:val="00AD5185"/>
    <w:rsid w:val="00AD5792"/>
    <w:rsid w:val="00AD6F1A"/>
    <w:rsid w:val="00AD71F7"/>
    <w:rsid w:val="00AD7B42"/>
    <w:rsid w:val="00AE0B1C"/>
    <w:rsid w:val="00AE0B1F"/>
    <w:rsid w:val="00AE11C6"/>
    <w:rsid w:val="00AE132C"/>
    <w:rsid w:val="00AE14F6"/>
    <w:rsid w:val="00AE177E"/>
    <w:rsid w:val="00AE21A5"/>
    <w:rsid w:val="00AE2EF5"/>
    <w:rsid w:val="00AE2FF4"/>
    <w:rsid w:val="00AE377B"/>
    <w:rsid w:val="00AE3D54"/>
    <w:rsid w:val="00AE3DEA"/>
    <w:rsid w:val="00AE44E9"/>
    <w:rsid w:val="00AE4AE9"/>
    <w:rsid w:val="00AE55B8"/>
    <w:rsid w:val="00AE5F27"/>
    <w:rsid w:val="00AE6F91"/>
    <w:rsid w:val="00AE7710"/>
    <w:rsid w:val="00AE7953"/>
    <w:rsid w:val="00AE7A9A"/>
    <w:rsid w:val="00AF0C36"/>
    <w:rsid w:val="00AF0D55"/>
    <w:rsid w:val="00AF0DCC"/>
    <w:rsid w:val="00AF1D47"/>
    <w:rsid w:val="00AF2064"/>
    <w:rsid w:val="00AF20A7"/>
    <w:rsid w:val="00AF266F"/>
    <w:rsid w:val="00AF2DCF"/>
    <w:rsid w:val="00AF39A7"/>
    <w:rsid w:val="00AF3A10"/>
    <w:rsid w:val="00AF3DDA"/>
    <w:rsid w:val="00AF43C7"/>
    <w:rsid w:val="00AF45FE"/>
    <w:rsid w:val="00AF5281"/>
    <w:rsid w:val="00AF534E"/>
    <w:rsid w:val="00AF5536"/>
    <w:rsid w:val="00AF589F"/>
    <w:rsid w:val="00AF5D6E"/>
    <w:rsid w:val="00AF61C3"/>
    <w:rsid w:val="00AF6B34"/>
    <w:rsid w:val="00B01453"/>
    <w:rsid w:val="00B0147C"/>
    <w:rsid w:val="00B01AEC"/>
    <w:rsid w:val="00B01C2D"/>
    <w:rsid w:val="00B021BD"/>
    <w:rsid w:val="00B02A46"/>
    <w:rsid w:val="00B03CB7"/>
    <w:rsid w:val="00B049C7"/>
    <w:rsid w:val="00B0537B"/>
    <w:rsid w:val="00B05C44"/>
    <w:rsid w:val="00B05FBC"/>
    <w:rsid w:val="00B069A5"/>
    <w:rsid w:val="00B06A5B"/>
    <w:rsid w:val="00B06A72"/>
    <w:rsid w:val="00B06D01"/>
    <w:rsid w:val="00B077C9"/>
    <w:rsid w:val="00B1111A"/>
    <w:rsid w:val="00B11C82"/>
    <w:rsid w:val="00B12339"/>
    <w:rsid w:val="00B12A65"/>
    <w:rsid w:val="00B136FC"/>
    <w:rsid w:val="00B13898"/>
    <w:rsid w:val="00B13E47"/>
    <w:rsid w:val="00B13F07"/>
    <w:rsid w:val="00B13F4B"/>
    <w:rsid w:val="00B140AB"/>
    <w:rsid w:val="00B1462C"/>
    <w:rsid w:val="00B1488B"/>
    <w:rsid w:val="00B15523"/>
    <w:rsid w:val="00B15E12"/>
    <w:rsid w:val="00B16126"/>
    <w:rsid w:val="00B1644A"/>
    <w:rsid w:val="00B176C1"/>
    <w:rsid w:val="00B20165"/>
    <w:rsid w:val="00B20268"/>
    <w:rsid w:val="00B2101E"/>
    <w:rsid w:val="00B21676"/>
    <w:rsid w:val="00B2185E"/>
    <w:rsid w:val="00B22025"/>
    <w:rsid w:val="00B22A90"/>
    <w:rsid w:val="00B23487"/>
    <w:rsid w:val="00B237F8"/>
    <w:rsid w:val="00B2380B"/>
    <w:rsid w:val="00B23DDB"/>
    <w:rsid w:val="00B23DEF"/>
    <w:rsid w:val="00B23F0D"/>
    <w:rsid w:val="00B24061"/>
    <w:rsid w:val="00B24176"/>
    <w:rsid w:val="00B24460"/>
    <w:rsid w:val="00B25062"/>
    <w:rsid w:val="00B25DA9"/>
    <w:rsid w:val="00B25EA7"/>
    <w:rsid w:val="00B25F11"/>
    <w:rsid w:val="00B263FE"/>
    <w:rsid w:val="00B268BB"/>
    <w:rsid w:val="00B26FA5"/>
    <w:rsid w:val="00B272DC"/>
    <w:rsid w:val="00B30130"/>
    <w:rsid w:val="00B302C9"/>
    <w:rsid w:val="00B30432"/>
    <w:rsid w:val="00B31FF0"/>
    <w:rsid w:val="00B32028"/>
    <w:rsid w:val="00B32925"/>
    <w:rsid w:val="00B32D2D"/>
    <w:rsid w:val="00B33083"/>
    <w:rsid w:val="00B34140"/>
    <w:rsid w:val="00B34E81"/>
    <w:rsid w:val="00B353E9"/>
    <w:rsid w:val="00B35A96"/>
    <w:rsid w:val="00B3674D"/>
    <w:rsid w:val="00B36E00"/>
    <w:rsid w:val="00B3702B"/>
    <w:rsid w:val="00B373A3"/>
    <w:rsid w:val="00B402B1"/>
    <w:rsid w:val="00B40AFE"/>
    <w:rsid w:val="00B40B4D"/>
    <w:rsid w:val="00B40D01"/>
    <w:rsid w:val="00B41D20"/>
    <w:rsid w:val="00B42DF9"/>
    <w:rsid w:val="00B4418F"/>
    <w:rsid w:val="00B44467"/>
    <w:rsid w:val="00B4460A"/>
    <w:rsid w:val="00B44A8B"/>
    <w:rsid w:val="00B44BB7"/>
    <w:rsid w:val="00B44C50"/>
    <w:rsid w:val="00B44D66"/>
    <w:rsid w:val="00B45575"/>
    <w:rsid w:val="00B460B3"/>
    <w:rsid w:val="00B466F7"/>
    <w:rsid w:val="00B46CCD"/>
    <w:rsid w:val="00B475A6"/>
    <w:rsid w:val="00B47793"/>
    <w:rsid w:val="00B47A18"/>
    <w:rsid w:val="00B47C6F"/>
    <w:rsid w:val="00B5028B"/>
    <w:rsid w:val="00B50598"/>
    <w:rsid w:val="00B50D61"/>
    <w:rsid w:val="00B50DE0"/>
    <w:rsid w:val="00B51720"/>
    <w:rsid w:val="00B517DD"/>
    <w:rsid w:val="00B51831"/>
    <w:rsid w:val="00B51E15"/>
    <w:rsid w:val="00B532D4"/>
    <w:rsid w:val="00B5330F"/>
    <w:rsid w:val="00B53A95"/>
    <w:rsid w:val="00B53B9C"/>
    <w:rsid w:val="00B53C20"/>
    <w:rsid w:val="00B5453F"/>
    <w:rsid w:val="00B545D4"/>
    <w:rsid w:val="00B5481B"/>
    <w:rsid w:val="00B54C11"/>
    <w:rsid w:val="00B54CD4"/>
    <w:rsid w:val="00B550C1"/>
    <w:rsid w:val="00B555E3"/>
    <w:rsid w:val="00B55ED4"/>
    <w:rsid w:val="00B5634E"/>
    <w:rsid w:val="00B56C27"/>
    <w:rsid w:val="00B60624"/>
    <w:rsid w:val="00B60DC1"/>
    <w:rsid w:val="00B61313"/>
    <w:rsid w:val="00B61D5C"/>
    <w:rsid w:val="00B61E74"/>
    <w:rsid w:val="00B6213F"/>
    <w:rsid w:val="00B6223F"/>
    <w:rsid w:val="00B62595"/>
    <w:rsid w:val="00B625CB"/>
    <w:rsid w:val="00B626F4"/>
    <w:rsid w:val="00B62C01"/>
    <w:rsid w:val="00B64016"/>
    <w:rsid w:val="00B646DA"/>
    <w:rsid w:val="00B64864"/>
    <w:rsid w:val="00B64930"/>
    <w:rsid w:val="00B64E49"/>
    <w:rsid w:val="00B651FC"/>
    <w:rsid w:val="00B6537A"/>
    <w:rsid w:val="00B65CB3"/>
    <w:rsid w:val="00B66486"/>
    <w:rsid w:val="00B66569"/>
    <w:rsid w:val="00B675F2"/>
    <w:rsid w:val="00B70363"/>
    <w:rsid w:val="00B706E8"/>
    <w:rsid w:val="00B70D52"/>
    <w:rsid w:val="00B7114D"/>
    <w:rsid w:val="00B715E6"/>
    <w:rsid w:val="00B716D2"/>
    <w:rsid w:val="00B718EA"/>
    <w:rsid w:val="00B71E31"/>
    <w:rsid w:val="00B72B17"/>
    <w:rsid w:val="00B73869"/>
    <w:rsid w:val="00B73A3D"/>
    <w:rsid w:val="00B74E67"/>
    <w:rsid w:val="00B75511"/>
    <w:rsid w:val="00B76DA9"/>
    <w:rsid w:val="00B7732F"/>
    <w:rsid w:val="00B7780B"/>
    <w:rsid w:val="00B77A98"/>
    <w:rsid w:val="00B80DDD"/>
    <w:rsid w:val="00B81557"/>
    <w:rsid w:val="00B823C1"/>
    <w:rsid w:val="00B82C4E"/>
    <w:rsid w:val="00B82D43"/>
    <w:rsid w:val="00B834CE"/>
    <w:rsid w:val="00B837D0"/>
    <w:rsid w:val="00B839F2"/>
    <w:rsid w:val="00B8420D"/>
    <w:rsid w:val="00B84457"/>
    <w:rsid w:val="00B84996"/>
    <w:rsid w:val="00B84A94"/>
    <w:rsid w:val="00B85D96"/>
    <w:rsid w:val="00B85DB0"/>
    <w:rsid w:val="00B85E0E"/>
    <w:rsid w:val="00B85F47"/>
    <w:rsid w:val="00B870C1"/>
    <w:rsid w:val="00B87593"/>
    <w:rsid w:val="00B91C1D"/>
    <w:rsid w:val="00B91E17"/>
    <w:rsid w:val="00B91E70"/>
    <w:rsid w:val="00B925A3"/>
    <w:rsid w:val="00B925B6"/>
    <w:rsid w:val="00B937CF"/>
    <w:rsid w:val="00B93955"/>
    <w:rsid w:val="00B940D2"/>
    <w:rsid w:val="00B953B4"/>
    <w:rsid w:val="00B96CA2"/>
    <w:rsid w:val="00B97282"/>
    <w:rsid w:val="00B97BFD"/>
    <w:rsid w:val="00B97D96"/>
    <w:rsid w:val="00BA0839"/>
    <w:rsid w:val="00BA0F23"/>
    <w:rsid w:val="00BA1140"/>
    <w:rsid w:val="00BA15F0"/>
    <w:rsid w:val="00BA228E"/>
    <w:rsid w:val="00BA2B12"/>
    <w:rsid w:val="00BA2CEB"/>
    <w:rsid w:val="00BA368B"/>
    <w:rsid w:val="00BA40FC"/>
    <w:rsid w:val="00BA4721"/>
    <w:rsid w:val="00BA4A84"/>
    <w:rsid w:val="00BA4C5A"/>
    <w:rsid w:val="00BA4DE8"/>
    <w:rsid w:val="00BA51F5"/>
    <w:rsid w:val="00BA534C"/>
    <w:rsid w:val="00BA6DE4"/>
    <w:rsid w:val="00BA7BDB"/>
    <w:rsid w:val="00BB0089"/>
    <w:rsid w:val="00BB0A61"/>
    <w:rsid w:val="00BB0D21"/>
    <w:rsid w:val="00BB1015"/>
    <w:rsid w:val="00BB14B2"/>
    <w:rsid w:val="00BB2540"/>
    <w:rsid w:val="00BB28BA"/>
    <w:rsid w:val="00BB3350"/>
    <w:rsid w:val="00BB486F"/>
    <w:rsid w:val="00BB4997"/>
    <w:rsid w:val="00BB4E19"/>
    <w:rsid w:val="00BB55A4"/>
    <w:rsid w:val="00BB5762"/>
    <w:rsid w:val="00BB5AF6"/>
    <w:rsid w:val="00BB6619"/>
    <w:rsid w:val="00BB6824"/>
    <w:rsid w:val="00BB6BA0"/>
    <w:rsid w:val="00BB6DEF"/>
    <w:rsid w:val="00BB75E5"/>
    <w:rsid w:val="00BB761A"/>
    <w:rsid w:val="00BB77EE"/>
    <w:rsid w:val="00BB781D"/>
    <w:rsid w:val="00BB7AF7"/>
    <w:rsid w:val="00BB7D32"/>
    <w:rsid w:val="00BB7FBB"/>
    <w:rsid w:val="00BC07C2"/>
    <w:rsid w:val="00BC0D6A"/>
    <w:rsid w:val="00BC13FE"/>
    <w:rsid w:val="00BC2282"/>
    <w:rsid w:val="00BC27C1"/>
    <w:rsid w:val="00BC292A"/>
    <w:rsid w:val="00BC2C6F"/>
    <w:rsid w:val="00BC3B9F"/>
    <w:rsid w:val="00BC3DAE"/>
    <w:rsid w:val="00BC434D"/>
    <w:rsid w:val="00BC4662"/>
    <w:rsid w:val="00BC51DE"/>
    <w:rsid w:val="00BC5ABF"/>
    <w:rsid w:val="00BC6012"/>
    <w:rsid w:val="00BC699C"/>
    <w:rsid w:val="00BC76E4"/>
    <w:rsid w:val="00BC7704"/>
    <w:rsid w:val="00BC78E8"/>
    <w:rsid w:val="00BC7B86"/>
    <w:rsid w:val="00BC7EDE"/>
    <w:rsid w:val="00BD0A1B"/>
    <w:rsid w:val="00BD0D1C"/>
    <w:rsid w:val="00BD1432"/>
    <w:rsid w:val="00BD2FD2"/>
    <w:rsid w:val="00BD3E5E"/>
    <w:rsid w:val="00BD5854"/>
    <w:rsid w:val="00BD5BAB"/>
    <w:rsid w:val="00BD675A"/>
    <w:rsid w:val="00BE0074"/>
    <w:rsid w:val="00BE045B"/>
    <w:rsid w:val="00BE176E"/>
    <w:rsid w:val="00BE1BCB"/>
    <w:rsid w:val="00BE2057"/>
    <w:rsid w:val="00BE20D4"/>
    <w:rsid w:val="00BE24EA"/>
    <w:rsid w:val="00BE35C1"/>
    <w:rsid w:val="00BE3611"/>
    <w:rsid w:val="00BE4AFB"/>
    <w:rsid w:val="00BE4D29"/>
    <w:rsid w:val="00BE5295"/>
    <w:rsid w:val="00BE561A"/>
    <w:rsid w:val="00BE59F9"/>
    <w:rsid w:val="00BE5C99"/>
    <w:rsid w:val="00BE6C82"/>
    <w:rsid w:val="00BE7266"/>
    <w:rsid w:val="00BE72EC"/>
    <w:rsid w:val="00BE748F"/>
    <w:rsid w:val="00BE7744"/>
    <w:rsid w:val="00BE7E2C"/>
    <w:rsid w:val="00BE7E95"/>
    <w:rsid w:val="00BE7F57"/>
    <w:rsid w:val="00BF0042"/>
    <w:rsid w:val="00BF0725"/>
    <w:rsid w:val="00BF0FF5"/>
    <w:rsid w:val="00BF1124"/>
    <w:rsid w:val="00BF13A0"/>
    <w:rsid w:val="00BF1D5B"/>
    <w:rsid w:val="00BF2317"/>
    <w:rsid w:val="00BF27F5"/>
    <w:rsid w:val="00BF28D9"/>
    <w:rsid w:val="00BF2D85"/>
    <w:rsid w:val="00BF4245"/>
    <w:rsid w:val="00BF4682"/>
    <w:rsid w:val="00BF4961"/>
    <w:rsid w:val="00BF4FE9"/>
    <w:rsid w:val="00BF522B"/>
    <w:rsid w:val="00BF5C92"/>
    <w:rsid w:val="00BF5D71"/>
    <w:rsid w:val="00BF681B"/>
    <w:rsid w:val="00BF7DA9"/>
    <w:rsid w:val="00C00442"/>
    <w:rsid w:val="00C00918"/>
    <w:rsid w:val="00C01A16"/>
    <w:rsid w:val="00C01EBA"/>
    <w:rsid w:val="00C02043"/>
    <w:rsid w:val="00C02432"/>
    <w:rsid w:val="00C025C7"/>
    <w:rsid w:val="00C02653"/>
    <w:rsid w:val="00C026E8"/>
    <w:rsid w:val="00C02782"/>
    <w:rsid w:val="00C02D69"/>
    <w:rsid w:val="00C03053"/>
    <w:rsid w:val="00C03B83"/>
    <w:rsid w:val="00C03F75"/>
    <w:rsid w:val="00C04587"/>
    <w:rsid w:val="00C0512D"/>
    <w:rsid w:val="00C05790"/>
    <w:rsid w:val="00C057D7"/>
    <w:rsid w:val="00C05915"/>
    <w:rsid w:val="00C059EB"/>
    <w:rsid w:val="00C05ECA"/>
    <w:rsid w:val="00C06A70"/>
    <w:rsid w:val="00C06B63"/>
    <w:rsid w:val="00C105AF"/>
    <w:rsid w:val="00C106A6"/>
    <w:rsid w:val="00C106EF"/>
    <w:rsid w:val="00C10AF9"/>
    <w:rsid w:val="00C116EE"/>
    <w:rsid w:val="00C11705"/>
    <w:rsid w:val="00C127DD"/>
    <w:rsid w:val="00C1282A"/>
    <w:rsid w:val="00C12958"/>
    <w:rsid w:val="00C12BD9"/>
    <w:rsid w:val="00C1311F"/>
    <w:rsid w:val="00C13F09"/>
    <w:rsid w:val="00C14A74"/>
    <w:rsid w:val="00C14DAE"/>
    <w:rsid w:val="00C150B4"/>
    <w:rsid w:val="00C15265"/>
    <w:rsid w:val="00C15292"/>
    <w:rsid w:val="00C15FED"/>
    <w:rsid w:val="00C16050"/>
    <w:rsid w:val="00C16064"/>
    <w:rsid w:val="00C16682"/>
    <w:rsid w:val="00C16863"/>
    <w:rsid w:val="00C171E8"/>
    <w:rsid w:val="00C175C8"/>
    <w:rsid w:val="00C17F96"/>
    <w:rsid w:val="00C2025E"/>
    <w:rsid w:val="00C204D9"/>
    <w:rsid w:val="00C21089"/>
    <w:rsid w:val="00C21504"/>
    <w:rsid w:val="00C215E1"/>
    <w:rsid w:val="00C222C4"/>
    <w:rsid w:val="00C2289C"/>
    <w:rsid w:val="00C22D64"/>
    <w:rsid w:val="00C22F94"/>
    <w:rsid w:val="00C2312D"/>
    <w:rsid w:val="00C2431F"/>
    <w:rsid w:val="00C24649"/>
    <w:rsid w:val="00C27CB4"/>
    <w:rsid w:val="00C27CFA"/>
    <w:rsid w:val="00C305FE"/>
    <w:rsid w:val="00C31550"/>
    <w:rsid w:val="00C31728"/>
    <w:rsid w:val="00C318D8"/>
    <w:rsid w:val="00C3285C"/>
    <w:rsid w:val="00C32B47"/>
    <w:rsid w:val="00C3343B"/>
    <w:rsid w:val="00C34339"/>
    <w:rsid w:val="00C34704"/>
    <w:rsid w:val="00C34919"/>
    <w:rsid w:val="00C35044"/>
    <w:rsid w:val="00C3573E"/>
    <w:rsid w:val="00C357DE"/>
    <w:rsid w:val="00C35A53"/>
    <w:rsid w:val="00C35C80"/>
    <w:rsid w:val="00C35FA1"/>
    <w:rsid w:val="00C36630"/>
    <w:rsid w:val="00C3698F"/>
    <w:rsid w:val="00C371D9"/>
    <w:rsid w:val="00C37690"/>
    <w:rsid w:val="00C379FA"/>
    <w:rsid w:val="00C4012C"/>
    <w:rsid w:val="00C40557"/>
    <w:rsid w:val="00C417DB"/>
    <w:rsid w:val="00C41805"/>
    <w:rsid w:val="00C42032"/>
    <w:rsid w:val="00C422B4"/>
    <w:rsid w:val="00C423F2"/>
    <w:rsid w:val="00C42CED"/>
    <w:rsid w:val="00C438B4"/>
    <w:rsid w:val="00C4402C"/>
    <w:rsid w:val="00C44253"/>
    <w:rsid w:val="00C4598F"/>
    <w:rsid w:val="00C45BE8"/>
    <w:rsid w:val="00C45C11"/>
    <w:rsid w:val="00C45C91"/>
    <w:rsid w:val="00C472BD"/>
    <w:rsid w:val="00C474F5"/>
    <w:rsid w:val="00C4787D"/>
    <w:rsid w:val="00C47DBB"/>
    <w:rsid w:val="00C50D0A"/>
    <w:rsid w:val="00C51B19"/>
    <w:rsid w:val="00C52BA7"/>
    <w:rsid w:val="00C52D44"/>
    <w:rsid w:val="00C53145"/>
    <w:rsid w:val="00C53535"/>
    <w:rsid w:val="00C53749"/>
    <w:rsid w:val="00C53D6D"/>
    <w:rsid w:val="00C54146"/>
    <w:rsid w:val="00C54A2D"/>
    <w:rsid w:val="00C54D0F"/>
    <w:rsid w:val="00C54F2C"/>
    <w:rsid w:val="00C55310"/>
    <w:rsid w:val="00C558D3"/>
    <w:rsid w:val="00C560C0"/>
    <w:rsid w:val="00C56501"/>
    <w:rsid w:val="00C56B9E"/>
    <w:rsid w:val="00C56BD4"/>
    <w:rsid w:val="00C57C49"/>
    <w:rsid w:val="00C606B9"/>
    <w:rsid w:val="00C60A78"/>
    <w:rsid w:val="00C60C68"/>
    <w:rsid w:val="00C60F77"/>
    <w:rsid w:val="00C6171E"/>
    <w:rsid w:val="00C6175A"/>
    <w:rsid w:val="00C6229C"/>
    <w:rsid w:val="00C62A69"/>
    <w:rsid w:val="00C62CE7"/>
    <w:rsid w:val="00C63A46"/>
    <w:rsid w:val="00C641EC"/>
    <w:rsid w:val="00C64297"/>
    <w:rsid w:val="00C647D7"/>
    <w:rsid w:val="00C64823"/>
    <w:rsid w:val="00C65252"/>
    <w:rsid w:val="00C653DE"/>
    <w:rsid w:val="00C654A2"/>
    <w:rsid w:val="00C65627"/>
    <w:rsid w:val="00C66DEB"/>
    <w:rsid w:val="00C66ECC"/>
    <w:rsid w:val="00C67C71"/>
    <w:rsid w:val="00C67F84"/>
    <w:rsid w:val="00C7014E"/>
    <w:rsid w:val="00C70A5F"/>
    <w:rsid w:val="00C70D4C"/>
    <w:rsid w:val="00C71123"/>
    <w:rsid w:val="00C714E0"/>
    <w:rsid w:val="00C71558"/>
    <w:rsid w:val="00C717F9"/>
    <w:rsid w:val="00C71B38"/>
    <w:rsid w:val="00C73B24"/>
    <w:rsid w:val="00C74122"/>
    <w:rsid w:val="00C74129"/>
    <w:rsid w:val="00C74705"/>
    <w:rsid w:val="00C74E5E"/>
    <w:rsid w:val="00C75092"/>
    <w:rsid w:val="00C751FB"/>
    <w:rsid w:val="00C76226"/>
    <w:rsid w:val="00C76352"/>
    <w:rsid w:val="00C76897"/>
    <w:rsid w:val="00C76A9D"/>
    <w:rsid w:val="00C7703E"/>
    <w:rsid w:val="00C778A4"/>
    <w:rsid w:val="00C77B60"/>
    <w:rsid w:val="00C77E2A"/>
    <w:rsid w:val="00C803D9"/>
    <w:rsid w:val="00C807F3"/>
    <w:rsid w:val="00C8084D"/>
    <w:rsid w:val="00C8113B"/>
    <w:rsid w:val="00C81205"/>
    <w:rsid w:val="00C81423"/>
    <w:rsid w:val="00C81A06"/>
    <w:rsid w:val="00C81CAA"/>
    <w:rsid w:val="00C832DB"/>
    <w:rsid w:val="00C8357F"/>
    <w:rsid w:val="00C8409F"/>
    <w:rsid w:val="00C8454B"/>
    <w:rsid w:val="00C84CBD"/>
    <w:rsid w:val="00C84F10"/>
    <w:rsid w:val="00C857B8"/>
    <w:rsid w:val="00C85A29"/>
    <w:rsid w:val="00C85D49"/>
    <w:rsid w:val="00C85DA8"/>
    <w:rsid w:val="00C86BFD"/>
    <w:rsid w:val="00C86C56"/>
    <w:rsid w:val="00C9078D"/>
    <w:rsid w:val="00C909C0"/>
    <w:rsid w:val="00C90C50"/>
    <w:rsid w:val="00C918FA"/>
    <w:rsid w:val="00C91D6D"/>
    <w:rsid w:val="00C93DC8"/>
    <w:rsid w:val="00C953D4"/>
    <w:rsid w:val="00C96C0E"/>
    <w:rsid w:val="00C96C0F"/>
    <w:rsid w:val="00C97257"/>
    <w:rsid w:val="00CA0267"/>
    <w:rsid w:val="00CA038C"/>
    <w:rsid w:val="00CA0F93"/>
    <w:rsid w:val="00CA11D1"/>
    <w:rsid w:val="00CA1AD5"/>
    <w:rsid w:val="00CA28E7"/>
    <w:rsid w:val="00CA3010"/>
    <w:rsid w:val="00CA30EC"/>
    <w:rsid w:val="00CA317A"/>
    <w:rsid w:val="00CA3EE8"/>
    <w:rsid w:val="00CA3F5F"/>
    <w:rsid w:val="00CA3FAC"/>
    <w:rsid w:val="00CA48F4"/>
    <w:rsid w:val="00CA4A23"/>
    <w:rsid w:val="00CA5413"/>
    <w:rsid w:val="00CA55AA"/>
    <w:rsid w:val="00CA600F"/>
    <w:rsid w:val="00CA7878"/>
    <w:rsid w:val="00CA794B"/>
    <w:rsid w:val="00CB04C3"/>
    <w:rsid w:val="00CB094A"/>
    <w:rsid w:val="00CB0E25"/>
    <w:rsid w:val="00CB173B"/>
    <w:rsid w:val="00CB1893"/>
    <w:rsid w:val="00CB245F"/>
    <w:rsid w:val="00CB2E4F"/>
    <w:rsid w:val="00CB321D"/>
    <w:rsid w:val="00CB34BE"/>
    <w:rsid w:val="00CB46F0"/>
    <w:rsid w:val="00CB4E2F"/>
    <w:rsid w:val="00CB5957"/>
    <w:rsid w:val="00CB5982"/>
    <w:rsid w:val="00CB5A80"/>
    <w:rsid w:val="00CB5D45"/>
    <w:rsid w:val="00CB5F4C"/>
    <w:rsid w:val="00CB60F3"/>
    <w:rsid w:val="00CB65E1"/>
    <w:rsid w:val="00CB661D"/>
    <w:rsid w:val="00CB6DD0"/>
    <w:rsid w:val="00CB72D2"/>
    <w:rsid w:val="00CB7CDE"/>
    <w:rsid w:val="00CC0D95"/>
    <w:rsid w:val="00CC1325"/>
    <w:rsid w:val="00CC142E"/>
    <w:rsid w:val="00CC22D7"/>
    <w:rsid w:val="00CC2617"/>
    <w:rsid w:val="00CC2AF1"/>
    <w:rsid w:val="00CC3AB5"/>
    <w:rsid w:val="00CC4720"/>
    <w:rsid w:val="00CC4779"/>
    <w:rsid w:val="00CC478F"/>
    <w:rsid w:val="00CC4A78"/>
    <w:rsid w:val="00CC5583"/>
    <w:rsid w:val="00CC5B7C"/>
    <w:rsid w:val="00CC6292"/>
    <w:rsid w:val="00CC6756"/>
    <w:rsid w:val="00CC6962"/>
    <w:rsid w:val="00CC71DA"/>
    <w:rsid w:val="00CC7591"/>
    <w:rsid w:val="00CC7601"/>
    <w:rsid w:val="00CD0177"/>
    <w:rsid w:val="00CD1778"/>
    <w:rsid w:val="00CD1A74"/>
    <w:rsid w:val="00CD24AA"/>
    <w:rsid w:val="00CD262A"/>
    <w:rsid w:val="00CD2A30"/>
    <w:rsid w:val="00CD2E0F"/>
    <w:rsid w:val="00CD3224"/>
    <w:rsid w:val="00CD45BC"/>
    <w:rsid w:val="00CD4B6D"/>
    <w:rsid w:val="00CD51E0"/>
    <w:rsid w:val="00CD5A13"/>
    <w:rsid w:val="00CD681D"/>
    <w:rsid w:val="00CD6C64"/>
    <w:rsid w:val="00CD6E2B"/>
    <w:rsid w:val="00CD7577"/>
    <w:rsid w:val="00CE00B8"/>
    <w:rsid w:val="00CE0244"/>
    <w:rsid w:val="00CE0401"/>
    <w:rsid w:val="00CE0575"/>
    <w:rsid w:val="00CE0AAF"/>
    <w:rsid w:val="00CE0D1C"/>
    <w:rsid w:val="00CE1F92"/>
    <w:rsid w:val="00CE1FF4"/>
    <w:rsid w:val="00CE2442"/>
    <w:rsid w:val="00CE298F"/>
    <w:rsid w:val="00CE3DA0"/>
    <w:rsid w:val="00CE5239"/>
    <w:rsid w:val="00CE5341"/>
    <w:rsid w:val="00CE55A5"/>
    <w:rsid w:val="00CE5690"/>
    <w:rsid w:val="00CE647A"/>
    <w:rsid w:val="00CE6502"/>
    <w:rsid w:val="00CE6897"/>
    <w:rsid w:val="00CE744F"/>
    <w:rsid w:val="00CE79D9"/>
    <w:rsid w:val="00CE7C0C"/>
    <w:rsid w:val="00CF0347"/>
    <w:rsid w:val="00CF08E2"/>
    <w:rsid w:val="00CF1A4A"/>
    <w:rsid w:val="00CF1EA6"/>
    <w:rsid w:val="00CF2AD7"/>
    <w:rsid w:val="00CF35CE"/>
    <w:rsid w:val="00CF3A49"/>
    <w:rsid w:val="00CF42B4"/>
    <w:rsid w:val="00CF4B17"/>
    <w:rsid w:val="00CF5165"/>
    <w:rsid w:val="00CF5CE0"/>
    <w:rsid w:val="00CF5F9A"/>
    <w:rsid w:val="00CF65D6"/>
    <w:rsid w:val="00CF6A33"/>
    <w:rsid w:val="00CF6E41"/>
    <w:rsid w:val="00CF6F61"/>
    <w:rsid w:val="00CF7818"/>
    <w:rsid w:val="00CF78BB"/>
    <w:rsid w:val="00CF7A9F"/>
    <w:rsid w:val="00CF7E46"/>
    <w:rsid w:val="00D004F4"/>
    <w:rsid w:val="00D00A7A"/>
    <w:rsid w:val="00D00F6C"/>
    <w:rsid w:val="00D01CEB"/>
    <w:rsid w:val="00D01FCF"/>
    <w:rsid w:val="00D023E1"/>
    <w:rsid w:val="00D03C3F"/>
    <w:rsid w:val="00D04C6D"/>
    <w:rsid w:val="00D04FAD"/>
    <w:rsid w:val="00D05F42"/>
    <w:rsid w:val="00D06200"/>
    <w:rsid w:val="00D0638D"/>
    <w:rsid w:val="00D0652C"/>
    <w:rsid w:val="00D066B8"/>
    <w:rsid w:val="00D06931"/>
    <w:rsid w:val="00D071CF"/>
    <w:rsid w:val="00D07313"/>
    <w:rsid w:val="00D07442"/>
    <w:rsid w:val="00D07519"/>
    <w:rsid w:val="00D07CC0"/>
    <w:rsid w:val="00D1015F"/>
    <w:rsid w:val="00D10F9C"/>
    <w:rsid w:val="00D11195"/>
    <w:rsid w:val="00D1184E"/>
    <w:rsid w:val="00D12472"/>
    <w:rsid w:val="00D1280C"/>
    <w:rsid w:val="00D13FBE"/>
    <w:rsid w:val="00D141D9"/>
    <w:rsid w:val="00D14288"/>
    <w:rsid w:val="00D150FF"/>
    <w:rsid w:val="00D1687A"/>
    <w:rsid w:val="00D17B6C"/>
    <w:rsid w:val="00D203E0"/>
    <w:rsid w:val="00D21200"/>
    <w:rsid w:val="00D2123B"/>
    <w:rsid w:val="00D219C7"/>
    <w:rsid w:val="00D22602"/>
    <w:rsid w:val="00D22A7E"/>
    <w:rsid w:val="00D22BA7"/>
    <w:rsid w:val="00D237E6"/>
    <w:rsid w:val="00D239EE"/>
    <w:rsid w:val="00D23A9F"/>
    <w:rsid w:val="00D23C62"/>
    <w:rsid w:val="00D243AB"/>
    <w:rsid w:val="00D24770"/>
    <w:rsid w:val="00D24F03"/>
    <w:rsid w:val="00D25428"/>
    <w:rsid w:val="00D254B9"/>
    <w:rsid w:val="00D25AB7"/>
    <w:rsid w:val="00D25B83"/>
    <w:rsid w:val="00D26C00"/>
    <w:rsid w:val="00D26F83"/>
    <w:rsid w:val="00D27387"/>
    <w:rsid w:val="00D273A2"/>
    <w:rsid w:val="00D276F9"/>
    <w:rsid w:val="00D27A02"/>
    <w:rsid w:val="00D304DE"/>
    <w:rsid w:val="00D30571"/>
    <w:rsid w:val="00D3070C"/>
    <w:rsid w:val="00D30AD0"/>
    <w:rsid w:val="00D310D9"/>
    <w:rsid w:val="00D316DC"/>
    <w:rsid w:val="00D316ED"/>
    <w:rsid w:val="00D31E52"/>
    <w:rsid w:val="00D32DC1"/>
    <w:rsid w:val="00D33312"/>
    <w:rsid w:val="00D3342A"/>
    <w:rsid w:val="00D33778"/>
    <w:rsid w:val="00D33D44"/>
    <w:rsid w:val="00D344AD"/>
    <w:rsid w:val="00D34983"/>
    <w:rsid w:val="00D34AFB"/>
    <w:rsid w:val="00D35209"/>
    <w:rsid w:val="00D3551B"/>
    <w:rsid w:val="00D359EB"/>
    <w:rsid w:val="00D36269"/>
    <w:rsid w:val="00D36339"/>
    <w:rsid w:val="00D36887"/>
    <w:rsid w:val="00D369AD"/>
    <w:rsid w:val="00D36AAC"/>
    <w:rsid w:val="00D36F2E"/>
    <w:rsid w:val="00D37121"/>
    <w:rsid w:val="00D40DFE"/>
    <w:rsid w:val="00D40E19"/>
    <w:rsid w:val="00D42BFE"/>
    <w:rsid w:val="00D4331F"/>
    <w:rsid w:val="00D44994"/>
    <w:rsid w:val="00D454B1"/>
    <w:rsid w:val="00D47A70"/>
    <w:rsid w:val="00D47BA9"/>
    <w:rsid w:val="00D516DE"/>
    <w:rsid w:val="00D51982"/>
    <w:rsid w:val="00D51A52"/>
    <w:rsid w:val="00D51DF2"/>
    <w:rsid w:val="00D522AE"/>
    <w:rsid w:val="00D525B6"/>
    <w:rsid w:val="00D53011"/>
    <w:rsid w:val="00D53096"/>
    <w:rsid w:val="00D542F0"/>
    <w:rsid w:val="00D54824"/>
    <w:rsid w:val="00D5482B"/>
    <w:rsid w:val="00D548AF"/>
    <w:rsid w:val="00D54E7A"/>
    <w:rsid w:val="00D54F7C"/>
    <w:rsid w:val="00D5527A"/>
    <w:rsid w:val="00D5545D"/>
    <w:rsid w:val="00D57C5D"/>
    <w:rsid w:val="00D60052"/>
    <w:rsid w:val="00D6043D"/>
    <w:rsid w:val="00D60EE4"/>
    <w:rsid w:val="00D610D0"/>
    <w:rsid w:val="00D62529"/>
    <w:rsid w:val="00D625B5"/>
    <w:rsid w:val="00D62FAB"/>
    <w:rsid w:val="00D637A3"/>
    <w:rsid w:val="00D645E7"/>
    <w:rsid w:val="00D65999"/>
    <w:rsid w:val="00D65F8A"/>
    <w:rsid w:val="00D6619C"/>
    <w:rsid w:val="00D66435"/>
    <w:rsid w:val="00D664B3"/>
    <w:rsid w:val="00D66857"/>
    <w:rsid w:val="00D66927"/>
    <w:rsid w:val="00D678F0"/>
    <w:rsid w:val="00D679A3"/>
    <w:rsid w:val="00D70032"/>
    <w:rsid w:val="00D703CB"/>
    <w:rsid w:val="00D70663"/>
    <w:rsid w:val="00D7076A"/>
    <w:rsid w:val="00D70BE5"/>
    <w:rsid w:val="00D70CEF"/>
    <w:rsid w:val="00D7148D"/>
    <w:rsid w:val="00D71834"/>
    <w:rsid w:val="00D71CBC"/>
    <w:rsid w:val="00D72629"/>
    <w:rsid w:val="00D72941"/>
    <w:rsid w:val="00D72CFD"/>
    <w:rsid w:val="00D7342E"/>
    <w:rsid w:val="00D73677"/>
    <w:rsid w:val="00D736F1"/>
    <w:rsid w:val="00D73ABB"/>
    <w:rsid w:val="00D73D84"/>
    <w:rsid w:val="00D752BB"/>
    <w:rsid w:val="00D75771"/>
    <w:rsid w:val="00D75785"/>
    <w:rsid w:val="00D75A3B"/>
    <w:rsid w:val="00D762D8"/>
    <w:rsid w:val="00D76353"/>
    <w:rsid w:val="00D76E13"/>
    <w:rsid w:val="00D77017"/>
    <w:rsid w:val="00D7744F"/>
    <w:rsid w:val="00D7796D"/>
    <w:rsid w:val="00D803AC"/>
    <w:rsid w:val="00D80437"/>
    <w:rsid w:val="00D808EC"/>
    <w:rsid w:val="00D80F20"/>
    <w:rsid w:val="00D81AEC"/>
    <w:rsid w:val="00D827BB"/>
    <w:rsid w:val="00D837F6"/>
    <w:rsid w:val="00D840F5"/>
    <w:rsid w:val="00D84627"/>
    <w:rsid w:val="00D84C0B"/>
    <w:rsid w:val="00D84E28"/>
    <w:rsid w:val="00D857E8"/>
    <w:rsid w:val="00D85AB0"/>
    <w:rsid w:val="00D85AC5"/>
    <w:rsid w:val="00D8621F"/>
    <w:rsid w:val="00D86E83"/>
    <w:rsid w:val="00D8778E"/>
    <w:rsid w:val="00D87829"/>
    <w:rsid w:val="00D87F4E"/>
    <w:rsid w:val="00D87F70"/>
    <w:rsid w:val="00D90261"/>
    <w:rsid w:val="00D902BE"/>
    <w:rsid w:val="00D907BD"/>
    <w:rsid w:val="00D90EE4"/>
    <w:rsid w:val="00D91436"/>
    <w:rsid w:val="00D91ADD"/>
    <w:rsid w:val="00D91FA5"/>
    <w:rsid w:val="00D927C4"/>
    <w:rsid w:val="00D9295E"/>
    <w:rsid w:val="00D93104"/>
    <w:rsid w:val="00D93150"/>
    <w:rsid w:val="00D93B88"/>
    <w:rsid w:val="00D93FDA"/>
    <w:rsid w:val="00D940B8"/>
    <w:rsid w:val="00D941C1"/>
    <w:rsid w:val="00D94319"/>
    <w:rsid w:val="00D95689"/>
    <w:rsid w:val="00D95D6D"/>
    <w:rsid w:val="00D96785"/>
    <w:rsid w:val="00D97ABC"/>
    <w:rsid w:val="00D97D52"/>
    <w:rsid w:val="00DA067B"/>
    <w:rsid w:val="00DA0D84"/>
    <w:rsid w:val="00DA0D9C"/>
    <w:rsid w:val="00DA1C90"/>
    <w:rsid w:val="00DA2942"/>
    <w:rsid w:val="00DA3B33"/>
    <w:rsid w:val="00DA52CB"/>
    <w:rsid w:val="00DA5CB7"/>
    <w:rsid w:val="00DA5D67"/>
    <w:rsid w:val="00DA669F"/>
    <w:rsid w:val="00DA70FD"/>
    <w:rsid w:val="00DA7F49"/>
    <w:rsid w:val="00DB032B"/>
    <w:rsid w:val="00DB057A"/>
    <w:rsid w:val="00DB0DA9"/>
    <w:rsid w:val="00DB17F3"/>
    <w:rsid w:val="00DB27F6"/>
    <w:rsid w:val="00DB2F2E"/>
    <w:rsid w:val="00DB3491"/>
    <w:rsid w:val="00DB3F2E"/>
    <w:rsid w:val="00DB4102"/>
    <w:rsid w:val="00DB425D"/>
    <w:rsid w:val="00DB432E"/>
    <w:rsid w:val="00DB4636"/>
    <w:rsid w:val="00DB48C9"/>
    <w:rsid w:val="00DB4CFB"/>
    <w:rsid w:val="00DB5526"/>
    <w:rsid w:val="00DB5A11"/>
    <w:rsid w:val="00DB5A4D"/>
    <w:rsid w:val="00DB5D9E"/>
    <w:rsid w:val="00DB60EA"/>
    <w:rsid w:val="00DB77E1"/>
    <w:rsid w:val="00DB78EB"/>
    <w:rsid w:val="00DB7B89"/>
    <w:rsid w:val="00DB7F40"/>
    <w:rsid w:val="00DC0206"/>
    <w:rsid w:val="00DC1A12"/>
    <w:rsid w:val="00DC1D80"/>
    <w:rsid w:val="00DC24BE"/>
    <w:rsid w:val="00DC2741"/>
    <w:rsid w:val="00DC2A91"/>
    <w:rsid w:val="00DC2C64"/>
    <w:rsid w:val="00DC2DD6"/>
    <w:rsid w:val="00DC3130"/>
    <w:rsid w:val="00DC3725"/>
    <w:rsid w:val="00DC3AE2"/>
    <w:rsid w:val="00DC3D8E"/>
    <w:rsid w:val="00DC3DD9"/>
    <w:rsid w:val="00DC3F5C"/>
    <w:rsid w:val="00DC4254"/>
    <w:rsid w:val="00DC459A"/>
    <w:rsid w:val="00DC45F5"/>
    <w:rsid w:val="00DC48AA"/>
    <w:rsid w:val="00DC515C"/>
    <w:rsid w:val="00DC66A3"/>
    <w:rsid w:val="00DC67ED"/>
    <w:rsid w:val="00DD0644"/>
    <w:rsid w:val="00DD1260"/>
    <w:rsid w:val="00DD168C"/>
    <w:rsid w:val="00DD2614"/>
    <w:rsid w:val="00DD2920"/>
    <w:rsid w:val="00DD2A36"/>
    <w:rsid w:val="00DD2AC3"/>
    <w:rsid w:val="00DD3899"/>
    <w:rsid w:val="00DD3AE3"/>
    <w:rsid w:val="00DD3C00"/>
    <w:rsid w:val="00DD4B8F"/>
    <w:rsid w:val="00DD5242"/>
    <w:rsid w:val="00DD54E8"/>
    <w:rsid w:val="00DD56A4"/>
    <w:rsid w:val="00DD5A2F"/>
    <w:rsid w:val="00DD5B46"/>
    <w:rsid w:val="00DD60F2"/>
    <w:rsid w:val="00DD641B"/>
    <w:rsid w:val="00DD666B"/>
    <w:rsid w:val="00DD7637"/>
    <w:rsid w:val="00DD7E8F"/>
    <w:rsid w:val="00DE0105"/>
    <w:rsid w:val="00DE084D"/>
    <w:rsid w:val="00DE095A"/>
    <w:rsid w:val="00DE1114"/>
    <w:rsid w:val="00DE14ED"/>
    <w:rsid w:val="00DE1ABB"/>
    <w:rsid w:val="00DE217E"/>
    <w:rsid w:val="00DE23D1"/>
    <w:rsid w:val="00DE2401"/>
    <w:rsid w:val="00DE2AA5"/>
    <w:rsid w:val="00DE2D5D"/>
    <w:rsid w:val="00DE3753"/>
    <w:rsid w:val="00DE37B5"/>
    <w:rsid w:val="00DE3E11"/>
    <w:rsid w:val="00DE5642"/>
    <w:rsid w:val="00DE5677"/>
    <w:rsid w:val="00DE7053"/>
    <w:rsid w:val="00DE7A9B"/>
    <w:rsid w:val="00DE7C7C"/>
    <w:rsid w:val="00DE7CD1"/>
    <w:rsid w:val="00DF04EB"/>
    <w:rsid w:val="00DF0B67"/>
    <w:rsid w:val="00DF1441"/>
    <w:rsid w:val="00DF175F"/>
    <w:rsid w:val="00DF22B8"/>
    <w:rsid w:val="00DF22D1"/>
    <w:rsid w:val="00DF316E"/>
    <w:rsid w:val="00DF45E1"/>
    <w:rsid w:val="00DF4A5C"/>
    <w:rsid w:val="00DF57F3"/>
    <w:rsid w:val="00DF613C"/>
    <w:rsid w:val="00DF6258"/>
    <w:rsid w:val="00DF6C0F"/>
    <w:rsid w:val="00DF6E4C"/>
    <w:rsid w:val="00DF72C9"/>
    <w:rsid w:val="00DF7990"/>
    <w:rsid w:val="00DF7DC9"/>
    <w:rsid w:val="00DF7E00"/>
    <w:rsid w:val="00E002E2"/>
    <w:rsid w:val="00E02231"/>
    <w:rsid w:val="00E025CB"/>
    <w:rsid w:val="00E02938"/>
    <w:rsid w:val="00E02AA8"/>
    <w:rsid w:val="00E03E84"/>
    <w:rsid w:val="00E0478A"/>
    <w:rsid w:val="00E04DA3"/>
    <w:rsid w:val="00E04EC7"/>
    <w:rsid w:val="00E05583"/>
    <w:rsid w:val="00E06328"/>
    <w:rsid w:val="00E06436"/>
    <w:rsid w:val="00E075B1"/>
    <w:rsid w:val="00E07955"/>
    <w:rsid w:val="00E07B0E"/>
    <w:rsid w:val="00E07B10"/>
    <w:rsid w:val="00E07B34"/>
    <w:rsid w:val="00E10033"/>
    <w:rsid w:val="00E12A0C"/>
    <w:rsid w:val="00E1312E"/>
    <w:rsid w:val="00E13439"/>
    <w:rsid w:val="00E134A2"/>
    <w:rsid w:val="00E136E7"/>
    <w:rsid w:val="00E136ED"/>
    <w:rsid w:val="00E13C61"/>
    <w:rsid w:val="00E13E8B"/>
    <w:rsid w:val="00E14078"/>
    <w:rsid w:val="00E14633"/>
    <w:rsid w:val="00E168D8"/>
    <w:rsid w:val="00E16D56"/>
    <w:rsid w:val="00E175EC"/>
    <w:rsid w:val="00E17608"/>
    <w:rsid w:val="00E17EA2"/>
    <w:rsid w:val="00E203D5"/>
    <w:rsid w:val="00E20E97"/>
    <w:rsid w:val="00E20EE6"/>
    <w:rsid w:val="00E21001"/>
    <w:rsid w:val="00E214F4"/>
    <w:rsid w:val="00E21A2C"/>
    <w:rsid w:val="00E223E3"/>
    <w:rsid w:val="00E22DCF"/>
    <w:rsid w:val="00E234E0"/>
    <w:rsid w:val="00E24195"/>
    <w:rsid w:val="00E2463C"/>
    <w:rsid w:val="00E24F0C"/>
    <w:rsid w:val="00E2510D"/>
    <w:rsid w:val="00E25DFA"/>
    <w:rsid w:val="00E269AB"/>
    <w:rsid w:val="00E30B31"/>
    <w:rsid w:val="00E312B6"/>
    <w:rsid w:val="00E314A5"/>
    <w:rsid w:val="00E318CA"/>
    <w:rsid w:val="00E31AB9"/>
    <w:rsid w:val="00E32398"/>
    <w:rsid w:val="00E32D56"/>
    <w:rsid w:val="00E33928"/>
    <w:rsid w:val="00E33FB7"/>
    <w:rsid w:val="00E34342"/>
    <w:rsid w:val="00E345A8"/>
    <w:rsid w:val="00E34787"/>
    <w:rsid w:val="00E34AD6"/>
    <w:rsid w:val="00E3510B"/>
    <w:rsid w:val="00E353BF"/>
    <w:rsid w:val="00E3582B"/>
    <w:rsid w:val="00E360A9"/>
    <w:rsid w:val="00E36ABD"/>
    <w:rsid w:val="00E36CDC"/>
    <w:rsid w:val="00E36D27"/>
    <w:rsid w:val="00E36D93"/>
    <w:rsid w:val="00E3778F"/>
    <w:rsid w:val="00E37B9E"/>
    <w:rsid w:val="00E408F4"/>
    <w:rsid w:val="00E40DC0"/>
    <w:rsid w:val="00E41D89"/>
    <w:rsid w:val="00E41F70"/>
    <w:rsid w:val="00E42366"/>
    <w:rsid w:val="00E4274F"/>
    <w:rsid w:val="00E42A69"/>
    <w:rsid w:val="00E430C5"/>
    <w:rsid w:val="00E43204"/>
    <w:rsid w:val="00E43279"/>
    <w:rsid w:val="00E43923"/>
    <w:rsid w:val="00E44E11"/>
    <w:rsid w:val="00E4529F"/>
    <w:rsid w:val="00E45445"/>
    <w:rsid w:val="00E47146"/>
    <w:rsid w:val="00E501A5"/>
    <w:rsid w:val="00E501CB"/>
    <w:rsid w:val="00E50958"/>
    <w:rsid w:val="00E50BC8"/>
    <w:rsid w:val="00E50D8D"/>
    <w:rsid w:val="00E511B7"/>
    <w:rsid w:val="00E5188A"/>
    <w:rsid w:val="00E51B5A"/>
    <w:rsid w:val="00E5272A"/>
    <w:rsid w:val="00E5318F"/>
    <w:rsid w:val="00E5322E"/>
    <w:rsid w:val="00E54C63"/>
    <w:rsid w:val="00E54C7A"/>
    <w:rsid w:val="00E54CC8"/>
    <w:rsid w:val="00E557C3"/>
    <w:rsid w:val="00E561BE"/>
    <w:rsid w:val="00E563E2"/>
    <w:rsid w:val="00E56513"/>
    <w:rsid w:val="00E57485"/>
    <w:rsid w:val="00E57630"/>
    <w:rsid w:val="00E606C8"/>
    <w:rsid w:val="00E609AB"/>
    <w:rsid w:val="00E60FF9"/>
    <w:rsid w:val="00E612E3"/>
    <w:rsid w:val="00E61A0C"/>
    <w:rsid w:val="00E61CA2"/>
    <w:rsid w:val="00E62F31"/>
    <w:rsid w:val="00E6349E"/>
    <w:rsid w:val="00E63588"/>
    <w:rsid w:val="00E63663"/>
    <w:rsid w:val="00E63F4B"/>
    <w:rsid w:val="00E642B9"/>
    <w:rsid w:val="00E64853"/>
    <w:rsid w:val="00E650C8"/>
    <w:rsid w:val="00E65175"/>
    <w:rsid w:val="00E65BBF"/>
    <w:rsid w:val="00E66AA9"/>
    <w:rsid w:val="00E66EB3"/>
    <w:rsid w:val="00E67779"/>
    <w:rsid w:val="00E67BBD"/>
    <w:rsid w:val="00E7029B"/>
    <w:rsid w:val="00E708F3"/>
    <w:rsid w:val="00E70D08"/>
    <w:rsid w:val="00E7103F"/>
    <w:rsid w:val="00E71394"/>
    <w:rsid w:val="00E7261E"/>
    <w:rsid w:val="00E72C5B"/>
    <w:rsid w:val="00E72DC8"/>
    <w:rsid w:val="00E730EC"/>
    <w:rsid w:val="00E73B9A"/>
    <w:rsid w:val="00E7563B"/>
    <w:rsid w:val="00E75ABC"/>
    <w:rsid w:val="00E77D7B"/>
    <w:rsid w:val="00E77DFE"/>
    <w:rsid w:val="00E80735"/>
    <w:rsid w:val="00E80943"/>
    <w:rsid w:val="00E80CB3"/>
    <w:rsid w:val="00E81C8A"/>
    <w:rsid w:val="00E8239C"/>
    <w:rsid w:val="00E8343F"/>
    <w:rsid w:val="00E84087"/>
    <w:rsid w:val="00E840DF"/>
    <w:rsid w:val="00E843E4"/>
    <w:rsid w:val="00E844AA"/>
    <w:rsid w:val="00E84618"/>
    <w:rsid w:val="00E84F78"/>
    <w:rsid w:val="00E85F83"/>
    <w:rsid w:val="00E86B0A"/>
    <w:rsid w:val="00E86B38"/>
    <w:rsid w:val="00E8759D"/>
    <w:rsid w:val="00E902A0"/>
    <w:rsid w:val="00E9030E"/>
    <w:rsid w:val="00E909D4"/>
    <w:rsid w:val="00E90A3E"/>
    <w:rsid w:val="00E90AF4"/>
    <w:rsid w:val="00E90E12"/>
    <w:rsid w:val="00E912F2"/>
    <w:rsid w:val="00E9241B"/>
    <w:rsid w:val="00E93B97"/>
    <w:rsid w:val="00E94172"/>
    <w:rsid w:val="00E942C5"/>
    <w:rsid w:val="00E94A87"/>
    <w:rsid w:val="00E955C9"/>
    <w:rsid w:val="00E967DF"/>
    <w:rsid w:val="00E968AF"/>
    <w:rsid w:val="00E97B32"/>
    <w:rsid w:val="00E97C9E"/>
    <w:rsid w:val="00E97F09"/>
    <w:rsid w:val="00EA050C"/>
    <w:rsid w:val="00EA0760"/>
    <w:rsid w:val="00EA0DF7"/>
    <w:rsid w:val="00EA0F57"/>
    <w:rsid w:val="00EA104F"/>
    <w:rsid w:val="00EA12D1"/>
    <w:rsid w:val="00EA1B54"/>
    <w:rsid w:val="00EA219D"/>
    <w:rsid w:val="00EA2AC1"/>
    <w:rsid w:val="00EA2AD7"/>
    <w:rsid w:val="00EA43F6"/>
    <w:rsid w:val="00EA510D"/>
    <w:rsid w:val="00EA5B92"/>
    <w:rsid w:val="00EA5F3F"/>
    <w:rsid w:val="00EA64BA"/>
    <w:rsid w:val="00EA7C72"/>
    <w:rsid w:val="00EA7E8D"/>
    <w:rsid w:val="00EB0762"/>
    <w:rsid w:val="00EB0F04"/>
    <w:rsid w:val="00EB0F5E"/>
    <w:rsid w:val="00EB14D7"/>
    <w:rsid w:val="00EB18AF"/>
    <w:rsid w:val="00EB1DA6"/>
    <w:rsid w:val="00EB20AA"/>
    <w:rsid w:val="00EB36A3"/>
    <w:rsid w:val="00EB3A26"/>
    <w:rsid w:val="00EB3A46"/>
    <w:rsid w:val="00EB3C9B"/>
    <w:rsid w:val="00EB3D4F"/>
    <w:rsid w:val="00EB41E9"/>
    <w:rsid w:val="00EB4EF8"/>
    <w:rsid w:val="00EB5293"/>
    <w:rsid w:val="00EB58C7"/>
    <w:rsid w:val="00EB6020"/>
    <w:rsid w:val="00EB6E98"/>
    <w:rsid w:val="00EB7057"/>
    <w:rsid w:val="00EB743C"/>
    <w:rsid w:val="00EB7A28"/>
    <w:rsid w:val="00EC0005"/>
    <w:rsid w:val="00EC03E6"/>
    <w:rsid w:val="00EC08C4"/>
    <w:rsid w:val="00EC0904"/>
    <w:rsid w:val="00EC0E60"/>
    <w:rsid w:val="00EC1FC0"/>
    <w:rsid w:val="00EC205B"/>
    <w:rsid w:val="00EC2152"/>
    <w:rsid w:val="00EC2518"/>
    <w:rsid w:val="00EC2795"/>
    <w:rsid w:val="00EC281C"/>
    <w:rsid w:val="00EC2DE0"/>
    <w:rsid w:val="00EC3D7F"/>
    <w:rsid w:val="00EC5574"/>
    <w:rsid w:val="00EC5707"/>
    <w:rsid w:val="00EC5A88"/>
    <w:rsid w:val="00EC5F5F"/>
    <w:rsid w:val="00EC6343"/>
    <w:rsid w:val="00EC6406"/>
    <w:rsid w:val="00EC6E06"/>
    <w:rsid w:val="00EC708F"/>
    <w:rsid w:val="00EC7311"/>
    <w:rsid w:val="00EC7827"/>
    <w:rsid w:val="00EC7A7F"/>
    <w:rsid w:val="00ED0A11"/>
    <w:rsid w:val="00ED0E3D"/>
    <w:rsid w:val="00ED0E6A"/>
    <w:rsid w:val="00ED102C"/>
    <w:rsid w:val="00ED1358"/>
    <w:rsid w:val="00ED142B"/>
    <w:rsid w:val="00ED228B"/>
    <w:rsid w:val="00ED2896"/>
    <w:rsid w:val="00ED293C"/>
    <w:rsid w:val="00ED3892"/>
    <w:rsid w:val="00ED39DF"/>
    <w:rsid w:val="00ED3B0B"/>
    <w:rsid w:val="00ED3F97"/>
    <w:rsid w:val="00ED4220"/>
    <w:rsid w:val="00ED498E"/>
    <w:rsid w:val="00ED4BCA"/>
    <w:rsid w:val="00ED4D09"/>
    <w:rsid w:val="00ED50C4"/>
    <w:rsid w:val="00ED5737"/>
    <w:rsid w:val="00ED5C2C"/>
    <w:rsid w:val="00ED606F"/>
    <w:rsid w:val="00ED6DFE"/>
    <w:rsid w:val="00ED77CF"/>
    <w:rsid w:val="00ED7B37"/>
    <w:rsid w:val="00ED7ECE"/>
    <w:rsid w:val="00EE0162"/>
    <w:rsid w:val="00EE1378"/>
    <w:rsid w:val="00EE19A5"/>
    <w:rsid w:val="00EE25EC"/>
    <w:rsid w:val="00EE30DF"/>
    <w:rsid w:val="00EE361F"/>
    <w:rsid w:val="00EE3840"/>
    <w:rsid w:val="00EE38DE"/>
    <w:rsid w:val="00EE4510"/>
    <w:rsid w:val="00EE4E53"/>
    <w:rsid w:val="00EE506E"/>
    <w:rsid w:val="00EE5442"/>
    <w:rsid w:val="00EE5975"/>
    <w:rsid w:val="00EE5AFF"/>
    <w:rsid w:val="00EE5B59"/>
    <w:rsid w:val="00EE6135"/>
    <w:rsid w:val="00EE6457"/>
    <w:rsid w:val="00EE657F"/>
    <w:rsid w:val="00EE67F9"/>
    <w:rsid w:val="00EE7015"/>
    <w:rsid w:val="00EE7505"/>
    <w:rsid w:val="00EF0D3B"/>
    <w:rsid w:val="00EF0DDF"/>
    <w:rsid w:val="00EF1670"/>
    <w:rsid w:val="00EF185B"/>
    <w:rsid w:val="00EF25B0"/>
    <w:rsid w:val="00EF27CD"/>
    <w:rsid w:val="00EF28D6"/>
    <w:rsid w:val="00EF2FF6"/>
    <w:rsid w:val="00EF32E9"/>
    <w:rsid w:val="00EF343A"/>
    <w:rsid w:val="00EF3677"/>
    <w:rsid w:val="00EF62E0"/>
    <w:rsid w:val="00EF6A6D"/>
    <w:rsid w:val="00EF6DAA"/>
    <w:rsid w:val="00EF6EC6"/>
    <w:rsid w:val="00EF7173"/>
    <w:rsid w:val="00EF72FD"/>
    <w:rsid w:val="00EF7569"/>
    <w:rsid w:val="00EF79CE"/>
    <w:rsid w:val="00F000C9"/>
    <w:rsid w:val="00F001C3"/>
    <w:rsid w:val="00F00332"/>
    <w:rsid w:val="00F005AE"/>
    <w:rsid w:val="00F01D5F"/>
    <w:rsid w:val="00F01F36"/>
    <w:rsid w:val="00F02C2F"/>
    <w:rsid w:val="00F0355A"/>
    <w:rsid w:val="00F036FB"/>
    <w:rsid w:val="00F03A10"/>
    <w:rsid w:val="00F03C2E"/>
    <w:rsid w:val="00F044B8"/>
    <w:rsid w:val="00F04A38"/>
    <w:rsid w:val="00F04B6D"/>
    <w:rsid w:val="00F04B7D"/>
    <w:rsid w:val="00F04F7B"/>
    <w:rsid w:val="00F05345"/>
    <w:rsid w:val="00F05379"/>
    <w:rsid w:val="00F05D89"/>
    <w:rsid w:val="00F05E9A"/>
    <w:rsid w:val="00F061D5"/>
    <w:rsid w:val="00F06795"/>
    <w:rsid w:val="00F06F55"/>
    <w:rsid w:val="00F078D0"/>
    <w:rsid w:val="00F10806"/>
    <w:rsid w:val="00F10A15"/>
    <w:rsid w:val="00F1139F"/>
    <w:rsid w:val="00F119A6"/>
    <w:rsid w:val="00F119CD"/>
    <w:rsid w:val="00F11D17"/>
    <w:rsid w:val="00F12AFC"/>
    <w:rsid w:val="00F12BB9"/>
    <w:rsid w:val="00F12BD6"/>
    <w:rsid w:val="00F14049"/>
    <w:rsid w:val="00F1494A"/>
    <w:rsid w:val="00F1521E"/>
    <w:rsid w:val="00F15873"/>
    <w:rsid w:val="00F1641B"/>
    <w:rsid w:val="00F16DAA"/>
    <w:rsid w:val="00F17669"/>
    <w:rsid w:val="00F17E65"/>
    <w:rsid w:val="00F206D9"/>
    <w:rsid w:val="00F21383"/>
    <w:rsid w:val="00F2144E"/>
    <w:rsid w:val="00F21A34"/>
    <w:rsid w:val="00F221A6"/>
    <w:rsid w:val="00F22F5E"/>
    <w:rsid w:val="00F23B48"/>
    <w:rsid w:val="00F23FD5"/>
    <w:rsid w:val="00F2461D"/>
    <w:rsid w:val="00F24BAF"/>
    <w:rsid w:val="00F24F6E"/>
    <w:rsid w:val="00F2589A"/>
    <w:rsid w:val="00F25AA2"/>
    <w:rsid w:val="00F263EF"/>
    <w:rsid w:val="00F26507"/>
    <w:rsid w:val="00F266ED"/>
    <w:rsid w:val="00F2689B"/>
    <w:rsid w:val="00F26A6E"/>
    <w:rsid w:val="00F272B9"/>
    <w:rsid w:val="00F27A82"/>
    <w:rsid w:val="00F27FB0"/>
    <w:rsid w:val="00F30874"/>
    <w:rsid w:val="00F30A2E"/>
    <w:rsid w:val="00F31A16"/>
    <w:rsid w:val="00F31CCF"/>
    <w:rsid w:val="00F328CE"/>
    <w:rsid w:val="00F32D82"/>
    <w:rsid w:val="00F33BE5"/>
    <w:rsid w:val="00F33D8D"/>
    <w:rsid w:val="00F33E33"/>
    <w:rsid w:val="00F34710"/>
    <w:rsid w:val="00F3477E"/>
    <w:rsid w:val="00F35AD2"/>
    <w:rsid w:val="00F41B86"/>
    <w:rsid w:val="00F41BA0"/>
    <w:rsid w:val="00F41CF0"/>
    <w:rsid w:val="00F41DD4"/>
    <w:rsid w:val="00F42308"/>
    <w:rsid w:val="00F430F5"/>
    <w:rsid w:val="00F433FF"/>
    <w:rsid w:val="00F434C3"/>
    <w:rsid w:val="00F43B50"/>
    <w:rsid w:val="00F43EEA"/>
    <w:rsid w:val="00F44235"/>
    <w:rsid w:val="00F442B5"/>
    <w:rsid w:val="00F44319"/>
    <w:rsid w:val="00F4539B"/>
    <w:rsid w:val="00F45EC7"/>
    <w:rsid w:val="00F46336"/>
    <w:rsid w:val="00F46FB1"/>
    <w:rsid w:val="00F47CAD"/>
    <w:rsid w:val="00F50BD2"/>
    <w:rsid w:val="00F516B3"/>
    <w:rsid w:val="00F51BE4"/>
    <w:rsid w:val="00F524DB"/>
    <w:rsid w:val="00F52699"/>
    <w:rsid w:val="00F5270B"/>
    <w:rsid w:val="00F5275C"/>
    <w:rsid w:val="00F52EF3"/>
    <w:rsid w:val="00F538B4"/>
    <w:rsid w:val="00F53F89"/>
    <w:rsid w:val="00F54288"/>
    <w:rsid w:val="00F5444D"/>
    <w:rsid w:val="00F54C93"/>
    <w:rsid w:val="00F5559E"/>
    <w:rsid w:val="00F574D3"/>
    <w:rsid w:val="00F57782"/>
    <w:rsid w:val="00F57CAC"/>
    <w:rsid w:val="00F57EE0"/>
    <w:rsid w:val="00F60536"/>
    <w:rsid w:val="00F60813"/>
    <w:rsid w:val="00F615A2"/>
    <w:rsid w:val="00F618C2"/>
    <w:rsid w:val="00F61A5C"/>
    <w:rsid w:val="00F62363"/>
    <w:rsid w:val="00F628CB"/>
    <w:rsid w:val="00F6291D"/>
    <w:rsid w:val="00F62BD1"/>
    <w:rsid w:val="00F63A1B"/>
    <w:rsid w:val="00F64862"/>
    <w:rsid w:val="00F64990"/>
    <w:rsid w:val="00F64BFC"/>
    <w:rsid w:val="00F65C0E"/>
    <w:rsid w:val="00F668D5"/>
    <w:rsid w:val="00F67ABB"/>
    <w:rsid w:val="00F67E4A"/>
    <w:rsid w:val="00F70257"/>
    <w:rsid w:val="00F70660"/>
    <w:rsid w:val="00F7085D"/>
    <w:rsid w:val="00F70D27"/>
    <w:rsid w:val="00F719F4"/>
    <w:rsid w:val="00F71CEA"/>
    <w:rsid w:val="00F72592"/>
    <w:rsid w:val="00F73262"/>
    <w:rsid w:val="00F734D6"/>
    <w:rsid w:val="00F7354C"/>
    <w:rsid w:val="00F73809"/>
    <w:rsid w:val="00F73F35"/>
    <w:rsid w:val="00F74203"/>
    <w:rsid w:val="00F744AF"/>
    <w:rsid w:val="00F7574B"/>
    <w:rsid w:val="00F7642F"/>
    <w:rsid w:val="00F767EC"/>
    <w:rsid w:val="00F76835"/>
    <w:rsid w:val="00F77831"/>
    <w:rsid w:val="00F801E9"/>
    <w:rsid w:val="00F805A3"/>
    <w:rsid w:val="00F806CC"/>
    <w:rsid w:val="00F81020"/>
    <w:rsid w:val="00F81182"/>
    <w:rsid w:val="00F81506"/>
    <w:rsid w:val="00F81B9F"/>
    <w:rsid w:val="00F82D1D"/>
    <w:rsid w:val="00F84021"/>
    <w:rsid w:val="00F845EA"/>
    <w:rsid w:val="00F85230"/>
    <w:rsid w:val="00F85232"/>
    <w:rsid w:val="00F854DC"/>
    <w:rsid w:val="00F85FFD"/>
    <w:rsid w:val="00F86801"/>
    <w:rsid w:val="00F875FA"/>
    <w:rsid w:val="00F9046E"/>
    <w:rsid w:val="00F904C0"/>
    <w:rsid w:val="00F910E9"/>
    <w:rsid w:val="00F9162C"/>
    <w:rsid w:val="00F9187A"/>
    <w:rsid w:val="00F922B2"/>
    <w:rsid w:val="00F92621"/>
    <w:rsid w:val="00F92A86"/>
    <w:rsid w:val="00F92BE9"/>
    <w:rsid w:val="00F93843"/>
    <w:rsid w:val="00F93C9C"/>
    <w:rsid w:val="00F93E11"/>
    <w:rsid w:val="00F9432D"/>
    <w:rsid w:val="00F9435B"/>
    <w:rsid w:val="00F94567"/>
    <w:rsid w:val="00F946F9"/>
    <w:rsid w:val="00F96276"/>
    <w:rsid w:val="00F96429"/>
    <w:rsid w:val="00F964E1"/>
    <w:rsid w:val="00F96525"/>
    <w:rsid w:val="00F966B6"/>
    <w:rsid w:val="00F968C8"/>
    <w:rsid w:val="00F96F39"/>
    <w:rsid w:val="00F97DC0"/>
    <w:rsid w:val="00FA156A"/>
    <w:rsid w:val="00FA15C7"/>
    <w:rsid w:val="00FA171D"/>
    <w:rsid w:val="00FA217C"/>
    <w:rsid w:val="00FA24AA"/>
    <w:rsid w:val="00FA2971"/>
    <w:rsid w:val="00FA299F"/>
    <w:rsid w:val="00FA3081"/>
    <w:rsid w:val="00FA3BC1"/>
    <w:rsid w:val="00FA3CF7"/>
    <w:rsid w:val="00FA445A"/>
    <w:rsid w:val="00FA473C"/>
    <w:rsid w:val="00FA4A2D"/>
    <w:rsid w:val="00FA4B92"/>
    <w:rsid w:val="00FA5317"/>
    <w:rsid w:val="00FA5EA1"/>
    <w:rsid w:val="00FA62F8"/>
    <w:rsid w:val="00FA66BA"/>
    <w:rsid w:val="00FA66D2"/>
    <w:rsid w:val="00FA6A30"/>
    <w:rsid w:val="00FA7EC1"/>
    <w:rsid w:val="00FB0703"/>
    <w:rsid w:val="00FB0F1B"/>
    <w:rsid w:val="00FB0F3A"/>
    <w:rsid w:val="00FB180F"/>
    <w:rsid w:val="00FB19AA"/>
    <w:rsid w:val="00FB2697"/>
    <w:rsid w:val="00FB288F"/>
    <w:rsid w:val="00FB2FD3"/>
    <w:rsid w:val="00FB3C05"/>
    <w:rsid w:val="00FB3DAA"/>
    <w:rsid w:val="00FB3DFD"/>
    <w:rsid w:val="00FB479C"/>
    <w:rsid w:val="00FB4D0A"/>
    <w:rsid w:val="00FB55BF"/>
    <w:rsid w:val="00FB6511"/>
    <w:rsid w:val="00FB69A9"/>
    <w:rsid w:val="00FB7000"/>
    <w:rsid w:val="00FB7301"/>
    <w:rsid w:val="00FB730E"/>
    <w:rsid w:val="00FB798C"/>
    <w:rsid w:val="00FC09E1"/>
    <w:rsid w:val="00FC0A75"/>
    <w:rsid w:val="00FC0AD0"/>
    <w:rsid w:val="00FC0AD1"/>
    <w:rsid w:val="00FC1594"/>
    <w:rsid w:val="00FC1B54"/>
    <w:rsid w:val="00FC1D96"/>
    <w:rsid w:val="00FC2F21"/>
    <w:rsid w:val="00FC3734"/>
    <w:rsid w:val="00FC3BEA"/>
    <w:rsid w:val="00FC3E8D"/>
    <w:rsid w:val="00FC4032"/>
    <w:rsid w:val="00FC446C"/>
    <w:rsid w:val="00FC44AA"/>
    <w:rsid w:val="00FC52B4"/>
    <w:rsid w:val="00FC5B01"/>
    <w:rsid w:val="00FC6792"/>
    <w:rsid w:val="00FC6940"/>
    <w:rsid w:val="00FC73DC"/>
    <w:rsid w:val="00FC78BE"/>
    <w:rsid w:val="00FC7971"/>
    <w:rsid w:val="00FD00E2"/>
    <w:rsid w:val="00FD023B"/>
    <w:rsid w:val="00FD029F"/>
    <w:rsid w:val="00FD03CC"/>
    <w:rsid w:val="00FD0B15"/>
    <w:rsid w:val="00FD0C8C"/>
    <w:rsid w:val="00FD0F51"/>
    <w:rsid w:val="00FD0F8E"/>
    <w:rsid w:val="00FD1DD1"/>
    <w:rsid w:val="00FD22FA"/>
    <w:rsid w:val="00FD282F"/>
    <w:rsid w:val="00FD2B52"/>
    <w:rsid w:val="00FD3B73"/>
    <w:rsid w:val="00FD4159"/>
    <w:rsid w:val="00FD4773"/>
    <w:rsid w:val="00FD477D"/>
    <w:rsid w:val="00FD6976"/>
    <w:rsid w:val="00FD6DE9"/>
    <w:rsid w:val="00FD6EA1"/>
    <w:rsid w:val="00FD7123"/>
    <w:rsid w:val="00FD7BAE"/>
    <w:rsid w:val="00FD7F44"/>
    <w:rsid w:val="00FE08E4"/>
    <w:rsid w:val="00FE0B31"/>
    <w:rsid w:val="00FE1E68"/>
    <w:rsid w:val="00FE203D"/>
    <w:rsid w:val="00FE262C"/>
    <w:rsid w:val="00FE2BF3"/>
    <w:rsid w:val="00FE2F6D"/>
    <w:rsid w:val="00FE35A1"/>
    <w:rsid w:val="00FE3A93"/>
    <w:rsid w:val="00FE3B60"/>
    <w:rsid w:val="00FE3ECC"/>
    <w:rsid w:val="00FE3F6E"/>
    <w:rsid w:val="00FE450B"/>
    <w:rsid w:val="00FE45A1"/>
    <w:rsid w:val="00FE464A"/>
    <w:rsid w:val="00FE4BE4"/>
    <w:rsid w:val="00FE4D78"/>
    <w:rsid w:val="00FE51ED"/>
    <w:rsid w:val="00FE6034"/>
    <w:rsid w:val="00FE61BC"/>
    <w:rsid w:val="00FE66FB"/>
    <w:rsid w:val="00FE6B1A"/>
    <w:rsid w:val="00FE7857"/>
    <w:rsid w:val="00FF0566"/>
    <w:rsid w:val="00FF0D82"/>
    <w:rsid w:val="00FF0E39"/>
    <w:rsid w:val="00FF1B77"/>
    <w:rsid w:val="00FF2085"/>
    <w:rsid w:val="00FF264F"/>
    <w:rsid w:val="00FF3006"/>
    <w:rsid w:val="00FF3232"/>
    <w:rsid w:val="00FF335A"/>
    <w:rsid w:val="00FF3451"/>
    <w:rsid w:val="00FF3652"/>
    <w:rsid w:val="00FF37DA"/>
    <w:rsid w:val="00FF3852"/>
    <w:rsid w:val="00FF40A3"/>
    <w:rsid w:val="00FF43AB"/>
    <w:rsid w:val="00FF47FB"/>
    <w:rsid w:val="00FF5363"/>
    <w:rsid w:val="00FF5E9C"/>
    <w:rsid w:val="00FF5ED8"/>
    <w:rsid w:val="00FF64B6"/>
    <w:rsid w:val="00FF6630"/>
    <w:rsid w:val="00FF692A"/>
    <w:rsid w:val="00FF766F"/>
    <w:rsid w:val="00FF7A51"/>
    <w:rsid w:val="0103674C"/>
    <w:rsid w:val="01C56903"/>
    <w:rsid w:val="01D13BA3"/>
    <w:rsid w:val="02033EA9"/>
    <w:rsid w:val="02066EE3"/>
    <w:rsid w:val="024B6E08"/>
    <w:rsid w:val="02CE773E"/>
    <w:rsid w:val="02DE0E3C"/>
    <w:rsid w:val="03D66BA6"/>
    <w:rsid w:val="047B14FB"/>
    <w:rsid w:val="04F14884"/>
    <w:rsid w:val="05305068"/>
    <w:rsid w:val="05461B09"/>
    <w:rsid w:val="0596716A"/>
    <w:rsid w:val="05E55026"/>
    <w:rsid w:val="063D5EC8"/>
    <w:rsid w:val="065A7BAD"/>
    <w:rsid w:val="065E1763"/>
    <w:rsid w:val="06982EAA"/>
    <w:rsid w:val="082B3390"/>
    <w:rsid w:val="085A0A41"/>
    <w:rsid w:val="089B216C"/>
    <w:rsid w:val="09307A52"/>
    <w:rsid w:val="0955056D"/>
    <w:rsid w:val="095F5E77"/>
    <w:rsid w:val="09DF42DA"/>
    <w:rsid w:val="09FD5A16"/>
    <w:rsid w:val="0A136042"/>
    <w:rsid w:val="0A140FA2"/>
    <w:rsid w:val="0A5C2796"/>
    <w:rsid w:val="0A66245A"/>
    <w:rsid w:val="0A917CCA"/>
    <w:rsid w:val="0AA442A4"/>
    <w:rsid w:val="0AAA6EC2"/>
    <w:rsid w:val="0AE1759A"/>
    <w:rsid w:val="0AE655C4"/>
    <w:rsid w:val="0B6F6A6E"/>
    <w:rsid w:val="0B9D2A70"/>
    <w:rsid w:val="0BA73FE6"/>
    <w:rsid w:val="0BBC5EBA"/>
    <w:rsid w:val="0BC33EB3"/>
    <w:rsid w:val="0C185C53"/>
    <w:rsid w:val="0C8535F5"/>
    <w:rsid w:val="0D263FF9"/>
    <w:rsid w:val="0D49107A"/>
    <w:rsid w:val="0DB674AA"/>
    <w:rsid w:val="0E067FC5"/>
    <w:rsid w:val="0E3237E4"/>
    <w:rsid w:val="0EBB70C4"/>
    <w:rsid w:val="0EC54E31"/>
    <w:rsid w:val="0F557DD6"/>
    <w:rsid w:val="10A46BB2"/>
    <w:rsid w:val="10A82BEE"/>
    <w:rsid w:val="11702599"/>
    <w:rsid w:val="11B01B7C"/>
    <w:rsid w:val="11B66E4A"/>
    <w:rsid w:val="124B6CD9"/>
    <w:rsid w:val="126B523A"/>
    <w:rsid w:val="12C53C7A"/>
    <w:rsid w:val="12CB66C6"/>
    <w:rsid w:val="12D50FB5"/>
    <w:rsid w:val="13F015BE"/>
    <w:rsid w:val="145F4995"/>
    <w:rsid w:val="149B1BA2"/>
    <w:rsid w:val="15035681"/>
    <w:rsid w:val="150F0B2A"/>
    <w:rsid w:val="15436163"/>
    <w:rsid w:val="155E03D0"/>
    <w:rsid w:val="156E2668"/>
    <w:rsid w:val="15883A78"/>
    <w:rsid w:val="15E0299E"/>
    <w:rsid w:val="15EA495F"/>
    <w:rsid w:val="160505A3"/>
    <w:rsid w:val="164C2CF7"/>
    <w:rsid w:val="166251DC"/>
    <w:rsid w:val="16775651"/>
    <w:rsid w:val="16897AA8"/>
    <w:rsid w:val="16CE04D5"/>
    <w:rsid w:val="16E7092C"/>
    <w:rsid w:val="16FE5D8D"/>
    <w:rsid w:val="170A0740"/>
    <w:rsid w:val="172E64D6"/>
    <w:rsid w:val="1751432E"/>
    <w:rsid w:val="17941885"/>
    <w:rsid w:val="17BE7C25"/>
    <w:rsid w:val="17D877C7"/>
    <w:rsid w:val="182A0E36"/>
    <w:rsid w:val="18455C50"/>
    <w:rsid w:val="184705E5"/>
    <w:rsid w:val="184F1456"/>
    <w:rsid w:val="18FA0052"/>
    <w:rsid w:val="191F3E67"/>
    <w:rsid w:val="19234A87"/>
    <w:rsid w:val="197226E5"/>
    <w:rsid w:val="1A355725"/>
    <w:rsid w:val="1A910490"/>
    <w:rsid w:val="1ABE50CB"/>
    <w:rsid w:val="1AE17177"/>
    <w:rsid w:val="1B0A1401"/>
    <w:rsid w:val="1C142391"/>
    <w:rsid w:val="1C367D1E"/>
    <w:rsid w:val="1C461FB2"/>
    <w:rsid w:val="1CAC3D38"/>
    <w:rsid w:val="1CB533A4"/>
    <w:rsid w:val="1CC00BFB"/>
    <w:rsid w:val="1D7326DA"/>
    <w:rsid w:val="1D7A599C"/>
    <w:rsid w:val="1DADA87F"/>
    <w:rsid w:val="1DB1335D"/>
    <w:rsid w:val="1DE36685"/>
    <w:rsid w:val="1DEB4D87"/>
    <w:rsid w:val="1E0925AC"/>
    <w:rsid w:val="1E5F5CBE"/>
    <w:rsid w:val="1E895743"/>
    <w:rsid w:val="1EFE43F1"/>
    <w:rsid w:val="1F2E38E2"/>
    <w:rsid w:val="1F4D2A73"/>
    <w:rsid w:val="1FFB37EA"/>
    <w:rsid w:val="200F76C3"/>
    <w:rsid w:val="20686980"/>
    <w:rsid w:val="2071586C"/>
    <w:rsid w:val="20A30660"/>
    <w:rsid w:val="20B3409F"/>
    <w:rsid w:val="20B6593D"/>
    <w:rsid w:val="21272FD9"/>
    <w:rsid w:val="214830B5"/>
    <w:rsid w:val="21CE5B6C"/>
    <w:rsid w:val="220B07AE"/>
    <w:rsid w:val="22544B91"/>
    <w:rsid w:val="22B26CFD"/>
    <w:rsid w:val="22ED6D05"/>
    <w:rsid w:val="230F1E2C"/>
    <w:rsid w:val="23227EA7"/>
    <w:rsid w:val="233F1C3B"/>
    <w:rsid w:val="235D255C"/>
    <w:rsid w:val="239B4C32"/>
    <w:rsid w:val="24DB752F"/>
    <w:rsid w:val="24E6466C"/>
    <w:rsid w:val="24F74EE2"/>
    <w:rsid w:val="24FA5141"/>
    <w:rsid w:val="253A7508"/>
    <w:rsid w:val="25641E0C"/>
    <w:rsid w:val="268564DD"/>
    <w:rsid w:val="269D1D30"/>
    <w:rsid w:val="27495237"/>
    <w:rsid w:val="27AD472C"/>
    <w:rsid w:val="27B23302"/>
    <w:rsid w:val="27BA1265"/>
    <w:rsid w:val="27E24E07"/>
    <w:rsid w:val="283111A3"/>
    <w:rsid w:val="28477589"/>
    <w:rsid w:val="286D7ECC"/>
    <w:rsid w:val="28E66F49"/>
    <w:rsid w:val="2935319A"/>
    <w:rsid w:val="29F65FDF"/>
    <w:rsid w:val="2A672865"/>
    <w:rsid w:val="2A9278D8"/>
    <w:rsid w:val="2AB020C4"/>
    <w:rsid w:val="2AC82E3D"/>
    <w:rsid w:val="2ADE7F6A"/>
    <w:rsid w:val="2AF77BC2"/>
    <w:rsid w:val="2B053749"/>
    <w:rsid w:val="2BA0200E"/>
    <w:rsid w:val="2C6426F1"/>
    <w:rsid w:val="2C857779"/>
    <w:rsid w:val="2C9A4365"/>
    <w:rsid w:val="2CA667D6"/>
    <w:rsid w:val="2CB05B20"/>
    <w:rsid w:val="2CC063DD"/>
    <w:rsid w:val="2D605EBD"/>
    <w:rsid w:val="2D7E77E3"/>
    <w:rsid w:val="2E22423B"/>
    <w:rsid w:val="2E7446F5"/>
    <w:rsid w:val="2EC013F3"/>
    <w:rsid w:val="2EDD1E8A"/>
    <w:rsid w:val="2F104B6B"/>
    <w:rsid w:val="2FDE5351"/>
    <w:rsid w:val="2FF81BE3"/>
    <w:rsid w:val="301B0A41"/>
    <w:rsid w:val="302600D2"/>
    <w:rsid w:val="30690E0C"/>
    <w:rsid w:val="30AC4667"/>
    <w:rsid w:val="31556AAC"/>
    <w:rsid w:val="317B5595"/>
    <w:rsid w:val="31AC0148"/>
    <w:rsid w:val="31B32A71"/>
    <w:rsid w:val="321B5F48"/>
    <w:rsid w:val="323B0D6C"/>
    <w:rsid w:val="32421152"/>
    <w:rsid w:val="324741AC"/>
    <w:rsid w:val="32574071"/>
    <w:rsid w:val="32C9498F"/>
    <w:rsid w:val="332A0171"/>
    <w:rsid w:val="335214F5"/>
    <w:rsid w:val="337C355E"/>
    <w:rsid w:val="339A433E"/>
    <w:rsid w:val="33D60378"/>
    <w:rsid w:val="341A3CB4"/>
    <w:rsid w:val="344F2340"/>
    <w:rsid w:val="344F3C87"/>
    <w:rsid w:val="34A90E05"/>
    <w:rsid w:val="34B431F0"/>
    <w:rsid w:val="34EB0F32"/>
    <w:rsid w:val="3503421F"/>
    <w:rsid w:val="354E66A4"/>
    <w:rsid w:val="35750D43"/>
    <w:rsid w:val="359978AF"/>
    <w:rsid w:val="35EE5AAE"/>
    <w:rsid w:val="361C2778"/>
    <w:rsid w:val="36855989"/>
    <w:rsid w:val="36881F5B"/>
    <w:rsid w:val="36CD21D0"/>
    <w:rsid w:val="36DB4E2D"/>
    <w:rsid w:val="36E0129F"/>
    <w:rsid w:val="373A19DF"/>
    <w:rsid w:val="374D6B7F"/>
    <w:rsid w:val="38402264"/>
    <w:rsid w:val="384059EE"/>
    <w:rsid w:val="3891486E"/>
    <w:rsid w:val="38A04871"/>
    <w:rsid w:val="38E41033"/>
    <w:rsid w:val="39BC032C"/>
    <w:rsid w:val="39E93C91"/>
    <w:rsid w:val="39F03816"/>
    <w:rsid w:val="3A6E5FC6"/>
    <w:rsid w:val="3A795B61"/>
    <w:rsid w:val="3A7D2492"/>
    <w:rsid w:val="3A900AEC"/>
    <w:rsid w:val="3AAD7959"/>
    <w:rsid w:val="3ABE5300"/>
    <w:rsid w:val="3AE00EEC"/>
    <w:rsid w:val="3B400F18"/>
    <w:rsid w:val="3B6D2A3C"/>
    <w:rsid w:val="3B8C4352"/>
    <w:rsid w:val="3B8D4EBC"/>
    <w:rsid w:val="3BDA4C6A"/>
    <w:rsid w:val="3BF13876"/>
    <w:rsid w:val="3C2459F9"/>
    <w:rsid w:val="3C395948"/>
    <w:rsid w:val="3C6F3AB2"/>
    <w:rsid w:val="3C8D40B6"/>
    <w:rsid w:val="3CA3038F"/>
    <w:rsid w:val="3CAC27B0"/>
    <w:rsid w:val="3CFB2BFE"/>
    <w:rsid w:val="3D385922"/>
    <w:rsid w:val="3D4225DB"/>
    <w:rsid w:val="3D751207"/>
    <w:rsid w:val="3DD52272"/>
    <w:rsid w:val="3DE559A3"/>
    <w:rsid w:val="3E171CB9"/>
    <w:rsid w:val="3E3F6593"/>
    <w:rsid w:val="3E410AE4"/>
    <w:rsid w:val="3E643867"/>
    <w:rsid w:val="3EDB3543"/>
    <w:rsid w:val="3EE01018"/>
    <w:rsid w:val="3EEA05A8"/>
    <w:rsid w:val="3F084A11"/>
    <w:rsid w:val="3F15699D"/>
    <w:rsid w:val="3F335841"/>
    <w:rsid w:val="3F6B0012"/>
    <w:rsid w:val="3F8A0269"/>
    <w:rsid w:val="3FC57472"/>
    <w:rsid w:val="3FCF4CDA"/>
    <w:rsid w:val="401C613B"/>
    <w:rsid w:val="408972C7"/>
    <w:rsid w:val="408C794F"/>
    <w:rsid w:val="409C47C7"/>
    <w:rsid w:val="40F829A5"/>
    <w:rsid w:val="41304512"/>
    <w:rsid w:val="41B35F09"/>
    <w:rsid w:val="41DE664A"/>
    <w:rsid w:val="41E55B5C"/>
    <w:rsid w:val="42240501"/>
    <w:rsid w:val="431A3EDF"/>
    <w:rsid w:val="433C5357"/>
    <w:rsid w:val="43633BA0"/>
    <w:rsid w:val="43CB14CC"/>
    <w:rsid w:val="43F93826"/>
    <w:rsid w:val="44072E2F"/>
    <w:rsid w:val="444826CE"/>
    <w:rsid w:val="444D3577"/>
    <w:rsid w:val="44C304A5"/>
    <w:rsid w:val="44D97CC8"/>
    <w:rsid w:val="44E44DA0"/>
    <w:rsid w:val="44FB0ADB"/>
    <w:rsid w:val="45475CB4"/>
    <w:rsid w:val="456D2072"/>
    <w:rsid w:val="46D45B43"/>
    <w:rsid w:val="471E5207"/>
    <w:rsid w:val="474B4782"/>
    <w:rsid w:val="47575483"/>
    <w:rsid w:val="47A5389A"/>
    <w:rsid w:val="47C66004"/>
    <w:rsid w:val="47E76734"/>
    <w:rsid w:val="48217291"/>
    <w:rsid w:val="4843016B"/>
    <w:rsid w:val="48916DF5"/>
    <w:rsid w:val="489E4CCB"/>
    <w:rsid w:val="49930C9D"/>
    <w:rsid w:val="49A107F1"/>
    <w:rsid w:val="49CB3958"/>
    <w:rsid w:val="49CC3C1B"/>
    <w:rsid w:val="4A121587"/>
    <w:rsid w:val="4A4A2665"/>
    <w:rsid w:val="4A513E5D"/>
    <w:rsid w:val="4A643906"/>
    <w:rsid w:val="4ADB3725"/>
    <w:rsid w:val="4AEF3676"/>
    <w:rsid w:val="4BD73C27"/>
    <w:rsid w:val="4CAF130F"/>
    <w:rsid w:val="4CC83E99"/>
    <w:rsid w:val="4D2A4700"/>
    <w:rsid w:val="4D626381"/>
    <w:rsid w:val="4D7534B3"/>
    <w:rsid w:val="4D8E7176"/>
    <w:rsid w:val="4DA8541B"/>
    <w:rsid w:val="4DB3204F"/>
    <w:rsid w:val="4DBE3EFF"/>
    <w:rsid w:val="4E0C7807"/>
    <w:rsid w:val="4E25486B"/>
    <w:rsid w:val="4E9518CC"/>
    <w:rsid w:val="4E9722DB"/>
    <w:rsid w:val="4E9F4B5B"/>
    <w:rsid w:val="4ED27537"/>
    <w:rsid w:val="4F452F09"/>
    <w:rsid w:val="4F5B6768"/>
    <w:rsid w:val="4F87306C"/>
    <w:rsid w:val="4FF713BD"/>
    <w:rsid w:val="50A04439"/>
    <w:rsid w:val="5107592F"/>
    <w:rsid w:val="51437323"/>
    <w:rsid w:val="51A27E07"/>
    <w:rsid w:val="51C84238"/>
    <w:rsid w:val="51E11F6A"/>
    <w:rsid w:val="51F46D28"/>
    <w:rsid w:val="52263E21"/>
    <w:rsid w:val="52946FDD"/>
    <w:rsid w:val="534732D5"/>
    <w:rsid w:val="53E84BD3"/>
    <w:rsid w:val="53EE6028"/>
    <w:rsid w:val="54085625"/>
    <w:rsid w:val="545670C2"/>
    <w:rsid w:val="5480565D"/>
    <w:rsid w:val="54B70777"/>
    <w:rsid w:val="54C61E15"/>
    <w:rsid w:val="54ED2AE0"/>
    <w:rsid w:val="54EE5643"/>
    <w:rsid w:val="55A90B97"/>
    <w:rsid w:val="55DF0A77"/>
    <w:rsid w:val="55EB602D"/>
    <w:rsid w:val="55EE1363"/>
    <w:rsid w:val="5606580F"/>
    <w:rsid w:val="564451BE"/>
    <w:rsid w:val="56686741"/>
    <w:rsid w:val="567F6C43"/>
    <w:rsid w:val="56872B1A"/>
    <w:rsid w:val="56B23ED5"/>
    <w:rsid w:val="56D514BA"/>
    <w:rsid w:val="56DC2E99"/>
    <w:rsid w:val="570D6EDC"/>
    <w:rsid w:val="573C6CC0"/>
    <w:rsid w:val="577A6095"/>
    <w:rsid w:val="57884D34"/>
    <w:rsid w:val="57C82096"/>
    <w:rsid w:val="57EC5210"/>
    <w:rsid w:val="5809029A"/>
    <w:rsid w:val="5889187C"/>
    <w:rsid w:val="5895590E"/>
    <w:rsid w:val="58BD445E"/>
    <w:rsid w:val="58D13B17"/>
    <w:rsid w:val="58D27403"/>
    <w:rsid w:val="59E40581"/>
    <w:rsid w:val="5A3B2434"/>
    <w:rsid w:val="5A400C4E"/>
    <w:rsid w:val="5A6C1A27"/>
    <w:rsid w:val="5AA20087"/>
    <w:rsid w:val="5ADF224D"/>
    <w:rsid w:val="5B2554ED"/>
    <w:rsid w:val="5B960EDB"/>
    <w:rsid w:val="5BC30AB4"/>
    <w:rsid w:val="5C4F21C6"/>
    <w:rsid w:val="5C606182"/>
    <w:rsid w:val="5CD55D79"/>
    <w:rsid w:val="5CEC64AF"/>
    <w:rsid w:val="5CF12A99"/>
    <w:rsid w:val="5D6B4885"/>
    <w:rsid w:val="5D78353E"/>
    <w:rsid w:val="5D8C14CD"/>
    <w:rsid w:val="5D9D3B8A"/>
    <w:rsid w:val="5E0F3C05"/>
    <w:rsid w:val="5E2C304F"/>
    <w:rsid w:val="5E3470F1"/>
    <w:rsid w:val="5EAF5057"/>
    <w:rsid w:val="5EBF24E8"/>
    <w:rsid w:val="5ECE3876"/>
    <w:rsid w:val="5F020056"/>
    <w:rsid w:val="5F1A4628"/>
    <w:rsid w:val="5F2048BE"/>
    <w:rsid w:val="5F5F416A"/>
    <w:rsid w:val="5F902207"/>
    <w:rsid w:val="5FBEFC39"/>
    <w:rsid w:val="5FFF538C"/>
    <w:rsid w:val="60A800F7"/>
    <w:rsid w:val="60D040EA"/>
    <w:rsid w:val="61257885"/>
    <w:rsid w:val="61996D80"/>
    <w:rsid w:val="61AE6903"/>
    <w:rsid w:val="61C860FB"/>
    <w:rsid w:val="62215C60"/>
    <w:rsid w:val="622267A9"/>
    <w:rsid w:val="62427CAA"/>
    <w:rsid w:val="625E188F"/>
    <w:rsid w:val="627A2D01"/>
    <w:rsid w:val="62821A26"/>
    <w:rsid w:val="62963713"/>
    <w:rsid w:val="63D556A7"/>
    <w:rsid w:val="64431DA0"/>
    <w:rsid w:val="64443707"/>
    <w:rsid w:val="654F3EAE"/>
    <w:rsid w:val="655F0C67"/>
    <w:rsid w:val="65B17A4E"/>
    <w:rsid w:val="669702ED"/>
    <w:rsid w:val="66C70434"/>
    <w:rsid w:val="66CE5E35"/>
    <w:rsid w:val="67486190"/>
    <w:rsid w:val="679A495D"/>
    <w:rsid w:val="67F13721"/>
    <w:rsid w:val="6855182A"/>
    <w:rsid w:val="688A4512"/>
    <w:rsid w:val="68D8147F"/>
    <w:rsid w:val="68DE2098"/>
    <w:rsid w:val="68F554E3"/>
    <w:rsid w:val="68FF3C3F"/>
    <w:rsid w:val="695807A9"/>
    <w:rsid w:val="69877177"/>
    <w:rsid w:val="698F12BA"/>
    <w:rsid w:val="698F684D"/>
    <w:rsid w:val="69E551D2"/>
    <w:rsid w:val="69FF0793"/>
    <w:rsid w:val="6A1506BE"/>
    <w:rsid w:val="6A5B08E6"/>
    <w:rsid w:val="6A8E75D9"/>
    <w:rsid w:val="6AAB53B4"/>
    <w:rsid w:val="6AD47DD8"/>
    <w:rsid w:val="6B1C34E9"/>
    <w:rsid w:val="6B224094"/>
    <w:rsid w:val="6B5F70E1"/>
    <w:rsid w:val="6BA60328"/>
    <w:rsid w:val="6BAB61C0"/>
    <w:rsid w:val="6BCB3C6C"/>
    <w:rsid w:val="6BDB740E"/>
    <w:rsid w:val="6BDC40B9"/>
    <w:rsid w:val="6BF00ED3"/>
    <w:rsid w:val="6C0B414A"/>
    <w:rsid w:val="6C867617"/>
    <w:rsid w:val="6CBF795E"/>
    <w:rsid w:val="6CDB46DF"/>
    <w:rsid w:val="6CE40709"/>
    <w:rsid w:val="6D25144D"/>
    <w:rsid w:val="6D480C98"/>
    <w:rsid w:val="6D8C188B"/>
    <w:rsid w:val="6D9640F9"/>
    <w:rsid w:val="6E2940B7"/>
    <w:rsid w:val="6E810716"/>
    <w:rsid w:val="6E9002BB"/>
    <w:rsid w:val="6EB46EB7"/>
    <w:rsid w:val="6EDC7946"/>
    <w:rsid w:val="6F1E5CB4"/>
    <w:rsid w:val="6FDE0390"/>
    <w:rsid w:val="70457711"/>
    <w:rsid w:val="70552F84"/>
    <w:rsid w:val="708B75DE"/>
    <w:rsid w:val="70A666D1"/>
    <w:rsid w:val="70CB3DA8"/>
    <w:rsid w:val="71056728"/>
    <w:rsid w:val="710E4544"/>
    <w:rsid w:val="715E0066"/>
    <w:rsid w:val="727C5F89"/>
    <w:rsid w:val="72982F2A"/>
    <w:rsid w:val="72C708B1"/>
    <w:rsid w:val="735D13CB"/>
    <w:rsid w:val="73C06F26"/>
    <w:rsid w:val="73C80D84"/>
    <w:rsid w:val="73F1C740"/>
    <w:rsid w:val="740C70C5"/>
    <w:rsid w:val="742B0368"/>
    <w:rsid w:val="746C1710"/>
    <w:rsid w:val="74837684"/>
    <w:rsid w:val="74C71D5B"/>
    <w:rsid w:val="74E7769E"/>
    <w:rsid w:val="75EBC6ED"/>
    <w:rsid w:val="75F51727"/>
    <w:rsid w:val="764010E4"/>
    <w:rsid w:val="765C57B4"/>
    <w:rsid w:val="768D3874"/>
    <w:rsid w:val="76B86E8E"/>
    <w:rsid w:val="786974CB"/>
    <w:rsid w:val="79282B5C"/>
    <w:rsid w:val="794A24B0"/>
    <w:rsid w:val="796230E1"/>
    <w:rsid w:val="79D35515"/>
    <w:rsid w:val="79FF0EF4"/>
    <w:rsid w:val="7A1637FF"/>
    <w:rsid w:val="7AD53168"/>
    <w:rsid w:val="7B124BB8"/>
    <w:rsid w:val="7B6018A2"/>
    <w:rsid w:val="7BAC2294"/>
    <w:rsid w:val="7BB40320"/>
    <w:rsid w:val="7BC43F70"/>
    <w:rsid w:val="7BF0346C"/>
    <w:rsid w:val="7C5776CD"/>
    <w:rsid w:val="7CA82CA9"/>
    <w:rsid w:val="7D787632"/>
    <w:rsid w:val="7DD10836"/>
    <w:rsid w:val="7E3239CA"/>
    <w:rsid w:val="7E4454AB"/>
    <w:rsid w:val="7E4D2A60"/>
    <w:rsid w:val="7E76459B"/>
    <w:rsid w:val="7E786F03"/>
    <w:rsid w:val="7EAF2398"/>
    <w:rsid w:val="7EC4769B"/>
    <w:rsid w:val="7ECA0CFA"/>
    <w:rsid w:val="7EFC18E2"/>
    <w:rsid w:val="7F4125E6"/>
    <w:rsid w:val="7F641334"/>
    <w:rsid w:val="7F837DCE"/>
    <w:rsid w:val="7FBDC2A0"/>
    <w:rsid w:val="7FC5201F"/>
    <w:rsid w:val="7FD72BC2"/>
    <w:rsid w:val="7FEADF81"/>
    <w:rsid w:val="7FF388DD"/>
    <w:rsid w:val="7FF9F9CB"/>
    <w:rsid w:val="7FFD8FAC"/>
    <w:rsid w:val="7FFFBDBE"/>
    <w:rsid w:val="9F178552"/>
    <w:rsid w:val="A7C97AED"/>
    <w:rsid w:val="BEFDCB01"/>
    <w:rsid w:val="BF6C9167"/>
    <w:rsid w:val="C72FB000"/>
    <w:rsid w:val="D5F37A67"/>
    <w:rsid w:val="DB7F8456"/>
    <w:rsid w:val="DD4EF65F"/>
    <w:rsid w:val="DFFF7E9A"/>
    <w:rsid w:val="E56EA89A"/>
    <w:rsid w:val="F1EFCAAE"/>
    <w:rsid w:val="F7EE3DCB"/>
    <w:rsid w:val="F7FDEA9B"/>
    <w:rsid w:val="F9CEF8C9"/>
    <w:rsid w:val="FBDFC2CF"/>
    <w:rsid w:val="FBFF9761"/>
    <w:rsid w:val="FDDF1F0B"/>
    <w:rsid w:val="FEF9BAAF"/>
    <w:rsid w:val="FEFD870A"/>
    <w:rsid w:val="FF6AC95B"/>
    <w:rsid w:val="FFFF451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ordWrap w:val="0"/>
      <w:topLinePunct/>
      <w:adjustRightInd w:val="0"/>
      <w:snapToGrid w:val="0"/>
      <w:spacing w:after="120" w:afterLines="50" w:line="360" w:lineRule="auto"/>
      <w:ind w:firstLine="480" w:firstLineChars="200"/>
      <w:jc w:val="both"/>
    </w:pPr>
    <w:rPr>
      <w:rFonts w:ascii="宋体" w:hAnsi="宋体"/>
      <w:sz w:val="24"/>
      <w:lang w:val="en-US" w:eastAsia="zh-CN" w:bidi="ar-SA"/>
    </w:rPr>
  </w:style>
  <w:style w:type="paragraph" w:styleId="3">
    <w:name w:val="heading 1"/>
    <w:next w:val="1"/>
    <w:link w:val="42"/>
    <w:qFormat/>
    <w:uiPriority w:val="9"/>
    <w:pPr>
      <w:adjustRightInd w:val="0"/>
      <w:snapToGrid w:val="0"/>
      <w:spacing w:line="360" w:lineRule="auto"/>
      <w:jc w:val="center"/>
      <w:outlineLvl w:val="0"/>
    </w:pPr>
    <w:rPr>
      <w:b/>
      <w:kern w:val="44"/>
      <w:sz w:val="30"/>
      <w:szCs w:val="22"/>
      <w:lang w:val="en-US" w:eastAsia="zh-CN" w:bidi="ar-SA"/>
    </w:rPr>
  </w:style>
  <w:style w:type="paragraph" w:styleId="4">
    <w:name w:val="heading 2"/>
    <w:basedOn w:val="1"/>
    <w:next w:val="1"/>
    <w:qFormat/>
    <w:uiPriority w:val="9"/>
    <w:pPr>
      <w:keepNext/>
      <w:keepLines/>
      <w:spacing w:line="413" w:lineRule="auto"/>
      <w:outlineLvl w:val="1"/>
    </w:pPr>
    <w:rPr>
      <w:rFonts w:ascii="Arial" w:hAnsi="Arial" w:eastAsia="黑体"/>
      <w:b/>
      <w:sz w:val="28"/>
    </w:rPr>
  </w:style>
  <w:style w:type="paragraph" w:styleId="5">
    <w:name w:val="heading 3"/>
    <w:basedOn w:val="1"/>
    <w:next w:val="1"/>
    <w:link w:val="43"/>
    <w:qFormat/>
    <w:uiPriority w:val="0"/>
    <w:pPr>
      <w:keepNext/>
      <w:keepLines/>
      <w:ind w:firstLine="0" w:firstLineChars="0"/>
      <w:jc w:val="left"/>
      <w:outlineLvl w:val="2"/>
    </w:pPr>
    <w:rPr>
      <w:b/>
    </w:rPr>
  </w:style>
  <w:style w:type="paragraph" w:styleId="6">
    <w:name w:val="heading 4"/>
    <w:basedOn w:val="1"/>
    <w:next w:val="1"/>
    <w:qFormat/>
    <w:uiPriority w:val="9"/>
    <w:pPr>
      <w:keepNext/>
      <w:keepLines/>
      <w:adjustRightInd w:val="0"/>
      <w:snapToGrid w:val="0"/>
      <w:outlineLvl w:val="3"/>
    </w:pPr>
    <w:rPr>
      <w:rFonts w:ascii="Arial" w:hAnsi="Arial"/>
      <w:kern w:val="2"/>
      <w:sz w:val="28"/>
      <w:szCs w:val="22"/>
      <w:lang w:val="en-US" w:eastAsia="zh-CN" w:bidi="ar-SA"/>
    </w:rPr>
  </w:style>
  <w:style w:type="paragraph" w:styleId="7">
    <w:name w:val="heading 5"/>
    <w:basedOn w:val="1"/>
    <w:next w:val="1"/>
    <w:link w:val="44"/>
    <w:qFormat/>
    <w:uiPriority w:val="0"/>
    <w:pPr>
      <w:keepNext/>
      <w:keepLines/>
      <w:spacing w:before="280" w:after="290" w:line="376" w:lineRule="auto"/>
      <w:ind w:left="992" w:hanging="992"/>
      <w:outlineLvl w:val="4"/>
    </w:pPr>
    <w:rPr>
      <w:b/>
      <w:bCs/>
      <w:sz w:val="28"/>
      <w:szCs w:val="28"/>
    </w:rPr>
  </w:style>
  <w:style w:type="paragraph" w:styleId="8">
    <w:name w:val="heading 6"/>
    <w:basedOn w:val="1"/>
    <w:next w:val="1"/>
    <w:link w:val="45"/>
    <w:qFormat/>
    <w:uiPriority w:val="0"/>
    <w:pPr>
      <w:keepNext/>
      <w:keepLines/>
      <w:spacing w:before="240" w:after="64" w:line="320" w:lineRule="auto"/>
      <w:ind w:left="1134" w:hanging="1134"/>
      <w:outlineLvl w:val="5"/>
    </w:pPr>
    <w:rPr>
      <w:rFonts w:ascii="Calibri Light" w:hAnsi="Calibri Light" w:cs="Times New Roman"/>
      <w:b/>
      <w:bCs/>
    </w:rPr>
  </w:style>
  <w:style w:type="paragraph" w:styleId="9">
    <w:name w:val="heading 7"/>
    <w:basedOn w:val="1"/>
    <w:next w:val="1"/>
    <w:link w:val="46"/>
    <w:qFormat/>
    <w:uiPriority w:val="0"/>
    <w:pPr>
      <w:spacing w:line="288" w:lineRule="auto"/>
      <w:outlineLvl w:val="6"/>
    </w:pPr>
    <w:rPr>
      <w:rFonts w:ascii="CG Times" w:hAnsi="CG Times"/>
      <w:sz w:val="22"/>
      <w:lang w:val="en-GB"/>
    </w:rPr>
  </w:style>
  <w:style w:type="paragraph" w:styleId="10">
    <w:name w:val="heading 8"/>
    <w:basedOn w:val="1"/>
    <w:next w:val="1"/>
    <w:link w:val="47"/>
    <w:qFormat/>
    <w:uiPriority w:val="0"/>
    <w:pPr>
      <w:spacing w:line="288" w:lineRule="auto"/>
      <w:outlineLvl w:val="7"/>
    </w:pPr>
    <w:rPr>
      <w:rFonts w:ascii="CG Times" w:hAnsi="CG Times"/>
      <w:sz w:val="22"/>
      <w:lang w:val="en-GB"/>
    </w:rPr>
  </w:style>
  <w:style w:type="paragraph" w:styleId="11">
    <w:name w:val="heading 9"/>
    <w:basedOn w:val="1"/>
    <w:next w:val="1"/>
    <w:link w:val="48"/>
    <w:qFormat/>
    <w:uiPriority w:val="0"/>
    <w:pPr>
      <w:pageBreakBefore/>
      <w:tabs>
        <w:tab w:val="left" w:pos="1800"/>
      </w:tabs>
      <w:suppressAutoHyphens/>
      <w:spacing w:after="300" w:line="336" w:lineRule="auto"/>
      <w:jc w:val="center"/>
      <w:outlineLvl w:val="8"/>
    </w:pPr>
    <w:rPr>
      <w:rFonts w:ascii="CG Times" w:hAnsi="CG Times"/>
      <w:b/>
      <w:smallCaps/>
      <w:sz w:val="21"/>
      <w:lang w:val="en-GB"/>
    </w:rPr>
  </w:style>
  <w:style w:type="character" w:default="1" w:styleId="37">
    <w:name w:val="Default Paragraph Font"/>
    <w:unhideWhenUsed/>
    <w:qFormat/>
    <w:uiPriority w:val="1"/>
  </w:style>
  <w:style w:type="table" w:default="1" w:styleId="35">
    <w:name w:val="Normal Table"/>
    <w:unhideWhenUsed/>
    <w:qFormat/>
    <w:uiPriority w:val="99"/>
    <w:tblPr>
      <w:tblStyle w:val="35"/>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12">
    <w:name w:val="toc 7"/>
    <w:basedOn w:val="1"/>
    <w:next w:val="1"/>
    <w:unhideWhenUsed/>
    <w:qFormat/>
    <w:uiPriority w:val="39"/>
    <w:pPr>
      <w:ind w:left="2520" w:leftChars="1200"/>
    </w:pPr>
    <w:rPr>
      <w:sz w:val="21"/>
    </w:rPr>
  </w:style>
  <w:style w:type="paragraph" w:styleId="13">
    <w:name w:val="Document Map"/>
    <w:basedOn w:val="1"/>
    <w:link w:val="49"/>
    <w:unhideWhenUsed/>
    <w:qFormat/>
    <w:uiPriority w:val="99"/>
  </w:style>
  <w:style w:type="paragraph" w:styleId="14">
    <w:name w:val="annotation text"/>
    <w:basedOn w:val="1"/>
    <w:link w:val="50"/>
    <w:unhideWhenUsed/>
    <w:qFormat/>
    <w:uiPriority w:val="99"/>
    <w:pPr>
      <w:jc w:val="left"/>
    </w:pPr>
  </w:style>
  <w:style w:type="paragraph" w:styleId="15">
    <w:name w:val="Body Text 3"/>
    <w:basedOn w:val="1"/>
    <w:link w:val="51"/>
    <w:unhideWhenUsed/>
    <w:qFormat/>
    <w:uiPriority w:val="99"/>
    <w:rPr>
      <w:sz w:val="16"/>
      <w:szCs w:val="16"/>
    </w:rPr>
  </w:style>
  <w:style w:type="paragraph" w:styleId="16">
    <w:name w:val="Body Text"/>
    <w:basedOn w:val="1"/>
    <w:link w:val="52"/>
    <w:unhideWhenUsed/>
    <w:qFormat/>
    <w:uiPriority w:val="99"/>
  </w:style>
  <w:style w:type="paragraph" w:styleId="17">
    <w:name w:val="toc 5"/>
    <w:basedOn w:val="1"/>
    <w:next w:val="1"/>
    <w:unhideWhenUsed/>
    <w:qFormat/>
    <w:uiPriority w:val="39"/>
    <w:pPr>
      <w:ind w:left="1680" w:leftChars="800"/>
    </w:pPr>
    <w:rPr>
      <w:sz w:val="21"/>
    </w:rPr>
  </w:style>
  <w:style w:type="paragraph" w:styleId="18">
    <w:name w:val="toc 3"/>
    <w:basedOn w:val="1"/>
    <w:next w:val="1"/>
    <w:unhideWhenUsed/>
    <w:qFormat/>
    <w:uiPriority w:val="39"/>
    <w:pPr>
      <w:ind w:left="840" w:leftChars="400"/>
    </w:pPr>
  </w:style>
  <w:style w:type="paragraph" w:styleId="19">
    <w:name w:val="Plain Text"/>
    <w:basedOn w:val="1"/>
    <w:link w:val="53"/>
    <w:qFormat/>
    <w:uiPriority w:val="0"/>
    <w:pPr>
      <w:adjustRightInd w:val="0"/>
      <w:snapToGrid w:val="0"/>
      <w:spacing w:after="120" w:afterLines="50" w:line="360" w:lineRule="auto"/>
      <w:jc w:val="both"/>
    </w:pPr>
    <w:rPr>
      <w:rFonts w:ascii="宋体" w:hAnsi="宋体" w:cs="宋体"/>
      <w:kern w:val="2"/>
      <w:sz w:val="24"/>
      <w:szCs w:val="24"/>
      <w:lang w:val="en-US" w:eastAsia="zh-CN" w:bidi="ar-SA"/>
    </w:rPr>
  </w:style>
  <w:style w:type="paragraph" w:styleId="20">
    <w:name w:val="toc 8"/>
    <w:basedOn w:val="1"/>
    <w:next w:val="1"/>
    <w:unhideWhenUsed/>
    <w:qFormat/>
    <w:uiPriority w:val="39"/>
    <w:pPr>
      <w:ind w:left="2940" w:leftChars="1400"/>
    </w:pPr>
    <w:rPr>
      <w:sz w:val="21"/>
    </w:rPr>
  </w:style>
  <w:style w:type="paragraph" w:styleId="21">
    <w:name w:val="Date"/>
    <w:basedOn w:val="1"/>
    <w:next w:val="1"/>
    <w:link w:val="54"/>
    <w:unhideWhenUsed/>
    <w:qFormat/>
    <w:uiPriority w:val="0"/>
    <w:pPr>
      <w:ind w:left="100" w:leftChars="2500"/>
    </w:pPr>
  </w:style>
  <w:style w:type="paragraph" w:styleId="22">
    <w:name w:val="Balloon Text"/>
    <w:basedOn w:val="1"/>
    <w:link w:val="55"/>
    <w:unhideWhenUsed/>
    <w:qFormat/>
    <w:uiPriority w:val="99"/>
    <w:rPr>
      <w:sz w:val="18"/>
      <w:szCs w:val="18"/>
    </w:rPr>
  </w:style>
  <w:style w:type="paragraph" w:styleId="23">
    <w:name w:val="footer"/>
    <w:link w:val="56"/>
    <w:unhideWhenUsed/>
    <w:qFormat/>
    <w:uiPriority w:val="99"/>
    <w:pPr>
      <w:tabs>
        <w:tab w:val="center" w:pos="4153"/>
        <w:tab w:val="right" w:pos="8306"/>
      </w:tabs>
      <w:jc w:val="center"/>
    </w:pPr>
    <w:rPr>
      <w:rFonts w:ascii="宋体" w:hAnsi="宋体"/>
      <w:kern w:val="2"/>
      <w:sz w:val="18"/>
      <w:szCs w:val="18"/>
      <w:lang w:val="en-US" w:eastAsia="zh-CN" w:bidi="ar-SA"/>
    </w:rPr>
  </w:style>
  <w:style w:type="paragraph" w:styleId="24">
    <w:name w:val="header"/>
    <w:basedOn w:val="1"/>
    <w:link w:val="57"/>
    <w:unhideWhenUsed/>
    <w:qFormat/>
    <w:uiPriority w:val="99"/>
    <w:pPr>
      <w:tabs>
        <w:tab w:val="center" w:pos="4153"/>
        <w:tab w:val="right" w:pos="8306"/>
      </w:tabs>
      <w:ind w:firstLine="360"/>
      <w:jc w:val="center"/>
    </w:pPr>
    <w:rPr>
      <w:sz w:val="18"/>
      <w:szCs w:val="18"/>
    </w:rPr>
  </w:style>
  <w:style w:type="paragraph" w:styleId="25">
    <w:name w:val="toc 1"/>
    <w:basedOn w:val="1"/>
    <w:next w:val="1"/>
    <w:unhideWhenUsed/>
    <w:qFormat/>
    <w:uiPriority w:val="39"/>
  </w:style>
  <w:style w:type="paragraph" w:styleId="26">
    <w:name w:val="toc 4"/>
    <w:basedOn w:val="1"/>
    <w:next w:val="1"/>
    <w:unhideWhenUsed/>
    <w:qFormat/>
    <w:uiPriority w:val="39"/>
    <w:pPr>
      <w:ind w:left="1260" w:leftChars="600"/>
    </w:pPr>
    <w:rPr>
      <w:sz w:val="21"/>
    </w:rPr>
  </w:style>
  <w:style w:type="paragraph" w:styleId="27">
    <w:name w:val="Subtitle"/>
    <w:next w:val="1"/>
    <w:link w:val="58"/>
    <w:qFormat/>
    <w:uiPriority w:val="11"/>
    <w:pPr>
      <w:adjustRightInd w:val="0"/>
      <w:snapToGrid w:val="0"/>
      <w:ind w:left="708" w:leftChars="295"/>
      <w:outlineLvl w:val="1"/>
    </w:pPr>
    <w:rPr>
      <w:rFonts w:ascii="宋体" w:hAnsi="宋体"/>
      <w:b/>
      <w:bCs/>
      <w:kern w:val="28"/>
      <w:sz w:val="24"/>
      <w:szCs w:val="32"/>
      <w:lang w:val="en-US" w:eastAsia="zh-CN" w:bidi="ar-SA"/>
    </w:rPr>
  </w:style>
  <w:style w:type="paragraph" w:styleId="28">
    <w:name w:val="toc 6"/>
    <w:basedOn w:val="1"/>
    <w:next w:val="1"/>
    <w:unhideWhenUsed/>
    <w:qFormat/>
    <w:uiPriority w:val="39"/>
    <w:pPr>
      <w:ind w:left="2100" w:leftChars="1000"/>
    </w:pPr>
    <w:rPr>
      <w:sz w:val="21"/>
    </w:rPr>
  </w:style>
  <w:style w:type="paragraph" w:styleId="29">
    <w:name w:val="toc 2"/>
    <w:basedOn w:val="1"/>
    <w:next w:val="1"/>
    <w:unhideWhenUsed/>
    <w:qFormat/>
    <w:uiPriority w:val="39"/>
    <w:pPr>
      <w:ind w:left="420" w:leftChars="200"/>
    </w:pPr>
  </w:style>
  <w:style w:type="paragraph" w:styleId="30">
    <w:name w:val="toc 9"/>
    <w:basedOn w:val="1"/>
    <w:next w:val="1"/>
    <w:unhideWhenUsed/>
    <w:qFormat/>
    <w:uiPriority w:val="39"/>
    <w:pPr>
      <w:ind w:left="3360" w:leftChars="1600"/>
    </w:pPr>
    <w:rPr>
      <w:sz w:val="21"/>
    </w:rPr>
  </w:style>
  <w:style w:type="paragraph" w:styleId="31">
    <w:name w:val="Body Text 2"/>
    <w:basedOn w:val="1"/>
    <w:link w:val="59"/>
    <w:unhideWhenUsed/>
    <w:qFormat/>
    <w:uiPriority w:val="99"/>
    <w:pPr>
      <w:spacing w:line="480" w:lineRule="auto"/>
    </w:pPr>
  </w:style>
  <w:style w:type="paragraph" w:styleId="32">
    <w:name w:val="HTML Preformatted"/>
    <w:basedOn w:val="1"/>
    <w:link w:val="60"/>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afterLines="0" w:line="240" w:lineRule="auto"/>
      <w:ind w:firstLine="0" w:firstLineChars="0"/>
      <w:jc w:val="left"/>
    </w:pPr>
    <w:rPr>
      <w:rFonts w:cs="宋体"/>
    </w:rPr>
  </w:style>
  <w:style w:type="paragraph" w:styleId="33">
    <w:name w:val="Normal (Web)"/>
    <w:basedOn w:val="1"/>
    <w:unhideWhenUsed/>
    <w:qFormat/>
    <w:uiPriority w:val="99"/>
    <w:pPr>
      <w:adjustRightInd/>
      <w:snapToGrid/>
      <w:spacing w:before="100" w:beforeAutospacing="1" w:after="100" w:afterLines="0" w:afterAutospacing="1" w:line="240" w:lineRule="auto"/>
      <w:ind w:firstLine="0" w:firstLineChars="0"/>
      <w:jc w:val="left"/>
    </w:pPr>
    <w:rPr>
      <w:rFonts w:cs="宋体"/>
    </w:rPr>
  </w:style>
  <w:style w:type="paragraph" w:styleId="34">
    <w:name w:val="annotation subject"/>
    <w:basedOn w:val="14"/>
    <w:next w:val="14"/>
    <w:link w:val="61"/>
    <w:unhideWhenUsed/>
    <w:qFormat/>
    <w:uiPriority w:val="99"/>
    <w:rPr>
      <w:b/>
      <w:bCs/>
    </w:rPr>
  </w:style>
  <w:style w:type="table" w:styleId="36">
    <w:name w:val="Table Grid"/>
    <w:basedOn w:val="35"/>
    <w:qFormat/>
    <w:uiPriority w:val="0"/>
    <w:tblPr>
      <w:tblStyle w:val="3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8">
    <w:name w:val="Strong"/>
    <w:qFormat/>
    <w:uiPriority w:val="22"/>
    <w:rPr>
      <w:b/>
      <w:bCs/>
    </w:rPr>
  </w:style>
  <w:style w:type="character" w:styleId="39">
    <w:name w:val="FollowedHyperlink"/>
    <w:unhideWhenUsed/>
    <w:qFormat/>
    <w:uiPriority w:val="99"/>
    <w:rPr>
      <w:color w:val="954F72"/>
      <w:u w:val="single"/>
    </w:rPr>
  </w:style>
  <w:style w:type="character" w:styleId="40">
    <w:name w:val="Hyperlink"/>
    <w:unhideWhenUsed/>
    <w:qFormat/>
    <w:uiPriority w:val="99"/>
    <w:rPr>
      <w:color w:val="0563C1"/>
      <w:u w:val="single"/>
    </w:rPr>
  </w:style>
  <w:style w:type="character" w:styleId="41">
    <w:name w:val="annotation reference"/>
    <w:unhideWhenUsed/>
    <w:qFormat/>
    <w:uiPriority w:val="99"/>
    <w:rPr>
      <w:sz w:val="21"/>
      <w:szCs w:val="21"/>
    </w:rPr>
  </w:style>
  <w:style w:type="character" w:customStyle="1" w:styleId="42">
    <w:name w:val="标题 1 字符"/>
    <w:link w:val="3"/>
    <w:qFormat/>
    <w:uiPriority w:val="9"/>
    <w:rPr>
      <w:rFonts w:eastAsia="宋体" w:cs="Times New Roman"/>
      <w:b/>
      <w:kern w:val="44"/>
      <w:sz w:val="30"/>
      <w:szCs w:val="22"/>
    </w:rPr>
  </w:style>
  <w:style w:type="character" w:customStyle="1" w:styleId="43">
    <w:name w:val="标题 3 字符"/>
    <w:link w:val="5"/>
    <w:qFormat/>
    <w:uiPriority w:val="0"/>
    <w:rPr>
      <w:rFonts w:ascii="宋体" w:hAnsi="Calibri" w:cs="Times New Roman"/>
      <w:b/>
      <w:kern w:val="2"/>
      <w:sz w:val="24"/>
      <w:szCs w:val="22"/>
    </w:rPr>
  </w:style>
  <w:style w:type="character" w:customStyle="1" w:styleId="44">
    <w:name w:val="标题 5 字符"/>
    <w:link w:val="7"/>
    <w:qFormat/>
    <w:uiPriority w:val="9"/>
    <w:rPr>
      <w:b/>
      <w:bCs/>
      <w:kern w:val="2"/>
      <w:sz w:val="28"/>
      <w:szCs w:val="28"/>
    </w:rPr>
  </w:style>
  <w:style w:type="character" w:customStyle="1" w:styleId="45">
    <w:name w:val="标题 6 字符"/>
    <w:link w:val="8"/>
    <w:semiHidden/>
    <w:qFormat/>
    <w:uiPriority w:val="9"/>
    <w:rPr>
      <w:rFonts w:ascii="Calibri Light" w:hAnsi="Calibri Light" w:eastAsia="宋体" w:cs="Times New Roman"/>
      <w:b/>
      <w:bCs/>
      <w:kern w:val="2"/>
      <w:sz w:val="24"/>
      <w:szCs w:val="24"/>
    </w:rPr>
  </w:style>
  <w:style w:type="character" w:customStyle="1" w:styleId="46">
    <w:name w:val="标题 7 字符"/>
    <w:link w:val="9"/>
    <w:qFormat/>
    <w:uiPriority w:val="0"/>
    <w:rPr>
      <w:rFonts w:ascii="CG Times" w:hAnsi="CG Times"/>
      <w:sz w:val="22"/>
      <w:lang w:val="en-GB"/>
    </w:rPr>
  </w:style>
  <w:style w:type="character" w:customStyle="1" w:styleId="47">
    <w:name w:val="标题 8 字符"/>
    <w:link w:val="10"/>
    <w:qFormat/>
    <w:uiPriority w:val="0"/>
    <w:rPr>
      <w:rFonts w:ascii="CG Times" w:hAnsi="CG Times"/>
      <w:sz w:val="22"/>
      <w:lang w:val="en-GB"/>
    </w:rPr>
  </w:style>
  <w:style w:type="character" w:customStyle="1" w:styleId="48">
    <w:name w:val="标题 9 字符"/>
    <w:link w:val="11"/>
    <w:qFormat/>
    <w:uiPriority w:val="0"/>
    <w:rPr>
      <w:rFonts w:ascii="CG Times" w:hAnsi="CG Times"/>
      <w:b/>
      <w:smallCaps/>
      <w:sz w:val="21"/>
      <w:lang w:val="en-GB"/>
    </w:rPr>
  </w:style>
  <w:style w:type="character" w:customStyle="1" w:styleId="49">
    <w:name w:val="文档结构图 字符"/>
    <w:link w:val="13"/>
    <w:semiHidden/>
    <w:qFormat/>
    <w:uiPriority w:val="99"/>
    <w:rPr>
      <w:rFonts w:ascii="宋体" w:hAnsi="Calibri" w:cs="Times New Roman"/>
      <w:kern w:val="2"/>
      <w:sz w:val="24"/>
      <w:szCs w:val="24"/>
    </w:rPr>
  </w:style>
  <w:style w:type="character" w:customStyle="1" w:styleId="50">
    <w:name w:val="批注文字 字符"/>
    <w:link w:val="14"/>
    <w:qFormat/>
    <w:uiPriority w:val="99"/>
    <w:rPr>
      <w:rFonts w:ascii="Calibri" w:hAnsi="Calibri" w:eastAsia="宋体" w:cs="Times New Roman"/>
      <w:kern w:val="2"/>
      <w:sz w:val="24"/>
      <w:szCs w:val="22"/>
    </w:rPr>
  </w:style>
  <w:style w:type="character" w:customStyle="1" w:styleId="51">
    <w:name w:val="正文文本 3 字符"/>
    <w:link w:val="15"/>
    <w:semiHidden/>
    <w:qFormat/>
    <w:uiPriority w:val="99"/>
    <w:rPr>
      <w:rFonts w:ascii="Calibri" w:hAnsi="Calibri" w:eastAsia="宋体" w:cs="Times New Roman"/>
      <w:kern w:val="2"/>
      <w:sz w:val="16"/>
      <w:szCs w:val="16"/>
    </w:rPr>
  </w:style>
  <w:style w:type="character" w:customStyle="1" w:styleId="52">
    <w:name w:val="正文文本 字符"/>
    <w:link w:val="16"/>
    <w:qFormat/>
    <w:uiPriority w:val="99"/>
    <w:rPr>
      <w:rFonts w:ascii="Calibri" w:hAnsi="Calibri" w:eastAsia="宋体" w:cs="Times New Roman"/>
      <w:kern w:val="2"/>
      <w:sz w:val="24"/>
      <w:szCs w:val="22"/>
    </w:rPr>
  </w:style>
  <w:style w:type="character" w:customStyle="1" w:styleId="53">
    <w:name w:val="纯文本 字符"/>
    <w:link w:val="19"/>
    <w:qFormat/>
    <w:uiPriority w:val="0"/>
    <w:rPr>
      <w:rFonts w:ascii="宋体" w:hAnsi="宋体" w:eastAsia="宋体" w:cs="宋体"/>
      <w:kern w:val="2"/>
      <w:sz w:val="24"/>
      <w:szCs w:val="24"/>
    </w:rPr>
  </w:style>
  <w:style w:type="character" w:customStyle="1" w:styleId="54">
    <w:name w:val="日期 字符"/>
    <w:link w:val="21"/>
    <w:qFormat/>
    <w:uiPriority w:val="0"/>
  </w:style>
  <w:style w:type="character" w:customStyle="1" w:styleId="55">
    <w:name w:val="批注框文本 字符"/>
    <w:link w:val="22"/>
    <w:semiHidden/>
    <w:qFormat/>
    <w:uiPriority w:val="99"/>
    <w:rPr>
      <w:sz w:val="18"/>
      <w:szCs w:val="18"/>
    </w:rPr>
  </w:style>
  <w:style w:type="character" w:customStyle="1" w:styleId="56">
    <w:name w:val="页脚 字符"/>
    <w:link w:val="23"/>
    <w:qFormat/>
    <w:uiPriority w:val="99"/>
    <w:rPr>
      <w:rFonts w:ascii="宋体" w:hAnsi="宋体" w:cs="Times New Roman"/>
      <w:kern w:val="2"/>
      <w:sz w:val="18"/>
      <w:szCs w:val="18"/>
    </w:rPr>
  </w:style>
  <w:style w:type="character" w:customStyle="1" w:styleId="57">
    <w:name w:val="页眉 字符"/>
    <w:link w:val="24"/>
    <w:qFormat/>
    <w:uiPriority w:val="99"/>
    <w:rPr>
      <w:rFonts w:ascii="宋体" w:hAnsi="宋体" w:cs="Times New Roman"/>
      <w:kern w:val="2"/>
      <w:sz w:val="18"/>
      <w:szCs w:val="18"/>
    </w:rPr>
  </w:style>
  <w:style w:type="character" w:customStyle="1" w:styleId="58">
    <w:name w:val="副标题 字符"/>
    <w:link w:val="27"/>
    <w:qFormat/>
    <w:uiPriority w:val="11"/>
    <w:rPr>
      <w:rFonts w:ascii="宋体" w:hAnsi="宋体" w:cs="Times New Roman"/>
      <w:b/>
      <w:bCs/>
      <w:kern w:val="28"/>
      <w:sz w:val="24"/>
      <w:szCs w:val="32"/>
    </w:rPr>
  </w:style>
  <w:style w:type="character" w:customStyle="1" w:styleId="59">
    <w:name w:val="正文文本 2 字符"/>
    <w:link w:val="31"/>
    <w:semiHidden/>
    <w:qFormat/>
    <w:uiPriority w:val="99"/>
    <w:rPr>
      <w:rFonts w:ascii="Calibri" w:hAnsi="Calibri" w:eastAsia="宋体" w:cs="Times New Roman"/>
      <w:kern w:val="2"/>
      <w:sz w:val="24"/>
      <w:szCs w:val="22"/>
    </w:rPr>
  </w:style>
  <w:style w:type="character" w:customStyle="1" w:styleId="60">
    <w:name w:val="HTML 预设格式 字符"/>
    <w:link w:val="32"/>
    <w:semiHidden/>
    <w:qFormat/>
    <w:uiPriority w:val="99"/>
    <w:rPr>
      <w:rFonts w:ascii="宋体" w:hAnsi="宋体" w:cs="宋体"/>
      <w:sz w:val="24"/>
      <w:szCs w:val="24"/>
    </w:rPr>
  </w:style>
  <w:style w:type="character" w:customStyle="1" w:styleId="61">
    <w:name w:val="批注主题 字符"/>
    <w:link w:val="34"/>
    <w:semiHidden/>
    <w:qFormat/>
    <w:uiPriority w:val="99"/>
    <w:rPr>
      <w:rFonts w:ascii="Calibri" w:hAnsi="Calibri" w:eastAsia="宋体" w:cs="Times New Roman"/>
      <w:b/>
      <w:bCs/>
      <w:kern w:val="2"/>
      <w:sz w:val="24"/>
      <w:szCs w:val="22"/>
    </w:rPr>
  </w:style>
  <w:style w:type="character" w:customStyle="1" w:styleId="62">
    <w:name w:val="content"/>
    <w:qFormat/>
    <w:uiPriority w:val="0"/>
  </w:style>
  <w:style w:type="character" w:customStyle="1" w:styleId="63">
    <w:name w:val="未处理的提及3"/>
    <w:unhideWhenUsed/>
    <w:qFormat/>
    <w:uiPriority w:val="99"/>
    <w:rPr>
      <w:color w:val="605E5C"/>
      <w:shd w:val="clear" w:color="auto" w:fill="E1DFDD"/>
    </w:rPr>
  </w:style>
  <w:style w:type="character" w:customStyle="1" w:styleId="64">
    <w:name w:val="样式1 字符"/>
    <w:link w:val="65"/>
    <w:qFormat/>
    <w:uiPriority w:val="0"/>
    <w:rPr>
      <w:rFonts w:ascii="Calibri" w:hAnsi="Calibri" w:eastAsia="宋体" w:cs="Times New Roman"/>
      <w:b/>
      <w:kern w:val="44"/>
      <w:sz w:val="30"/>
      <w:szCs w:val="22"/>
    </w:rPr>
  </w:style>
  <w:style w:type="paragraph" w:customStyle="1" w:styleId="65">
    <w:name w:val="样式1"/>
    <w:basedOn w:val="3"/>
    <w:link w:val="64"/>
    <w:qFormat/>
    <w:uiPriority w:val="0"/>
    <w:rPr>
      <w:rFonts w:cs="Times New Roman"/>
    </w:rPr>
  </w:style>
  <w:style w:type="character" w:customStyle="1" w:styleId="66">
    <w:name w:val="search-in-page-highlight-wrapper"/>
    <w:qFormat/>
    <w:uiPriority w:val="0"/>
  </w:style>
  <w:style w:type="character" w:customStyle="1" w:styleId="67">
    <w:name w:val="未处理的提及1"/>
    <w:unhideWhenUsed/>
    <w:qFormat/>
    <w:uiPriority w:val="99"/>
    <w:rPr>
      <w:color w:val="605E5C"/>
      <w:shd w:val="clear" w:color="auto" w:fill="E1DFDD"/>
    </w:rPr>
  </w:style>
  <w:style w:type="character" w:customStyle="1" w:styleId="68">
    <w:name w:val="refer-count"/>
    <w:qFormat/>
    <w:uiPriority w:val="0"/>
  </w:style>
  <w:style w:type="character" w:styleId="69">
    <w:name w:val="Placeholder Text"/>
    <w:unhideWhenUsed/>
    <w:qFormat/>
    <w:uiPriority w:val="99"/>
    <w:rPr>
      <w:color w:val="808080"/>
    </w:rPr>
  </w:style>
  <w:style w:type="character" w:customStyle="1" w:styleId="70">
    <w:name w:val="search-in-page-highlight-item"/>
    <w:qFormat/>
    <w:uiPriority w:val="0"/>
  </w:style>
  <w:style w:type="character" w:customStyle="1" w:styleId="71">
    <w:name w:val="law-parenthese"/>
    <w:qFormat/>
    <w:uiPriority w:val="0"/>
  </w:style>
  <w:style w:type="character" w:customStyle="1" w:styleId="72">
    <w:name w:val="未处理的提及2"/>
    <w:unhideWhenUsed/>
    <w:qFormat/>
    <w:uiPriority w:val="99"/>
    <w:rPr>
      <w:color w:val="605E5C"/>
      <w:shd w:val="clear" w:color="auto" w:fill="E1DFDD"/>
    </w:rPr>
  </w:style>
  <w:style w:type="paragraph" w:customStyle="1" w:styleId="73">
    <w:name w:val="LIST ALPHA CAPS 2"/>
    <w:basedOn w:val="1"/>
    <w:next w:val="31"/>
    <w:qFormat/>
    <w:uiPriority w:val="0"/>
    <w:pPr>
      <w:numPr>
        <w:ilvl w:val="1"/>
        <w:numId w:val="1"/>
      </w:numPr>
      <w:tabs>
        <w:tab w:val="left" w:pos="50"/>
      </w:tabs>
      <w:spacing w:after="200" w:line="288" w:lineRule="auto"/>
    </w:pPr>
    <w:rPr>
      <w:rFonts w:ascii="CG Times" w:hAnsi="CG Times"/>
      <w:sz w:val="22"/>
      <w:lang w:val="en-GB"/>
    </w:rPr>
  </w:style>
  <w:style w:type="paragraph" w:customStyle="1" w:styleId="74">
    <w:name w:val="专用标题4"/>
    <w:basedOn w:val="6"/>
    <w:next w:val="1"/>
    <w:qFormat/>
    <w:uiPriority w:val="0"/>
    <w:pPr>
      <w:numPr>
        <w:ilvl w:val="2"/>
        <w:numId w:val="2"/>
      </w:numPr>
    </w:pPr>
  </w:style>
  <w:style w:type="paragraph" w:customStyle="1" w:styleId="75">
    <w:name w:val="through-content"/>
    <w:basedOn w:val="1"/>
    <w:qFormat/>
    <w:uiPriority w:val="0"/>
    <w:pPr>
      <w:adjustRightInd/>
      <w:snapToGrid/>
      <w:spacing w:before="100" w:beforeAutospacing="1" w:after="100" w:afterLines="0" w:afterAutospacing="1" w:line="240" w:lineRule="auto"/>
      <w:ind w:firstLine="0" w:firstLineChars="0"/>
      <w:jc w:val="left"/>
    </w:pPr>
    <w:rPr>
      <w:rFonts w:cs="宋体"/>
    </w:rPr>
  </w:style>
  <w:style w:type="paragraph" w:customStyle="1" w:styleId="76">
    <w:name w:val="专用标题2"/>
    <w:basedOn w:val="4"/>
    <w:next w:val="1"/>
    <w:qFormat/>
    <w:uiPriority w:val="0"/>
    <w:pPr>
      <w:keepNext w:val="0"/>
      <w:keepLines w:val="0"/>
      <w:tabs>
        <w:tab w:val="left" w:pos="993"/>
      </w:tabs>
      <w:wordWrap/>
      <w:topLinePunct w:val="0"/>
      <w:spacing w:line="360" w:lineRule="auto"/>
      <w:ind w:firstLine="0" w:firstLineChars="0"/>
    </w:pPr>
    <w:rPr>
      <w:rFonts w:ascii="宋体" w:hAnsi="宋体" w:eastAsia="宋体" w:cs="Times"/>
    </w:rPr>
  </w:style>
  <w:style w:type="paragraph" w:customStyle="1" w:styleId="77">
    <w:name w:val="Title 5 Chinese"/>
    <w:qFormat/>
    <w:uiPriority w:val="0"/>
    <w:pPr>
      <w:ind w:left="1701"/>
    </w:pPr>
    <w:rPr>
      <w:kern w:val="2"/>
      <w:sz w:val="24"/>
      <w:szCs w:val="24"/>
      <w:lang w:val="en-US" w:eastAsia="zh-CN" w:bidi="ar-SA"/>
    </w:rPr>
  </w:style>
  <w:style w:type="paragraph" w:customStyle="1" w:styleId="78">
    <w:name w:val="Title 4"/>
    <w:next w:val="79"/>
    <w:qFormat/>
    <w:uiPriority w:val="0"/>
    <w:pPr>
      <w:numPr>
        <w:ilvl w:val="0"/>
        <w:numId w:val="3"/>
      </w:numPr>
      <w:ind w:left="1276" w:hanging="562"/>
      <w:jc w:val="both"/>
    </w:pPr>
    <w:rPr>
      <w:kern w:val="2"/>
      <w:sz w:val="24"/>
      <w:szCs w:val="24"/>
      <w:lang w:val="en-US" w:eastAsia="zh-CN" w:bidi="ar-SA"/>
    </w:rPr>
  </w:style>
  <w:style w:type="paragraph" w:customStyle="1" w:styleId="79">
    <w:name w:val="Title 4 Chinese"/>
    <w:qFormat/>
    <w:uiPriority w:val="0"/>
    <w:pPr>
      <w:ind w:left="1276"/>
    </w:pPr>
    <w:rPr>
      <w:kern w:val="2"/>
      <w:sz w:val="24"/>
      <w:szCs w:val="24"/>
      <w:lang w:val="en-US" w:eastAsia="zh-CN" w:bidi="ar-SA"/>
    </w:rPr>
  </w:style>
  <w:style w:type="paragraph" w:customStyle="1" w:styleId="80">
    <w:name w:val="附件标题"/>
    <w:basedOn w:val="4"/>
    <w:next w:val="1"/>
    <w:qFormat/>
    <w:uiPriority w:val="0"/>
    <w:pPr>
      <w:numPr>
        <w:ilvl w:val="0"/>
        <w:numId w:val="4"/>
      </w:numPr>
      <w:tabs>
        <w:tab w:val="left" w:pos="1134"/>
      </w:tabs>
      <w:spacing w:line="360" w:lineRule="auto"/>
      <w:ind w:firstLine="0" w:firstLineChars="0"/>
      <w:jc w:val="center"/>
    </w:pPr>
    <w:rPr>
      <w:rFonts w:ascii="黑体" w:hAnsi="黑体"/>
      <w:sz w:val="30"/>
      <w:szCs w:val="30"/>
    </w:rPr>
  </w:style>
  <w:style w:type="paragraph" w:customStyle="1" w:styleId="81">
    <w:name w:val="通用标题7"/>
    <w:basedOn w:val="1"/>
    <w:qFormat/>
    <w:uiPriority w:val="0"/>
    <w:pPr>
      <w:numPr>
        <w:ilvl w:val="5"/>
        <w:numId w:val="5"/>
      </w:numPr>
    </w:pPr>
  </w:style>
  <w:style w:type="paragraph" w:customStyle="1" w:styleId="82">
    <w:name w:val="TOC 标题1"/>
    <w:basedOn w:val="3"/>
    <w:next w:val="1"/>
    <w:unhideWhenUsed/>
    <w:qFormat/>
    <w:uiPriority w:val="39"/>
    <w:pPr>
      <w:spacing w:before="240" w:line="259" w:lineRule="auto"/>
      <w:jc w:val="left"/>
      <w:outlineLvl w:val="9"/>
    </w:pPr>
    <w:rPr>
      <w:rFonts w:ascii="Calibri Light" w:hAnsi="Calibri Light" w:cs="Times New Roman"/>
      <w:b w:val="0"/>
      <w:color w:val="2E75B5"/>
      <w:kern w:val="0"/>
      <w:sz w:val="32"/>
      <w:szCs w:val="32"/>
    </w:rPr>
  </w:style>
  <w:style w:type="paragraph" w:customStyle="1" w:styleId="83">
    <w:name w:val="Title 5"/>
    <w:next w:val="77"/>
    <w:qFormat/>
    <w:uiPriority w:val="0"/>
    <w:pPr>
      <w:numPr>
        <w:ilvl w:val="0"/>
        <w:numId w:val="6"/>
      </w:numPr>
      <w:ind w:left="1701" w:hanging="426"/>
      <w:jc w:val="both"/>
    </w:pPr>
    <w:rPr>
      <w:kern w:val="2"/>
      <w:sz w:val="24"/>
      <w:szCs w:val="24"/>
      <w:lang w:val="en-US" w:eastAsia="zh-CN" w:bidi="ar-SA"/>
    </w:rPr>
  </w:style>
  <w:style w:type="paragraph" w:customStyle="1" w:styleId="84">
    <w:name w:val="table"/>
    <w:qFormat/>
    <w:uiPriority w:val="0"/>
    <w:pPr>
      <w:framePr w:hSpace="180" w:wrap="around" w:vAnchor="text" w:hAnchor="margin" w:y="1418"/>
      <w:adjustRightInd w:val="0"/>
      <w:snapToGrid w:val="0"/>
    </w:pPr>
    <w:rPr>
      <w:rFonts w:ascii="宋体" w:hAnsi="Calibri"/>
      <w:kern w:val="2"/>
      <w:sz w:val="24"/>
      <w:szCs w:val="22"/>
      <w:lang w:val="en-US" w:eastAsia="zh-CN" w:bidi="ar-SA"/>
    </w:rPr>
  </w:style>
  <w:style w:type="paragraph" w:customStyle="1" w:styleId="85">
    <w:name w:val="样式8"/>
    <w:basedOn w:val="1"/>
    <w:qFormat/>
    <w:uiPriority w:val="0"/>
    <w:pPr>
      <w:autoSpaceDE w:val="0"/>
      <w:autoSpaceDN w:val="0"/>
      <w:snapToGrid/>
      <w:spacing w:after="0" w:afterLines="0" w:line="240" w:lineRule="auto"/>
      <w:ind w:left="1274" w:leftChars="531" w:firstLine="2" w:firstLineChars="0"/>
    </w:pPr>
    <w:rPr>
      <w:bCs/>
    </w:rPr>
  </w:style>
  <w:style w:type="paragraph" w:customStyle="1" w:styleId="86">
    <w:name w:val="Main Title"/>
    <w:next w:val="1"/>
    <w:qFormat/>
    <w:uiPriority w:val="0"/>
    <w:pPr>
      <w:adjustRightInd w:val="0"/>
      <w:snapToGrid w:val="0"/>
      <w:spacing w:after="120" w:afterLines="50" w:line="360" w:lineRule="auto"/>
      <w:jc w:val="center"/>
    </w:pPr>
    <w:rPr>
      <w:rFonts w:ascii="黑体" w:hAnsi="黑体" w:eastAsia="黑体"/>
      <w:b/>
      <w:kern w:val="2"/>
      <w:sz w:val="36"/>
      <w:szCs w:val="22"/>
      <w:lang w:val="zh-CN" w:eastAsia="zh-CN" w:bidi="ar-SA"/>
    </w:rPr>
  </w:style>
  <w:style w:type="paragraph" w:customStyle="1" w:styleId="87">
    <w:name w:val="Char Char Char Char Char Char Char Char Char Char Char Char Char"/>
    <w:basedOn w:val="1"/>
    <w:qFormat/>
    <w:uiPriority w:val="0"/>
    <w:pPr>
      <w:widowControl w:val="0"/>
      <w:wordWrap/>
      <w:topLinePunct w:val="0"/>
      <w:adjustRightInd/>
      <w:snapToGrid/>
      <w:spacing w:after="0" w:afterLines="0" w:line="240" w:lineRule="auto"/>
      <w:ind w:firstLine="0" w:firstLineChars="0"/>
    </w:pPr>
    <w:rPr>
      <w:kern w:val="2"/>
      <w:szCs w:val="24"/>
    </w:rPr>
  </w:style>
  <w:style w:type="paragraph" w:customStyle="1" w:styleId="88">
    <w:name w:val="通用标题4"/>
    <w:next w:val="1"/>
    <w:qFormat/>
    <w:uiPriority w:val="0"/>
    <w:pPr>
      <w:numPr>
        <w:ilvl w:val="2"/>
        <w:numId w:val="7"/>
      </w:numPr>
      <w:tabs>
        <w:tab w:val="left" w:pos="851"/>
      </w:tabs>
      <w:adjustRightInd w:val="0"/>
      <w:snapToGrid w:val="0"/>
      <w:spacing w:after="120" w:afterLines="50" w:line="360" w:lineRule="auto"/>
      <w:jc w:val="both"/>
      <w:outlineLvl w:val="3"/>
    </w:pPr>
    <w:rPr>
      <w:rFonts w:ascii="宋体" w:hAnsi="宋体"/>
      <w:kern w:val="2"/>
      <w:sz w:val="24"/>
      <w:szCs w:val="21"/>
      <w:lang w:val="en-US" w:eastAsia="zh-CN" w:bidi="ar-SA"/>
    </w:rPr>
  </w:style>
  <w:style w:type="paragraph" w:customStyle="1" w:styleId="89">
    <w:name w:val="协议书标题2"/>
    <w:basedOn w:val="4"/>
    <w:next w:val="1"/>
    <w:qFormat/>
    <w:uiPriority w:val="0"/>
    <w:pPr>
      <w:keepNext w:val="0"/>
      <w:keepLines w:val="0"/>
      <w:numPr>
        <w:ilvl w:val="0"/>
        <w:numId w:val="8"/>
      </w:numPr>
      <w:tabs>
        <w:tab w:val="left" w:pos="567"/>
      </w:tabs>
      <w:spacing w:line="360" w:lineRule="auto"/>
      <w:ind w:firstLine="0" w:firstLineChars="0"/>
      <w:jc w:val="left"/>
    </w:pPr>
    <w:rPr>
      <w:rFonts w:ascii="宋体" w:hAnsi="宋体" w:eastAsia="宋体"/>
      <w:sz w:val="24"/>
    </w:rPr>
  </w:style>
  <w:style w:type="paragraph" w:customStyle="1" w:styleId="90">
    <w:name w:val="通用标题2"/>
    <w:basedOn w:val="4"/>
    <w:next w:val="1"/>
    <w:qFormat/>
    <w:uiPriority w:val="0"/>
    <w:pPr>
      <w:keepNext w:val="0"/>
      <w:keepLines w:val="0"/>
      <w:numPr>
        <w:ilvl w:val="0"/>
        <w:numId w:val="5"/>
      </w:numPr>
      <w:tabs>
        <w:tab w:val="left" w:pos="993"/>
      </w:tabs>
      <w:spacing w:line="360" w:lineRule="auto"/>
      <w:ind w:firstLineChars="0"/>
    </w:pPr>
    <w:rPr>
      <w:rFonts w:ascii="黑体" w:hAnsi="黑体"/>
    </w:rPr>
  </w:style>
  <w:style w:type="paragraph" w:customStyle="1" w:styleId="91">
    <w:name w:val="缩进2中"/>
    <w:qFormat/>
    <w:uiPriority w:val="0"/>
    <w:pPr>
      <w:ind w:left="708" w:leftChars="295"/>
      <w:jc w:val="both"/>
    </w:pPr>
    <w:rPr>
      <w:rFonts w:ascii="Times" w:hAnsi="Times"/>
      <w:kern w:val="2"/>
      <w:sz w:val="24"/>
      <w:szCs w:val="22"/>
      <w:lang w:val="en-US" w:eastAsia="zh-CN" w:bidi="ar-SA"/>
    </w:rPr>
  </w:style>
  <w:style w:type="paragraph" w:customStyle="1" w:styleId="92">
    <w:name w:val="修订1"/>
    <w:semiHidden/>
    <w:qFormat/>
    <w:uiPriority w:val="99"/>
    <w:rPr>
      <w:rFonts w:ascii="宋体" w:hAnsi="Calibri"/>
      <w:kern w:val="2"/>
      <w:sz w:val="24"/>
      <w:szCs w:val="22"/>
      <w:lang w:val="en-US" w:eastAsia="zh-CN" w:bidi="ar-SA"/>
    </w:rPr>
  </w:style>
  <w:style w:type="paragraph" w:customStyle="1" w:styleId="93">
    <w:name w:val="专用标题3"/>
    <w:basedOn w:val="5"/>
    <w:qFormat/>
    <w:uiPriority w:val="0"/>
    <w:pPr>
      <w:numPr>
        <w:ilvl w:val="1"/>
        <w:numId w:val="2"/>
      </w:numPr>
    </w:pPr>
  </w:style>
  <w:style w:type="paragraph" w:customStyle="1" w:styleId="94">
    <w:name w:val="List ALPHA CAPS 1"/>
    <w:basedOn w:val="1"/>
    <w:next w:val="16"/>
    <w:qFormat/>
    <w:uiPriority w:val="0"/>
    <w:pPr>
      <w:numPr>
        <w:ilvl w:val="0"/>
        <w:numId w:val="1"/>
      </w:numPr>
      <w:tabs>
        <w:tab w:val="left" w:pos="22"/>
      </w:tabs>
      <w:spacing w:after="200" w:line="288" w:lineRule="auto"/>
    </w:pPr>
    <w:rPr>
      <w:rFonts w:ascii="CG Times" w:hAnsi="CG Times"/>
      <w:sz w:val="22"/>
      <w:lang w:val="en-GB"/>
    </w:rPr>
  </w:style>
  <w:style w:type="paragraph" w:styleId="95">
    <w:name w:val="List Paragraph"/>
    <w:basedOn w:val="1"/>
    <w:qFormat/>
    <w:uiPriority w:val="34"/>
    <w:pPr>
      <w:numPr>
        <w:ilvl w:val="0"/>
        <w:numId w:val="9"/>
      </w:numPr>
      <w:tabs>
        <w:tab w:val="left" w:pos="993"/>
      </w:tabs>
      <w:wordWrap/>
      <w:topLinePunct w:val="0"/>
      <w:ind w:left="0" w:firstLine="504" w:firstLineChars="0"/>
    </w:pPr>
    <w:rPr>
      <w:rFonts w:cs="宋体"/>
    </w:rPr>
  </w:style>
  <w:style w:type="paragraph" w:customStyle="1" w:styleId="96">
    <w:name w:val="样式3"/>
    <w:next w:val="1"/>
    <w:qFormat/>
    <w:uiPriority w:val="0"/>
    <w:pPr>
      <w:numPr>
        <w:ilvl w:val="2"/>
        <w:numId w:val="10"/>
      </w:numPr>
    </w:pPr>
    <w:rPr>
      <w:bCs/>
      <w:kern w:val="2"/>
      <w:sz w:val="24"/>
      <w:szCs w:val="24"/>
      <w:lang w:val="en-US" w:eastAsia="zh-CN" w:bidi="ar-SA"/>
    </w:rPr>
  </w:style>
  <w:style w:type="paragraph" w:customStyle="1" w:styleId="97">
    <w:name w:val="通用标题6"/>
    <w:basedOn w:val="1"/>
    <w:qFormat/>
    <w:uiPriority w:val="0"/>
    <w:pPr>
      <w:numPr>
        <w:ilvl w:val="4"/>
        <w:numId w:val="11"/>
      </w:numPr>
      <w:tabs>
        <w:tab w:val="left" w:pos="993"/>
      </w:tabs>
      <w:wordWrap/>
      <w:topLinePunct w:val="0"/>
      <w:ind w:firstLine="0" w:firstLineChars="0"/>
    </w:pPr>
  </w:style>
  <w:style w:type="paragraph" w:customStyle="1" w:styleId="98">
    <w:name w:val="TOC 标题2"/>
    <w:basedOn w:val="3"/>
    <w:next w:val="1"/>
    <w:qFormat/>
    <w:uiPriority w:val="0"/>
    <w:pPr>
      <w:keepNext/>
      <w:keepLines/>
      <w:widowControl w:val="0"/>
      <w:adjustRightInd/>
      <w:snapToGrid/>
      <w:spacing w:before="260" w:after="260" w:line="413" w:lineRule="auto"/>
    </w:pPr>
    <w:rPr>
      <w:rFonts w:ascii="宋体" w:hAnsi="宋体" w:eastAsia="宋体" w:cs="Times New Roman"/>
      <w:bCs/>
      <w:sz w:val="36"/>
      <w:szCs w:val="44"/>
      <w:lang w:val="zh-CN"/>
    </w:rPr>
  </w:style>
  <w:style w:type="paragraph" w:customStyle="1" w:styleId="99">
    <w:name w:val="通用标题5"/>
    <w:qFormat/>
    <w:uiPriority w:val="0"/>
    <w:pPr>
      <w:widowControl w:val="0"/>
      <w:numPr>
        <w:ilvl w:val="3"/>
        <w:numId w:val="7"/>
      </w:numPr>
      <w:tabs>
        <w:tab w:val="left" w:pos="1134"/>
      </w:tabs>
      <w:autoSpaceDE w:val="0"/>
      <w:autoSpaceDN w:val="0"/>
      <w:adjustRightInd w:val="0"/>
      <w:snapToGrid w:val="0"/>
      <w:spacing w:after="120" w:afterLines="50" w:line="360" w:lineRule="auto"/>
      <w:jc w:val="both"/>
    </w:pPr>
    <w:rPr>
      <w:rFonts w:ascii="宋体" w:hAnsi="宋体"/>
      <w:kern w:val="2"/>
      <w:sz w:val="24"/>
      <w:szCs w:val="21"/>
      <w:lang w:val="en-US" w:eastAsia="zh-CN" w:bidi="ar-SA"/>
    </w:rPr>
  </w:style>
  <w:style w:type="paragraph" w:customStyle="1" w:styleId="100">
    <w:name w:val="LIST ALPHA CAPS 3"/>
    <w:basedOn w:val="1"/>
    <w:next w:val="15"/>
    <w:qFormat/>
    <w:uiPriority w:val="0"/>
    <w:pPr>
      <w:numPr>
        <w:ilvl w:val="2"/>
        <w:numId w:val="1"/>
      </w:numPr>
      <w:tabs>
        <w:tab w:val="left" w:pos="68"/>
      </w:tabs>
      <w:spacing w:after="200" w:line="288" w:lineRule="auto"/>
    </w:pPr>
    <w:rPr>
      <w:rFonts w:ascii="CG Times" w:hAnsi="CG Times"/>
      <w:sz w:val="22"/>
      <w:lang w:val="en-GB"/>
    </w:rPr>
  </w:style>
  <w:style w:type="paragraph" w:customStyle="1" w:styleId="101">
    <w:name w:val="Default"/>
    <w:qFormat/>
    <w:uiPriority w:val="0"/>
    <w:pPr>
      <w:widowControl w:val="0"/>
      <w:autoSpaceDE w:val="0"/>
      <w:autoSpaceDN w:val="0"/>
      <w:adjustRightInd w:val="0"/>
    </w:pPr>
    <w:rPr>
      <w:rFonts w:ascii="宋体" w:cs="宋体"/>
      <w:color w:val="000000"/>
      <w:sz w:val="24"/>
      <w:szCs w:val="24"/>
      <w:lang w:val="en-US" w:eastAsia="zh-CN" w:bidi="ar-SA"/>
    </w:rPr>
  </w:style>
  <w:style w:type="paragraph" w:customStyle="1" w:styleId="102">
    <w:name w:val="小标题"/>
    <w:qFormat/>
    <w:uiPriority w:val="0"/>
    <w:pPr>
      <w:tabs>
        <w:tab w:val="left" w:pos="993"/>
      </w:tabs>
      <w:adjustRightInd w:val="0"/>
      <w:snapToGrid w:val="0"/>
    </w:pPr>
    <w:rPr>
      <w:bCs/>
      <w:kern w:val="2"/>
      <w:sz w:val="24"/>
      <w:szCs w:val="22"/>
      <w:lang w:val="en-US" w:eastAsia="zh-CN" w:bidi="ar-SA"/>
    </w:rPr>
  </w:style>
  <w:style w:type="paragraph" w:customStyle="1" w:styleId="103">
    <w:name w:val="附件标题1"/>
    <w:next w:val="1"/>
    <w:qFormat/>
    <w:uiPriority w:val="0"/>
    <w:pPr>
      <w:numPr>
        <w:ilvl w:val="0"/>
        <w:numId w:val="12"/>
      </w:numPr>
      <w:tabs>
        <w:tab w:val="left" w:pos="567"/>
      </w:tabs>
      <w:adjustRightInd w:val="0"/>
      <w:snapToGrid w:val="0"/>
      <w:spacing w:after="120" w:afterLines="50" w:line="312" w:lineRule="auto"/>
    </w:pPr>
    <w:rPr>
      <w:rFonts w:ascii="黑体" w:hAnsi="黑体" w:eastAsia="黑体"/>
      <w:b/>
      <w:kern w:val="2"/>
      <w:sz w:val="24"/>
      <w:szCs w:val="24"/>
      <w:lang w:val="en-US" w:eastAsia="zh-CN" w:bidi="ar-SA"/>
    </w:rPr>
  </w:style>
  <w:style w:type="paragraph" w:customStyle="1" w:styleId="104">
    <w:name w:val="通用标题3"/>
    <w:next w:val="1"/>
    <w:qFormat/>
    <w:uiPriority w:val="0"/>
    <w:pPr>
      <w:widowControl w:val="0"/>
      <w:numPr>
        <w:ilvl w:val="1"/>
        <w:numId w:val="7"/>
      </w:numPr>
      <w:tabs>
        <w:tab w:val="left" w:pos="851"/>
      </w:tabs>
      <w:adjustRightInd w:val="0"/>
      <w:snapToGrid w:val="0"/>
      <w:spacing w:after="120" w:afterLines="50" w:line="360" w:lineRule="auto"/>
      <w:jc w:val="both"/>
      <w:outlineLvl w:val="2"/>
    </w:pPr>
    <w:rPr>
      <w:rFonts w:ascii="黑体" w:hAnsi="黑体" w:eastAsia="黑体"/>
      <w:b/>
      <w:kern w:val="2"/>
      <w:sz w:val="24"/>
      <w:szCs w:val="24"/>
      <w:lang w:val="en-US" w:eastAsia="zh-CN" w:bidi="ar-SA"/>
    </w:rPr>
  </w:style>
  <w:style w:type="table" w:customStyle="1" w:styleId="105">
    <w:name w:val="网格型1"/>
    <w:basedOn w:val="35"/>
    <w:qFormat/>
    <w:uiPriority w:val="39"/>
    <w:rPr>
      <w:rFonts w:ascii="Calibri" w:hAnsi="Calibri" w:eastAsia="Times New Roman"/>
      <w:kern w:val="2"/>
      <w:sz w:val="21"/>
      <w:szCs w:val="21"/>
    </w:rPr>
    <w:tblPr>
      <w:tblStyle w:val="35"/>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06">
    <w:name w:val="TableGrid"/>
    <w:qFormat/>
    <w:uiPriority w:val="0"/>
    <w:rPr>
      <w:lang w:val="en-US" w:eastAsia="zh-CN" w:bidi="ar-SA"/>
    </w:rPr>
    <w:tblPr>
      <w:tblStyle w:val="35"/>
      <w:tblCellMar>
        <w:top w:w="0" w:type="dxa"/>
        <w:left w:w="0" w:type="dxa"/>
        <w:bottom w:w="0" w:type="dxa"/>
        <w:right w:w="0" w:type="dxa"/>
      </w:tblCellMar>
    </w:tblPr>
  </w:style>
  <w:style w:type="character" w:customStyle="1" w:styleId="107">
    <w:name w:val="f121"/>
    <w:qFormat/>
    <w:uiPriority w:val="0"/>
    <w:rPr>
      <w:sz w:val="18"/>
      <w:szCs w:val="18"/>
      <w:u w:val="none"/>
    </w:rPr>
  </w:style>
  <w:style w:type="character" w:customStyle="1" w:styleId="108">
    <w:name w:val="f14b1"/>
    <w:qFormat/>
    <w:uiPriority w:val="0"/>
    <w:rPr>
      <w:b/>
      <w:bCs/>
      <w:sz w:val="21"/>
      <w:szCs w:val="21"/>
    </w:rPr>
  </w:style>
  <w:style w:type="paragraph" w:customStyle="1" w:styleId="109">
    <w:name w:val="WPSOffice手动目录 1"/>
    <w:uiPriority w:val="0"/>
    <w:pPr>
      <w:ind w:leftChars="0"/>
    </w:pPr>
    <w:rPr>
      <w:sz w:val="20"/>
      <w:szCs w:val="20"/>
    </w:rPr>
  </w:style>
  <w:style w:type="paragraph" w:customStyle="1" w:styleId="110">
    <w:name w:val="WPSOffice手动目录 2"/>
    <w:uiPriority w:val="0"/>
    <w:pPr>
      <w:ind w:leftChars="200"/>
    </w:pPr>
    <w:rPr>
      <w:sz w:val="20"/>
      <w:szCs w:val="20"/>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image" Target="media/image5.wmf"/><Relationship Id="rId17" Type="http://schemas.openxmlformats.org/officeDocument/2006/relationships/oleObject" Target="embeddings/oleObject5.bin"/><Relationship Id="rId16" Type="http://schemas.openxmlformats.org/officeDocument/2006/relationships/image" Target="media/image4.wmf"/><Relationship Id="rId15" Type="http://schemas.openxmlformats.org/officeDocument/2006/relationships/oleObject" Target="embeddings/oleObject4.bin"/><Relationship Id="rId14" Type="http://schemas.openxmlformats.org/officeDocument/2006/relationships/image" Target="media/image3.wmf"/><Relationship Id="rId13" Type="http://schemas.openxmlformats.org/officeDocument/2006/relationships/oleObject" Target="embeddings/oleObject3.bin"/><Relationship Id="rId12" Type="http://schemas.openxmlformats.org/officeDocument/2006/relationships/image" Target="media/image2.wmf"/><Relationship Id="rId11" Type="http://schemas.openxmlformats.org/officeDocument/2006/relationships/oleObject" Target="embeddings/oleObject2.bin"/><Relationship Id="rId10" Type="http://schemas.openxmlformats.org/officeDocument/2006/relationships/image" Target="media/image1.w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95</Pages>
  <Words>18428</Words>
  <Characters>19217</Characters>
  <Lines>648</Lines>
  <Paragraphs>182</Paragraphs>
  <TotalTime>5</TotalTime>
  <ScaleCrop>false</ScaleCrop>
  <LinksUpToDate>false</LinksUpToDate>
  <CharactersWithSpaces>20134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2020-12-04T03:15:00Z</dcterms:created>
  <dc:creator>LGY</dc:creator>
  <cp:lastModifiedBy>鸿鹄之心</cp:lastModifiedBy>
  <cp:lastPrinted>2020-12-04T03:28:00Z</cp:lastPrinted>
  <dcterms:modified xsi:type="dcterms:W3CDTF">2025-06-22T13:29:26Z</dcterms:modified>
  <dc:title>GF-2020-0216</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608E9867D3164B83B136B57307D88AF9_13</vt:lpwstr>
  </property>
  <property fmtid="{D5CDD505-2E9C-101B-9397-08002B2CF9AE}" pid="4" name="KSOTemplateDocerSaveRecord">
    <vt:lpwstr>eyJoZGlkIjoiZWRmNmUxOTNkODFkNzMzZGQyMjU0OTcyODg0ODEzNmEiLCJ1c2VySWQiOiIyMjQ3Mzg2MzIifQ==</vt:lpwstr>
  </property>
</Properties>
</file>