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F6B74">
      <w:pPr>
        <w:keepNext w:val="0"/>
        <w:keepLines w:val="0"/>
        <w:widowControl w:val="0"/>
        <w:suppressLineNumbers w:val="0"/>
        <w:spacing w:before="0" w:beforeLines="200" w:beforeAutospacing="0" w:after="0" w:afterLines="200" w:afterAutospacing="0" w:line="480" w:lineRule="auto"/>
        <w:ind w:left="0" w:right="0"/>
        <w:jc w:val="center"/>
        <w:outlineLvl w:val="9"/>
        <w:rPr>
          <w:rFonts w:hint="eastAsia" w:ascii="仿宋" w:hAnsi="仿宋" w:eastAsia="仿宋" w:cs="仿宋"/>
          <w:b/>
          <w:bCs w:val="0"/>
          <w:kern w:val="2"/>
          <w:sz w:val="32"/>
          <w:szCs w:val="32"/>
          <w:highlight w:val="none"/>
          <w:lang w:val="en-US" w:eastAsia="zh-CN"/>
        </w:rPr>
      </w:pPr>
      <w:r>
        <w:rPr>
          <w:rFonts w:hint="eastAsia" w:ascii="仿宋" w:hAnsi="仿宋" w:eastAsia="仿宋" w:cs="仿宋"/>
          <w:b/>
          <w:bCs w:val="0"/>
          <w:kern w:val="2"/>
          <w:sz w:val="32"/>
          <w:szCs w:val="32"/>
          <w:highlight w:val="none"/>
          <w:lang w:val="en-US" w:eastAsia="zh-CN"/>
        </w:rPr>
        <w:t>商务要求应答表</w:t>
      </w:r>
    </w:p>
    <w:p w14:paraId="24B11A12">
      <w:pPr>
        <w:keepNext w:val="0"/>
        <w:keepLines w:val="0"/>
        <w:widowControl/>
        <w:spacing w:before="0" w:beforeAutospacing="0" w:after="0" w:afterAutospacing="0" w:line="360" w:lineRule="auto"/>
        <w:jc w:val="left"/>
        <w:rPr>
          <w:rFonts w:hint="eastAsia" w:ascii="仿宋" w:hAnsi="仿宋" w:eastAsia="仿宋" w:cs="仿宋"/>
          <w:b/>
          <w:bCs/>
          <w:kern w:val="0"/>
          <w:sz w:val="24"/>
          <w:szCs w:val="24"/>
          <w:highlight w:val="none"/>
          <w:lang w:val="en-US" w:eastAsia="zh-CN"/>
        </w:rPr>
      </w:pPr>
      <w:r>
        <w:rPr>
          <w:rFonts w:hint="eastAsia" w:ascii="仿宋" w:hAnsi="仿宋" w:eastAsia="仿宋" w:cs="仿宋"/>
          <w:b/>
          <w:bCs/>
          <w:kern w:val="0"/>
          <w:sz w:val="24"/>
          <w:szCs w:val="24"/>
          <w:highlight w:val="none"/>
          <w:lang w:val="en-US" w:eastAsia="zh-CN"/>
        </w:rPr>
        <w:t xml:space="preserve">项目名称：三亚市土地评估项目（2025年度）     </w:t>
      </w:r>
    </w:p>
    <w:tbl>
      <w:tblPr>
        <w:tblStyle w:val="7"/>
        <w:tblW w:w="13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9132"/>
        <w:gridCol w:w="2538"/>
        <w:gridCol w:w="825"/>
        <w:gridCol w:w="675"/>
      </w:tblGrid>
      <w:tr w14:paraId="04546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749D8870">
            <w:pPr>
              <w:keepNext w:val="0"/>
              <w:keepLines w:val="0"/>
              <w:widowControl/>
              <w:suppressLineNumbers w:val="0"/>
              <w:spacing w:before="0" w:beforeAutospacing="0" w:after="0" w:afterAutospacing="0" w:line="288" w:lineRule="auto"/>
              <w:ind w:left="0" w:right="0"/>
              <w:jc w:val="center"/>
              <w:rPr>
                <w:rFonts w:hint="eastAsia" w:ascii="仿宋" w:hAnsi="仿宋" w:eastAsia="仿宋" w:cs="仿宋"/>
                <w:b/>
                <w:bCs/>
                <w:kern w:val="2"/>
                <w:sz w:val="21"/>
                <w:szCs w:val="21"/>
                <w:highlight w:val="none"/>
                <w:u w:val="single"/>
              </w:rPr>
            </w:pPr>
            <w:r>
              <w:rPr>
                <w:rFonts w:hint="eastAsia" w:ascii="仿宋" w:hAnsi="仿宋" w:eastAsia="仿宋" w:cs="仿宋"/>
                <w:b/>
                <w:bCs/>
                <w:kern w:val="0"/>
                <w:sz w:val="21"/>
                <w:szCs w:val="21"/>
                <w:highlight w:val="none"/>
                <w:lang w:val="en-US" w:eastAsia="zh-CN"/>
              </w:rPr>
              <w:t>序号</w:t>
            </w:r>
          </w:p>
        </w:tc>
        <w:tc>
          <w:tcPr>
            <w:tcW w:w="9132" w:type="dxa"/>
            <w:tcBorders>
              <w:top w:val="single" w:color="auto" w:sz="4" w:space="0"/>
              <w:left w:val="single" w:color="auto" w:sz="4" w:space="0"/>
              <w:bottom w:val="single" w:color="auto" w:sz="4" w:space="0"/>
              <w:right w:val="single" w:color="auto" w:sz="4" w:space="0"/>
            </w:tcBorders>
            <w:noWrap w:val="0"/>
            <w:vAlign w:val="center"/>
          </w:tcPr>
          <w:p w14:paraId="3397DAB6">
            <w:pPr>
              <w:keepNext w:val="0"/>
              <w:keepLines w:val="0"/>
              <w:widowControl/>
              <w:suppressLineNumbers w:val="0"/>
              <w:spacing w:before="0" w:beforeAutospacing="0" w:after="0" w:afterAutospacing="0" w:line="288" w:lineRule="auto"/>
              <w:ind w:left="0" w:right="0"/>
              <w:jc w:val="center"/>
              <w:rPr>
                <w:rFonts w:hint="eastAsia" w:ascii="仿宋" w:hAnsi="仿宋" w:eastAsia="仿宋" w:cs="仿宋"/>
                <w:b/>
                <w:bCs/>
                <w:kern w:val="2"/>
                <w:sz w:val="21"/>
                <w:szCs w:val="21"/>
                <w:highlight w:val="none"/>
                <w:u w:val="single"/>
              </w:rPr>
            </w:pPr>
            <w:r>
              <w:rPr>
                <w:rFonts w:hint="eastAsia" w:ascii="仿宋" w:hAnsi="仿宋" w:eastAsia="仿宋" w:cs="仿宋"/>
                <w:b/>
                <w:bCs/>
                <w:kern w:val="0"/>
                <w:sz w:val="21"/>
                <w:szCs w:val="21"/>
                <w:highlight w:val="none"/>
                <w:lang w:val="en-US" w:eastAsia="zh-CN"/>
              </w:rPr>
              <w:t>征集文件要求</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4D28DA14">
            <w:pPr>
              <w:keepNext w:val="0"/>
              <w:keepLines w:val="0"/>
              <w:widowControl/>
              <w:suppressLineNumbers w:val="0"/>
              <w:spacing w:before="0" w:beforeAutospacing="0" w:after="0" w:afterAutospacing="0" w:line="288" w:lineRule="auto"/>
              <w:ind w:left="0" w:right="0"/>
              <w:jc w:val="center"/>
              <w:rPr>
                <w:rFonts w:hint="eastAsia" w:ascii="仿宋" w:hAnsi="仿宋" w:eastAsia="仿宋" w:cs="仿宋"/>
                <w:b/>
                <w:bCs/>
                <w:kern w:val="2"/>
                <w:sz w:val="21"/>
                <w:szCs w:val="21"/>
                <w:highlight w:val="none"/>
                <w:u w:val="single"/>
              </w:rPr>
            </w:pPr>
            <w:r>
              <w:rPr>
                <w:rFonts w:hint="eastAsia" w:ascii="仿宋" w:hAnsi="仿宋" w:eastAsia="仿宋" w:cs="仿宋"/>
                <w:b/>
                <w:bCs/>
                <w:kern w:val="0"/>
                <w:sz w:val="21"/>
                <w:szCs w:val="21"/>
                <w:highlight w:val="none"/>
                <w:lang w:val="en-US" w:eastAsia="zh-CN"/>
              </w:rPr>
              <w:t>投标响应内容</w:t>
            </w:r>
          </w:p>
        </w:tc>
        <w:tc>
          <w:tcPr>
            <w:tcW w:w="825" w:type="dxa"/>
            <w:tcBorders>
              <w:top w:val="single" w:color="auto" w:sz="4" w:space="0"/>
              <w:left w:val="single" w:color="auto" w:sz="4" w:space="0"/>
              <w:bottom w:val="single" w:color="auto" w:sz="4" w:space="0"/>
              <w:right w:val="single" w:color="auto" w:sz="4" w:space="0"/>
            </w:tcBorders>
            <w:noWrap w:val="0"/>
            <w:vAlign w:val="center"/>
          </w:tcPr>
          <w:p w14:paraId="19B765C4">
            <w:pPr>
              <w:keepNext w:val="0"/>
              <w:keepLines w:val="0"/>
              <w:widowControl/>
              <w:suppressLineNumbers w:val="0"/>
              <w:spacing w:before="0" w:beforeAutospacing="0" w:after="0" w:afterAutospacing="0" w:line="288" w:lineRule="auto"/>
              <w:ind w:left="0" w:right="0"/>
              <w:jc w:val="center"/>
              <w:rPr>
                <w:rFonts w:hint="eastAsia" w:ascii="仿宋" w:hAnsi="仿宋" w:eastAsia="仿宋" w:cs="仿宋"/>
                <w:b/>
                <w:bCs/>
                <w:kern w:val="2"/>
                <w:sz w:val="21"/>
                <w:szCs w:val="21"/>
                <w:highlight w:val="none"/>
                <w:u w:val="single"/>
              </w:rPr>
            </w:pPr>
            <w:r>
              <w:rPr>
                <w:rFonts w:hint="eastAsia" w:ascii="仿宋" w:hAnsi="仿宋" w:eastAsia="仿宋" w:cs="仿宋"/>
                <w:b/>
                <w:bCs/>
                <w:kern w:val="0"/>
                <w:sz w:val="21"/>
                <w:szCs w:val="21"/>
                <w:highlight w:val="none"/>
                <w:lang w:val="en-US" w:eastAsia="zh-CN"/>
              </w:rPr>
              <w:t>偏离情况</w:t>
            </w:r>
          </w:p>
        </w:tc>
        <w:tc>
          <w:tcPr>
            <w:tcW w:w="675" w:type="dxa"/>
            <w:tcBorders>
              <w:top w:val="single" w:color="auto" w:sz="4" w:space="0"/>
              <w:left w:val="single" w:color="auto" w:sz="4" w:space="0"/>
              <w:bottom w:val="single" w:color="auto" w:sz="4" w:space="0"/>
              <w:right w:val="single" w:color="auto" w:sz="4" w:space="0"/>
            </w:tcBorders>
            <w:noWrap w:val="0"/>
            <w:vAlign w:val="center"/>
          </w:tcPr>
          <w:p w14:paraId="2D751D6F">
            <w:pPr>
              <w:keepNext w:val="0"/>
              <w:keepLines w:val="0"/>
              <w:widowControl/>
              <w:suppressLineNumbers w:val="0"/>
              <w:spacing w:before="0" w:beforeAutospacing="0" w:after="0" w:afterAutospacing="0" w:line="288" w:lineRule="auto"/>
              <w:ind w:left="0" w:right="0"/>
              <w:jc w:val="center"/>
              <w:rPr>
                <w:rFonts w:hint="eastAsia" w:ascii="仿宋" w:hAnsi="仿宋" w:eastAsia="仿宋" w:cs="仿宋"/>
                <w:b/>
                <w:bCs/>
                <w:kern w:val="2"/>
                <w:sz w:val="21"/>
                <w:szCs w:val="21"/>
                <w:highlight w:val="none"/>
                <w:u w:val="single"/>
              </w:rPr>
            </w:pPr>
            <w:r>
              <w:rPr>
                <w:rFonts w:hint="eastAsia" w:ascii="仿宋" w:hAnsi="仿宋" w:eastAsia="仿宋" w:cs="仿宋"/>
                <w:b/>
                <w:bCs/>
                <w:kern w:val="0"/>
                <w:sz w:val="21"/>
                <w:szCs w:val="21"/>
                <w:highlight w:val="none"/>
                <w:lang w:val="en-US" w:eastAsia="zh-CN"/>
              </w:rPr>
              <w:t>说明</w:t>
            </w:r>
          </w:p>
        </w:tc>
      </w:tr>
      <w:tr w14:paraId="6F26A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46E27CE7">
            <w:pPr>
              <w:pStyle w:val="5"/>
              <w:keepNext w:val="0"/>
              <w:keepLines w:val="0"/>
              <w:widowControl w:val="0"/>
              <w:suppressLineNumbers w:val="0"/>
              <w:spacing w:before="0" w:beforeAutospacing="0" w:after="0" w:afterAutospacing="0" w:line="288" w:lineRule="auto"/>
              <w:ind w:left="0" w:right="0"/>
              <w:jc w:val="center"/>
              <w:rPr>
                <w:rFonts w:hint="default" w:ascii="仿宋" w:hAnsi="仿宋" w:eastAsia="仿宋" w:cs="仿宋"/>
                <w:b w:val="0"/>
                <w:bCs/>
                <w:kern w:val="2"/>
                <w:sz w:val="21"/>
                <w:szCs w:val="21"/>
                <w:highlight w:val="none"/>
                <w:u w:val="none"/>
                <w:lang w:val="en-US" w:eastAsia="zh-CN"/>
              </w:rPr>
            </w:pPr>
            <w:r>
              <w:rPr>
                <w:rFonts w:hint="eastAsia" w:ascii="仿宋" w:hAnsi="仿宋" w:eastAsia="仿宋" w:cs="仿宋"/>
                <w:b w:val="0"/>
                <w:bCs/>
                <w:kern w:val="2"/>
                <w:sz w:val="21"/>
                <w:szCs w:val="21"/>
                <w:highlight w:val="none"/>
                <w:u w:val="none"/>
                <w:lang w:val="en-US" w:eastAsia="zh-CN"/>
              </w:rPr>
              <w:t>1</w:t>
            </w:r>
          </w:p>
        </w:tc>
        <w:tc>
          <w:tcPr>
            <w:tcW w:w="9132" w:type="dxa"/>
            <w:tcBorders>
              <w:top w:val="single" w:color="auto" w:sz="4" w:space="0"/>
              <w:left w:val="single" w:color="auto" w:sz="4" w:space="0"/>
              <w:bottom w:val="single" w:color="auto" w:sz="4" w:space="0"/>
              <w:right w:val="single" w:color="auto" w:sz="4" w:space="0"/>
            </w:tcBorders>
            <w:noWrap w:val="0"/>
            <w:vAlign w:val="center"/>
          </w:tcPr>
          <w:p w14:paraId="669E6723">
            <w:pPr>
              <w:pStyle w:val="10"/>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服务期限</w:t>
            </w:r>
          </w:p>
          <w:p w14:paraId="052A151F">
            <w:pPr>
              <w:pStyle w:val="10"/>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框架协议有效期自框架协议签订之日起1年</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0DAB4C7D">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064468D2">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13113F8A">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r>
      <w:tr w14:paraId="44F77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4A38EE47">
            <w:pPr>
              <w:pStyle w:val="5"/>
              <w:keepNext w:val="0"/>
              <w:keepLines w:val="0"/>
              <w:widowControl w:val="0"/>
              <w:suppressLineNumbers w:val="0"/>
              <w:spacing w:before="0" w:beforeAutospacing="0" w:after="0" w:afterAutospacing="0" w:line="288" w:lineRule="auto"/>
              <w:ind w:left="0" w:right="0"/>
              <w:jc w:val="center"/>
              <w:rPr>
                <w:rFonts w:hint="default" w:ascii="仿宋" w:hAnsi="仿宋" w:eastAsia="仿宋" w:cs="仿宋"/>
                <w:b w:val="0"/>
                <w:bCs/>
                <w:kern w:val="2"/>
                <w:sz w:val="21"/>
                <w:szCs w:val="21"/>
                <w:highlight w:val="none"/>
                <w:u w:val="none"/>
                <w:lang w:val="en-US" w:eastAsia="zh-CN"/>
              </w:rPr>
            </w:pPr>
            <w:r>
              <w:rPr>
                <w:rFonts w:hint="eastAsia" w:ascii="仿宋" w:hAnsi="仿宋" w:eastAsia="仿宋" w:cs="仿宋"/>
                <w:b w:val="0"/>
                <w:bCs/>
                <w:kern w:val="2"/>
                <w:sz w:val="21"/>
                <w:szCs w:val="21"/>
                <w:highlight w:val="none"/>
                <w:u w:val="none"/>
                <w:lang w:val="en-US" w:eastAsia="zh-CN"/>
              </w:rPr>
              <w:t>2</w:t>
            </w:r>
          </w:p>
        </w:tc>
        <w:tc>
          <w:tcPr>
            <w:tcW w:w="9132" w:type="dxa"/>
            <w:tcBorders>
              <w:top w:val="single" w:color="auto" w:sz="4" w:space="0"/>
              <w:left w:val="single" w:color="auto" w:sz="4" w:space="0"/>
              <w:bottom w:val="single" w:color="auto" w:sz="4" w:space="0"/>
              <w:right w:val="single" w:color="auto" w:sz="4" w:space="0"/>
            </w:tcBorders>
            <w:noWrap w:val="0"/>
            <w:vAlign w:val="center"/>
          </w:tcPr>
          <w:p w14:paraId="12D52B8C">
            <w:pPr>
              <w:pStyle w:val="10"/>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服务交付或者实施的地域范围</w:t>
            </w:r>
          </w:p>
          <w:p w14:paraId="0B6E53B4">
            <w:pPr>
              <w:pStyle w:val="10"/>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海南省三亚市</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7DFF7C9C">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3BFE0108">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2ED2AC91">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r>
      <w:tr w14:paraId="4338B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2DB1EE47">
            <w:pPr>
              <w:pStyle w:val="5"/>
              <w:keepNext w:val="0"/>
              <w:keepLines w:val="0"/>
              <w:widowControl w:val="0"/>
              <w:suppressLineNumbers w:val="0"/>
              <w:spacing w:before="0" w:beforeAutospacing="0" w:after="0" w:afterAutospacing="0" w:line="288" w:lineRule="auto"/>
              <w:ind w:left="0" w:right="0"/>
              <w:jc w:val="center"/>
              <w:rPr>
                <w:rFonts w:hint="default" w:ascii="仿宋" w:hAnsi="仿宋" w:eastAsia="仿宋" w:cs="仿宋"/>
                <w:b w:val="0"/>
                <w:bCs/>
                <w:kern w:val="2"/>
                <w:sz w:val="21"/>
                <w:szCs w:val="21"/>
                <w:highlight w:val="none"/>
                <w:u w:val="none"/>
                <w:lang w:val="en-US" w:eastAsia="zh-CN"/>
              </w:rPr>
            </w:pPr>
            <w:r>
              <w:rPr>
                <w:rFonts w:hint="eastAsia" w:ascii="仿宋" w:hAnsi="仿宋" w:eastAsia="仿宋" w:cs="仿宋"/>
                <w:b w:val="0"/>
                <w:bCs/>
                <w:kern w:val="2"/>
                <w:sz w:val="21"/>
                <w:szCs w:val="21"/>
                <w:highlight w:val="none"/>
                <w:u w:val="none"/>
                <w:lang w:val="en-US" w:eastAsia="zh-CN"/>
              </w:rPr>
              <w:t>3</w:t>
            </w:r>
          </w:p>
        </w:tc>
        <w:tc>
          <w:tcPr>
            <w:tcW w:w="9132" w:type="dxa"/>
            <w:tcBorders>
              <w:top w:val="single" w:color="auto" w:sz="4" w:space="0"/>
              <w:left w:val="single" w:color="auto" w:sz="4" w:space="0"/>
              <w:bottom w:val="single" w:color="auto" w:sz="4" w:space="0"/>
              <w:right w:val="single" w:color="auto" w:sz="4" w:space="0"/>
            </w:tcBorders>
            <w:noWrap w:val="0"/>
            <w:vAlign w:val="center"/>
          </w:tcPr>
          <w:p w14:paraId="27DA2143">
            <w:pPr>
              <w:pStyle w:val="10"/>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交货的地域范围</w:t>
            </w:r>
          </w:p>
          <w:p w14:paraId="7CD0F9FD">
            <w:pPr>
              <w:pStyle w:val="10"/>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三亚市</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3573BDEB">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496670AC">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2BA75AE4">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r>
      <w:tr w14:paraId="1A3B5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153569FF">
            <w:pPr>
              <w:pStyle w:val="5"/>
              <w:keepNext w:val="0"/>
              <w:keepLines w:val="0"/>
              <w:widowControl w:val="0"/>
              <w:suppressLineNumbers w:val="0"/>
              <w:spacing w:before="0" w:beforeAutospacing="0" w:after="0" w:afterAutospacing="0" w:line="288" w:lineRule="auto"/>
              <w:ind w:left="0" w:right="0"/>
              <w:jc w:val="center"/>
              <w:rPr>
                <w:rFonts w:hint="default" w:ascii="仿宋" w:hAnsi="仿宋" w:eastAsia="仿宋" w:cs="仿宋"/>
                <w:b w:val="0"/>
                <w:bCs/>
                <w:kern w:val="2"/>
                <w:sz w:val="21"/>
                <w:szCs w:val="21"/>
                <w:highlight w:val="none"/>
                <w:u w:val="none"/>
                <w:lang w:val="en-US" w:eastAsia="zh-CN"/>
              </w:rPr>
            </w:pPr>
            <w:r>
              <w:rPr>
                <w:rFonts w:hint="eastAsia" w:ascii="仿宋" w:hAnsi="仿宋" w:eastAsia="仿宋" w:cs="仿宋"/>
                <w:b w:val="0"/>
                <w:bCs/>
                <w:kern w:val="2"/>
                <w:sz w:val="21"/>
                <w:szCs w:val="21"/>
                <w:highlight w:val="none"/>
                <w:u w:val="none"/>
                <w:lang w:val="en-US" w:eastAsia="zh-CN"/>
              </w:rPr>
              <w:t>4</w:t>
            </w:r>
          </w:p>
        </w:tc>
        <w:tc>
          <w:tcPr>
            <w:tcW w:w="9132" w:type="dxa"/>
            <w:tcBorders>
              <w:top w:val="single" w:color="auto" w:sz="4" w:space="0"/>
              <w:left w:val="single" w:color="auto" w:sz="4" w:space="0"/>
              <w:bottom w:val="single" w:color="auto" w:sz="4" w:space="0"/>
              <w:right w:val="single" w:color="auto" w:sz="4" w:space="0"/>
            </w:tcBorders>
            <w:noWrap w:val="0"/>
            <w:vAlign w:val="top"/>
          </w:tcPr>
          <w:p w14:paraId="0E0559A5">
            <w:pPr>
              <w:pStyle w:val="10"/>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协议价格</w:t>
            </w:r>
          </w:p>
          <w:p w14:paraId="5F9AEBC9">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1.收费标准（项目单宗地评估费）</w:t>
            </w:r>
          </w:p>
          <w:p w14:paraId="00B5AA04">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依据原海南省物价局琼价综字〔1998〕89号文计算单宗地的土地评估费用，具体标准如下：</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2250"/>
              <w:gridCol w:w="1305"/>
            </w:tblGrid>
            <w:tr w14:paraId="6B0FE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noWrap w:val="0"/>
                  <w:vAlign w:val="center"/>
                </w:tcPr>
                <w:p w14:paraId="1541B844">
                  <w:pPr>
                    <w:pStyle w:val="10"/>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收费项目</w:t>
                  </w:r>
                </w:p>
              </w:tc>
              <w:tc>
                <w:tcPr>
                  <w:tcW w:w="2250" w:type="dxa"/>
                  <w:noWrap w:val="0"/>
                  <w:vAlign w:val="center"/>
                </w:tcPr>
                <w:p w14:paraId="61F523C3">
                  <w:pPr>
                    <w:pStyle w:val="10"/>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计算单位（万元）</w:t>
                  </w:r>
                </w:p>
              </w:tc>
              <w:tc>
                <w:tcPr>
                  <w:tcW w:w="1305" w:type="dxa"/>
                  <w:noWrap w:val="0"/>
                  <w:vAlign w:val="center"/>
                </w:tcPr>
                <w:p w14:paraId="74BBB10C">
                  <w:pPr>
                    <w:pStyle w:val="10"/>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收费标准（元）</w:t>
                  </w:r>
                </w:p>
              </w:tc>
            </w:tr>
            <w:tr w14:paraId="32945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vMerge w:val="restart"/>
                  <w:noWrap w:val="0"/>
                  <w:vAlign w:val="top"/>
                </w:tcPr>
                <w:p w14:paraId="2B389953">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宗地评估收费按土地价格总额（万元）计，（宗地评估费采取差额定率累进计数）</w:t>
                  </w:r>
                </w:p>
              </w:tc>
              <w:tc>
                <w:tcPr>
                  <w:tcW w:w="2250" w:type="dxa"/>
                  <w:noWrap w:val="0"/>
                  <w:vAlign w:val="top"/>
                </w:tcPr>
                <w:p w14:paraId="41CFFB20">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100 以下（含100）</w:t>
                  </w:r>
                </w:p>
              </w:tc>
              <w:tc>
                <w:tcPr>
                  <w:tcW w:w="1305" w:type="dxa"/>
                  <w:noWrap w:val="0"/>
                  <w:vAlign w:val="top"/>
                </w:tcPr>
                <w:p w14:paraId="798D8D1D">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w:t>
                  </w:r>
                </w:p>
              </w:tc>
            </w:tr>
            <w:tr w14:paraId="4876B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vMerge w:val="continue"/>
                  <w:noWrap w:val="0"/>
                  <w:vAlign w:val="top"/>
                </w:tcPr>
                <w:p w14:paraId="33724F29">
                  <w:pPr>
                    <w:pStyle w:val="10"/>
                    <w:keepNext w:val="0"/>
                    <w:keepLines w:val="0"/>
                    <w:widowControl w:val="0"/>
                    <w:suppressLineNumbers w:val="0"/>
                    <w:spacing w:before="0" w:beforeAutospacing="0" w:after="0" w:afterAutospacing="0" w:line="240" w:lineRule="auto"/>
                    <w:ind w:left="0" w:right="0" w:firstLine="480" w:firstLineChars="200"/>
                    <w:jc w:val="left"/>
                    <w:rPr>
                      <w:rFonts w:hint="eastAsia" w:ascii="仿宋" w:hAnsi="仿宋" w:eastAsia="仿宋" w:cs="仿宋"/>
                      <w:kern w:val="0"/>
                      <w:sz w:val="24"/>
                      <w:szCs w:val="24"/>
                      <w:highlight w:val="none"/>
                      <w:lang w:val="en-US" w:eastAsia="zh-CN" w:bidi="ar-SA"/>
                    </w:rPr>
                  </w:pPr>
                </w:p>
              </w:tc>
              <w:tc>
                <w:tcPr>
                  <w:tcW w:w="2250" w:type="dxa"/>
                  <w:noWrap w:val="0"/>
                  <w:vAlign w:val="top"/>
                </w:tcPr>
                <w:p w14:paraId="4C70017B">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101-200（部分）</w:t>
                  </w:r>
                </w:p>
              </w:tc>
              <w:tc>
                <w:tcPr>
                  <w:tcW w:w="1305" w:type="dxa"/>
                  <w:noWrap w:val="0"/>
                  <w:vAlign w:val="top"/>
                </w:tcPr>
                <w:p w14:paraId="6EF186CB">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3.39‰</w:t>
                  </w:r>
                </w:p>
              </w:tc>
            </w:tr>
            <w:tr w14:paraId="11C6B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vMerge w:val="continue"/>
                  <w:noWrap w:val="0"/>
                  <w:vAlign w:val="top"/>
                </w:tcPr>
                <w:p w14:paraId="16D5CDAE">
                  <w:pPr>
                    <w:pStyle w:val="10"/>
                    <w:keepNext w:val="0"/>
                    <w:keepLines w:val="0"/>
                    <w:widowControl w:val="0"/>
                    <w:suppressLineNumbers w:val="0"/>
                    <w:spacing w:before="0" w:beforeAutospacing="0" w:after="0" w:afterAutospacing="0" w:line="240" w:lineRule="auto"/>
                    <w:ind w:left="0" w:right="0" w:firstLine="480" w:firstLineChars="200"/>
                    <w:jc w:val="left"/>
                    <w:rPr>
                      <w:rFonts w:hint="eastAsia" w:ascii="仿宋" w:hAnsi="仿宋" w:eastAsia="仿宋" w:cs="仿宋"/>
                      <w:kern w:val="0"/>
                      <w:sz w:val="24"/>
                      <w:szCs w:val="24"/>
                      <w:highlight w:val="none"/>
                      <w:lang w:val="en-US" w:eastAsia="zh-CN" w:bidi="ar-SA"/>
                    </w:rPr>
                  </w:pPr>
                </w:p>
              </w:tc>
              <w:tc>
                <w:tcPr>
                  <w:tcW w:w="2250" w:type="dxa"/>
                  <w:noWrap w:val="0"/>
                  <w:vAlign w:val="top"/>
                </w:tcPr>
                <w:p w14:paraId="569A6F45">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201-1000（部分）</w:t>
                  </w:r>
                </w:p>
              </w:tc>
              <w:tc>
                <w:tcPr>
                  <w:tcW w:w="1305" w:type="dxa"/>
                  <w:noWrap w:val="0"/>
                  <w:vAlign w:val="top"/>
                </w:tcPr>
                <w:p w14:paraId="74037B52">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2.5‰</w:t>
                  </w:r>
                </w:p>
              </w:tc>
            </w:tr>
            <w:tr w14:paraId="6A351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vMerge w:val="continue"/>
                  <w:noWrap w:val="0"/>
                  <w:vAlign w:val="top"/>
                </w:tcPr>
                <w:p w14:paraId="50AA8A55">
                  <w:pPr>
                    <w:pStyle w:val="10"/>
                    <w:keepNext w:val="0"/>
                    <w:keepLines w:val="0"/>
                    <w:widowControl w:val="0"/>
                    <w:suppressLineNumbers w:val="0"/>
                    <w:spacing w:before="0" w:beforeAutospacing="0" w:after="0" w:afterAutospacing="0" w:line="240" w:lineRule="auto"/>
                    <w:ind w:left="0" w:right="0" w:firstLine="480" w:firstLineChars="200"/>
                    <w:jc w:val="left"/>
                    <w:rPr>
                      <w:rFonts w:hint="eastAsia" w:ascii="仿宋" w:hAnsi="仿宋" w:eastAsia="仿宋" w:cs="仿宋"/>
                      <w:kern w:val="0"/>
                      <w:sz w:val="24"/>
                      <w:szCs w:val="24"/>
                      <w:highlight w:val="none"/>
                      <w:lang w:val="en-US" w:eastAsia="zh-CN" w:bidi="ar-SA"/>
                    </w:rPr>
                  </w:pPr>
                </w:p>
              </w:tc>
              <w:tc>
                <w:tcPr>
                  <w:tcW w:w="2250" w:type="dxa"/>
                  <w:noWrap w:val="0"/>
                  <w:vAlign w:val="top"/>
                </w:tcPr>
                <w:p w14:paraId="0FD36B86">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1001-2000（部分）</w:t>
                  </w:r>
                </w:p>
              </w:tc>
              <w:tc>
                <w:tcPr>
                  <w:tcW w:w="1305" w:type="dxa"/>
                  <w:noWrap w:val="0"/>
                  <w:vAlign w:val="top"/>
                </w:tcPr>
                <w:p w14:paraId="39AE1B78">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2.0‰</w:t>
                  </w:r>
                </w:p>
              </w:tc>
            </w:tr>
            <w:tr w14:paraId="06C04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vMerge w:val="continue"/>
                  <w:noWrap w:val="0"/>
                  <w:vAlign w:val="top"/>
                </w:tcPr>
                <w:p w14:paraId="49BD8851">
                  <w:pPr>
                    <w:pStyle w:val="10"/>
                    <w:keepNext w:val="0"/>
                    <w:keepLines w:val="0"/>
                    <w:widowControl w:val="0"/>
                    <w:suppressLineNumbers w:val="0"/>
                    <w:spacing w:before="0" w:beforeAutospacing="0" w:after="0" w:afterAutospacing="0" w:line="240" w:lineRule="auto"/>
                    <w:ind w:left="0" w:right="0" w:firstLine="480" w:firstLineChars="200"/>
                    <w:jc w:val="left"/>
                    <w:rPr>
                      <w:rFonts w:hint="eastAsia" w:ascii="仿宋" w:hAnsi="仿宋" w:eastAsia="仿宋" w:cs="仿宋"/>
                      <w:kern w:val="0"/>
                      <w:sz w:val="24"/>
                      <w:szCs w:val="24"/>
                      <w:highlight w:val="none"/>
                      <w:lang w:val="en-US" w:eastAsia="zh-CN" w:bidi="ar-SA"/>
                    </w:rPr>
                  </w:pPr>
                </w:p>
              </w:tc>
              <w:tc>
                <w:tcPr>
                  <w:tcW w:w="2250" w:type="dxa"/>
                  <w:noWrap w:val="0"/>
                  <w:vAlign w:val="top"/>
                </w:tcPr>
                <w:p w14:paraId="38265D34">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2001-5000（部分）</w:t>
                  </w:r>
                </w:p>
              </w:tc>
              <w:tc>
                <w:tcPr>
                  <w:tcW w:w="1305" w:type="dxa"/>
                  <w:noWrap w:val="0"/>
                  <w:vAlign w:val="top"/>
                </w:tcPr>
                <w:p w14:paraId="1A8451BC">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1.0‰</w:t>
                  </w:r>
                </w:p>
              </w:tc>
            </w:tr>
            <w:tr w14:paraId="17CE2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vMerge w:val="continue"/>
                  <w:noWrap w:val="0"/>
                  <w:vAlign w:val="top"/>
                </w:tcPr>
                <w:p w14:paraId="70589F56">
                  <w:pPr>
                    <w:pStyle w:val="10"/>
                    <w:keepNext w:val="0"/>
                    <w:keepLines w:val="0"/>
                    <w:widowControl w:val="0"/>
                    <w:suppressLineNumbers w:val="0"/>
                    <w:spacing w:before="0" w:beforeAutospacing="0" w:after="0" w:afterAutospacing="0" w:line="240" w:lineRule="auto"/>
                    <w:ind w:left="0" w:right="0" w:firstLine="480" w:firstLineChars="200"/>
                    <w:jc w:val="left"/>
                    <w:rPr>
                      <w:rFonts w:hint="eastAsia" w:ascii="仿宋" w:hAnsi="仿宋" w:eastAsia="仿宋" w:cs="仿宋"/>
                      <w:kern w:val="0"/>
                      <w:sz w:val="24"/>
                      <w:szCs w:val="24"/>
                      <w:highlight w:val="none"/>
                      <w:lang w:val="en-US" w:eastAsia="zh-CN" w:bidi="ar-SA"/>
                    </w:rPr>
                  </w:pPr>
                </w:p>
              </w:tc>
              <w:tc>
                <w:tcPr>
                  <w:tcW w:w="2250" w:type="dxa"/>
                  <w:noWrap w:val="0"/>
                  <w:vAlign w:val="top"/>
                </w:tcPr>
                <w:p w14:paraId="764356BD">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5001-10000（部分）</w:t>
                  </w:r>
                </w:p>
              </w:tc>
              <w:tc>
                <w:tcPr>
                  <w:tcW w:w="1305" w:type="dxa"/>
                  <w:noWrap w:val="0"/>
                  <w:vAlign w:val="top"/>
                </w:tcPr>
                <w:p w14:paraId="45B87856">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0.5‰</w:t>
                  </w:r>
                </w:p>
              </w:tc>
            </w:tr>
            <w:tr w14:paraId="02076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vMerge w:val="continue"/>
                  <w:noWrap w:val="0"/>
                  <w:vAlign w:val="top"/>
                </w:tcPr>
                <w:p w14:paraId="67E71EA6">
                  <w:pPr>
                    <w:pStyle w:val="10"/>
                    <w:keepNext w:val="0"/>
                    <w:keepLines w:val="0"/>
                    <w:widowControl w:val="0"/>
                    <w:suppressLineNumbers w:val="0"/>
                    <w:spacing w:before="0" w:beforeAutospacing="0" w:after="0" w:afterAutospacing="0" w:line="240" w:lineRule="auto"/>
                    <w:ind w:left="0" w:right="0" w:firstLine="480" w:firstLineChars="200"/>
                    <w:jc w:val="left"/>
                    <w:rPr>
                      <w:rFonts w:hint="eastAsia" w:ascii="仿宋" w:hAnsi="仿宋" w:eastAsia="仿宋" w:cs="仿宋"/>
                      <w:kern w:val="0"/>
                      <w:sz w:val="24"/>
                      <w:szCs w:val="24"/>
                      <w:highlight w:val="none"/>
                      <w:lang w:val="en-US" w:eastAsia="zh-CN" w:bidi="ar-SA"/>
                    </w:rPr>
                  </w:pPr>
                </w:p>
              </w:tc>
              <w:tc>
                <w:tcPr>
                  <w:tcW w:w="2250" w:type="dxa"/>
                  <w:noWrap w:val="0"/>
                  <w:vAlign w:val="top"/>
                </w:tcPr>
                <w:p w14:paraId="28F466A4">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10000 以上部分</w:t>
                  </w:r>
                </w:p>
              </w:tc>
              <w:tc>
                <w:tcPr>
                  <w:tcW w:w="1305" w:type="dxa"/>
                  <w:noWrap w:val="0"/>
                  <w:vAlign w:val="top"/>
                </w:tcPr>
                <w:p w14:paraId="12E6D86D">
                  <w:pPr>
                    <w:pStyle w:val="10"/>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0.13‰</w:t>
                  </w:r>
                </w:p>
              </w:tc>
            </w:tr>
          </w:tbl>
          <w:p w14:paraId="06AB5711">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2.单宗地土地评估费用依据原海南省物价局琼价综字〔1998〕89号文进行计算，具体情况如下： </w:t>
            </w:r>
          </w:p>
          <w:p w14:paraId="4027DB6F">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（1）对于涉及“招拍挂”出让、协议出让及土地收回等类别的土地评估业务，以待估宗地的土地评估总价值作为一个标的，收费标准参照海南省物价局琼价综字〔1998〕89号文执行； </w:t>
            </w:r>
          </w:p>
          <w:p w14:paraId="61647473">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2）对于涉及改变土地用途、用地结构调整、延长土地使用年限及多项条件同时调整等类别的土地评估业务，以待估宗地用地指标调整前及调整后的土地评估价值分别作为标的，收费标准参照海南省物价局琼价综字〔1998〕89号文执行； </w:t>
            </w:r>
          </w:p>
          <w:p w14:paraId="35BF73DB">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（3）对于涉及土地置换类别的土地评估业务，以被置换地和拟置换地的土地评估价值分别作为标的，收费标准参照海南省物价局琼价综字〔1998〕89号文执行；</w:t>
            </w:r>
          </w:p>
          <w:p w14:paraId="2165C38E">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（4）对于涉及划拨补办出让类别的土地评估业务，以待估宗地在现行规划指标下的宗地价值作为一个标的，收费标准参照海南省物价局琼价综字〔1998〕89号文执行； </w:t>
            </w:r>
          </w:p>
          <w:p w14:paraId="32BD0CB8">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（5）对于涉及增加容积率类别的土地评估业务，以待估宗地在现行规划指标或实际指标下的宗地价值作为一个标的，收费标准参照海南省物价局琼价综字〔1998〕89号文执行； </w:t>
            </w:r>
          </w:p>
          <w:p w14:paraId="1BF8DA89">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（6）除上述类别以外的土地评估业务，由采购人、供应商双方根据宗地评估实际情况共同协商确定土地评估费用的核算标准。 </w:t>
            </w:r>
          </w:p>
          <w:p w14:paraId="5255F7C2">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（7）各标的参照海南省物价局琼价综字〔1998〕89号文核算的土地评估费用超过人民币15万元整的，按人民币15万元计算。 </w:t>
            </w:r>
          </w:p>
          <w:p w14:paraId="238AC632">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8）土地评估费用参照采购人下发的《三亚市自然资源和规划局关于进一步规范我市国有建设用地使用权地价评估有关事宜的规定》执行。所有评估费用（包括二级市场中选报告的土地评估费用）根据供应商在竞标时的最终报价折扣进行计算。根据《三亚市自然资源和规划局关于进一步规范我市国有建设用地使用权地价评估有关事宜的规定》，二级市场未中选报告的土地评估费用按照生效报告评估费用的50%由采购人向两家评估技术单位进行支付，二级市场中选报告的土地评估费用由业主单位支付。</w:t>
            </w:r>
          </w:p>
          <w:p w14:paraId="746F7F06">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3.合同价格以征集文件中明确的收费标准为依据，按供应商报价折扣进行测算。支付金额以实际完成的工作量（土地宗数）进行核算。</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1523BE2A">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47E93720">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5B563DC7">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r>
      <w:tr w14:paraId="161D2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6B15AD5B">
            <w:pPr>
              <w:pStyle w:val="5"/>
              <w:keepNext w:val="0"/>
              <w:keepLines w:val="0"/>
              <w:widowControl w:val="0"/>
              <w:suppressLineNumbers w:val="0"/>
              <w:spacing w:before="0" w:beforeAutospacing="0" w:after="0" w:afterAutospacing="0" w:line="288" w:lineRule="auto"/>
              <w:ind w:left="0" w:right="0"/>
              <w:jc w:val="center"/>
              <w:rPr>
                <w:rFonts w:hint="default" w:ascii="仿宋" w:hAnsi="仿宋" w:eastAsia="仿宋" w:cs="仿宋"/>
                <w:b w:val="0"/>
                <w:bCs/>
                <w:kern w:val="2"/>
                <w:sz w:val="21"/>
                <w:szCs w:val="21"/>
                <w:highlight w:val="none"/>
                <w:u w:val="none"/>
                <w:lang w:val="en-US" w:eastAsia="zh-CN"/>
              </w:rPr>
            </w:pPr>
            <w:r>
              <w:rPr>
                <w:rFonts w:hint="eastAsia" w:ascii="仿宋" w:hAnsi="仿宋" w:eastAsia="仿宋" w:cs="仿宋"/>
                <w:b w:val="0"/>
                <w:bCs/>
                <w:kern w:val="2"/>
                <w:sz w:val="21"/>
                <w:szCs w:val="21"/>
                <w:highlight w:val="none"/>
                <w:u w:val="none"/>
                <w:lang w:val="en-US" w:eastAsia="zh-CN"/>
              </w:rPr>
              <w:t>5</w:t>
            </w:r>
          </w:p>
        </w:tc>
        <w:tc>
          <w:tcPr>
            <w:tcW w:w="9132" w:type="dxa"/>
            <w:tcBorders>
              <w:top w:val="single" w:color="auto" w:sz="4" w:space="0"/>
              <w:left w:val="single" w:color="auto" w:sz="4" w:space="0"/>
              <w:bottom w:val="single" w:color="auto" w:sz="4" w:space="0"/>
              <w:right w:val="single" w:color="auto" w:sz="4" w:space="0"/>
            </w:tcBorders>
            <w:noWrap w:val="0"/>
            <w:vAlign w:val="top"/>
          </w:tcPr>
          <w:p w14:paraId="047397D4">
            <w:pPr>
              <w:pStyle w:val="10"/>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支付时间和条件</w:t>
            </w:r>
          </w:p>
          <w:p w14:paraId="02F5EEFA">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1.支付金额以实际完成的工作量（土地宗数）进行核算。</w:t>
            </w:r>
          </w:p>
          <w:p w14:paraId="655F3968">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供应商须提供《三亚市土地价格评估业务委托通知书》、土地估价结果一览表、评估费用计算表及等额有效的增值税发票，采购人按照供应商完成的工作量进行付款，即在供应商提交《土地评估报告》通过采购人验收确认后按季度支付供应商土地评估业务费，若供应商在合同履行过程中存在违约行为，采购人有权在应当支付给供应商的评估服务费中直接予以扣除。若采购人未收到合法有效的发票，采购人有权延期付款直至供应商开具等额合法有效的发票，且采购人不承担任何责任。由于采购人内部财政审批手续时间存在不确定性，供应商对此知悉并认可采购人内部财政审批手续时间不视为违约时间。</w:t>
            </w:r>
          </w:p>
          <w:p w14:paraId="40F34E0F">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3.根据《海南省财政厅关于进一步优化政府采购营商环境的通知》（琼财采[2022]68号）的相关规定，对于满足合同约定支付条件的，采购人自收到发票后3个工作日内将资金支付到合同约定的供应商账户。</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2552193D">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716DCC25">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58C65650">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r>
      <w:tr w14:paraId="7AFE7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4191E652">
            <w:pPr>
              <w:pStyle w:val="5"/>
              <w:keepNext w:val="0"/>
              <w:keepLines w:val="0"/>
              <w:widowControl w:val="0"/>
              <w:suppressLineNumbers w:val="0"/>
              <w:spacing w:before="0" w:beforeAutospacing="0" w:after="0" w:afterAutospacing="0" w:line="288" w:lineRule="auto"/>
              <w:ind w:left="0" w:right="0"/>
              <w:jc w:val="center"/>
              <w:rPr>
                <w:rFonts w:hint="default" w:ascii="仿宋" w:hAnsi="仿宋" w:eastAsia="仿宋" w:cs="仿宋"/>
                <w:b w:val="0"/>
                <w:bCs/>
                <w:kern w:val="2"/>
                <w:sz w:val="21"/>
                <w:szCs w:val="21"/>
                <w:highlight w:val="none"/>
                <w:u w:val="none"/>
                <w:lang w:val="en-US" w:eastAsia="zh-CN"/>
              </w:rPr>
            </w:pPr>
            <w:r>
              <w:rPr>
                <w:rFonts w:hint="eastAsia" w:ascii="仿宋" w:hAnsi="仿宋" w:eastAsia="仿宋" w:cs="仿宋"/>
                <w:b w:val="0"/>
                <w:bCs/>
                <w:kern w:val="2"/>
                <w:sz w:val="21"/>
                <w:szCs w:val="21"/>
                <w:highlight w:val="none"/>
                <w:u w:val="none"/>
                <w:lang w:val="en-US" w:eastAsia="zh-CN"/>
              </w:rPr>
              <w:t>6</w:t>
            </w:r>
          </w:p>
        </w:tc>
        <w:tc>
          <w:tcPr>
            <w:tcW w:w="9132" w:type="dxa"/>
            <w:tcBorders>
              <w:top w:val="single" w:color="auto" w:sz="4" w:space="0"/>
              <w:left w:val="single" w:color="auto" w:sz="4" w:space="0"/>
              <w:bottom w:val="single" w:color="auto" w:sz="4" w:space="0"/>
              <w:right w:val="single" w:color="auto" w:sz="4" w:space="0"/>
            </w:tcBorders>
            <w:noWrap w:val="0"/>
            <w:vAlign w:val="top"/>
          </w:tcPr>
          <w:p w14:paraId="6B77E821">
            <w:pPr>
              <w:pStyle w:val="10"/>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支付方式</w:t>
            </w:r>
          </w:p>
          <w:p w14:paraId="6525B9E0">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一次付清</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21C12529">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6A4245AE">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36B7A868">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r>
      <w:tr w14:paraId="40A8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4DF1BE2D">
            <w:pPr>
              <w:pStyle w:val="5"/>
              <w:keepNext w:val="0"/>
              <w:keepLines w:val="0"/>
              <w:widowControl w:val="0"/>
              <w:suppressLineNumbers w:val="0"/>
              <w:spacing w:before="0" w:beforeAutospacing="0" w:after="0" w:afterAutospacing="0" w:line="288" w:lineRule="auto"/>
              <w:ind w:left="0" w:right="0"/>
              <w:jc w:val="center"/>
              <w:rPr>
                <w:rFonts w:hint="default" w:ascii="仿宋" w:hAnsi="仿宋" w:eastAsia="仿宋" w:cs="仿宋"/>
                <w:b w:val="0"/>
                <w:bCs/>
                <w:kern w:val="2"/>
                <w:sz w:val="21"/>
                <w:szCs w:val="21"/>
                <w:highlight w:val="none"/>
                <w:u w:val="none"/>
                <w:lang w:val="en-US" w:eastAsia="zh-CN"/>
              </w:rPr>
            </w:pPr>
            <w:r>
              <w:rPr>
                <w:rFonts w:hint="eastAsia" w:ascii="仿宋" w:hAnsi="仿宋" w:eastAsia="仿宋" w:cs="仿宋"/>
                <w:b w:val="0"/>
                <w:bCs/>
                <w:kern w:val="2"/>
                <w:sz w:val="21"/>
                <w:szCs w:val="21"/>
                <w:highlight w:val="none"/>
                <w:u w:val="none"/>
                <w:lang w:val="en-US" w:eastAsia="zh-CN"/>
              </w:rPr>
              <w:t>7</w:t>
            </w:r>
          </w:p>
        </w:tc>
        <w:tc>
          <w:tcPr>
            <w:tcW w:w="9132" w:type="dxa"/>
            <w:tcBorders>
              <w:top w:val="single" w:color="auto" w:sz="4" w:space="0"/>
              <w:left w:val="single" w:color="auto" w:sz="4" w:space="0"/>
              <w:bottom w:val="single" w:color="auto" w:sz="4" w:space="0"/>
              <w:right w:val="single" w:color="auto" w:sz="4" w:space="0"/>
            </w:tcBorders>
            <w:noWrap w:val="0"/>
            <w:vAlign w:val="top"/>
          </w:tcPr>
          <w:p w14:paraId="1FAA01C8">
            <w:pPr>
              <w:pStyle w:val="10"/>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验收标准和方法</w:t>
            </w:r>
          </w:p>
          <w:p w14:paraId="73AE3D6A">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1.验收主体：采购人。可以邀请参加本项目的其他供应商或者第三方专业机构及专家参与验收，相关验收意见作为验收的参考资料。 </w:t>
            </w:r>
          </w:p>
          <w:p w14:paraId="6E0C3EC3">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2.验收时间：应在“评估委托书”约定的提交报告期限内完成。 </w:t>
            </w:r>
          </w:p>
          <w:p w14:paraId="6E8378AB">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3.验收方式：采购人组织验收。根据征集文件、响应文件、采购合同等约定，对技术服务成果采用专家评估等方式验收。也可以由委托方单方认可视为验收通过。</w:t>
            </w:r>
          </w:p>
          <w:p w14:paraId="4ECF936D">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4.验收程序：成果提交、验收准备、核对凭证、出具书面验收证明等。 </w:t>
            </w:r>
          </w:p>
          <w:p w14:paraId="4F4AE82C">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5.验收内容：按“服务要求、成果要求、成果提交”等标准执行。 </w:t>
            </w:r>
          </w:p>
          <w:p w14:paraId="635D1191">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6.验收标准：本着科学、公正、实事求是的原则，严格按照合同约定的要求进行验收。按“服务要求、成果要求、成果提交”等标准执行。</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1F8C654E">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3DC4D145">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7748D681">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r>
      <w:tr w14:paraId="2FDD3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3692B2CF">
            <w:pPr>
              <w:pStyle w:val="5"/>
              <w:keepNext w:val="0"/>
              <w:keepLines w:val="0"/>
              <w:widowControl w:val="0"/>
              <w:suppressLineNumbers w:val="0"/>
              <w:spacing w:before="0" w:beforeAutospacing="0" w:after="0" w:afterAutospacing="0" w:line="288" w:lineRule="auto"/>
              <w:ind w:left="0" w:right="0"/>
              <w:jc w:val="center"/>
              <w:rPr>
                <w:rFonts w:hint="default" w:ascii="仿宋" w:hAnsi="仿宋" w:eastAsia="仿宋" w:cs="仿宋"/>
                <w:b w:val="0"/>
                <w:bCs/>
                <w:kern w:val="2"/>
                <w:sz w:val="21"/>
                <w:szCs w:val="21"/>
                <w:highlight w:val="none"/>
                <w:u w:val="none"/>
                <w:lang w:val="en-US" w:eastAsia="zh-CN"/>
              </w:rPr>
            </w:pPr>
            <w:r>
              <w:rPr>
                <w:rFonts w:hint="eastAsia" w:ascii="仿宋" w:hAnsi="仿宋" w:eastAsia="仿宋" w:cs="仿宋"/>
                <w:b w:val="0"/>
                <w:bCs/>
                <w:kern w:val="2"/>
                <w:sz w:val="21"/>
                <w:szCs w:val="21"/>
                <w:highlight w:val="none"/>
                <w:u w:val="none"/>
                <w:lang w:val="en-US" w:eastAsia="zh-CN"/>
              </w:rPr>
              <w:t>8</w:t>
            </w:r>
          </w:p>
        </w:tc>
        <w:tc>
          <w:tcPr>
            <w:tcW w:w="9132" w:type="dxa"/>
            <w:tcBorders>
              <w:top w:val="single" w:color="auto" w:sz="4" w:space="0"/>
              <w:left w:val="single" w:color="auto" w:sz="4" w:space="0"/>
              <w:bottom w:val="single" w:color="auto" w:sz="4" w:space="0"/>
              <w:right w:val="single" w:color="auto" w:sz="4" w:space="0"/>
            </w:tcBorders>
            <w:noWrap w:val="0"/>
            <w:vAlign w:val="top"/>
          </w:tcPr>
          <w:p w14:paraId="189F9A8B">
            <w:pPr>
              <w:pStyle w:val="10"/>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违约责任</w:t>
            </w:r>
          </w:p>
          <w:p w14:paraId="56946943">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1.因采购人原因导致变更、中止或者终止政府采购合同的，应对供应商受到的损失予以赔偿或者补偿。</w:t>
            </w:r>
          </w:p>
          <w:p w14:paraId="00651EE5">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地价评估期间，经发现供应商没有遵循保密原则，违规向当事人泄露评估情况、评估结果等信息的，采购人立即终止其服务关系，同时采购人有权拒绝支付土地评估费用，给采购人造成损失的，供应商承担全部的赔偿责任。</w:t>
            </w:r>
          </w:p>
          <w:p w14:paraId="3B6C4BA6">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3.供应商未按规定时间向采购人提交土地评估报告累计达3次的，采购人立即终止其服务关系，同时采购人有权拒绝支付土地评估费用，给采购人造成损失的，供应商承担全部的赔偿责任。</w:t>
            </w:r>
          </w:p>
          <w:p w14:paraId="38657FD7">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4.供应商单个项目土地评估报告提交专家评审3次未通过的，采购人立即终止其服务关系，同时采购人有权拒绝支付土地评估费用，给采购人造成损失的，供应商承担全部的赔偿责任。</w:t>
            </w:r>
          </w:p>
          <w:p w14:paraId="522B161F">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供应商在评估过程中，为迎合利害关系人，故意抬高或压低评估价值，出具的土地估价报告与项目用地实际情况严重不符的，一经发现立即终止其服务关系，同时采购人有权拒绝支付土地评估费用，给采购人造成损失的，供应商承担全部的赔偿责任。且供应商三年内不得参与采购人组织的地价评估机构招标采购活动。同时，采购人将其违规情况报告海南省土地估价师与土地登记代理人协会，并建议该协会作出相应的行业处罚。</w:t>
            </w:r>
          </w:p>
          <w:p w14:paraId="5D17D578">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6.供应商在评估过程中不遵守保密纪律的，依据《保密法》及相关法律规定追究相应的法律责任；供应商在评估过程中，收受或接受相关利害关系人的吃请、财物及服务，故意抬高或压低评估价格的，依法追究相应的刑事责任。</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6E126F41">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353653AA">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0DC5280D">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r>
      <w:tr w14:paraId="76AD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562E1784">
            <w:pPr>
              <w:pStyle w:val="5"/>
              <w:keepNext w:val="0"/>
              <w:keepLines w:val="0"/>
              <w:widowControl w:val="0"/>
              <w:suppressLineNumbers w:val="0"/>
              <w:spacing w:before="0" w:beforeAutospacing="0" w:after="0" w:afterAutospacing="0" w:line="288" w:lineRule="auto"/>
              <w:ind w:left="0" w:right="0"/>
              <w:jc w:val="center"/>
              <w:rPr>
                <w:rFonts w:hint="default" w:ascii="仿宋" w:hAnsi="仿宋" w:eastAsia="仿宋" w:cs="仿宋"/>
                <w:b w:val="0"/>
                <w:bCs/>
                <w:kern w:val="2"/>
                <w:sz w:val="21"/>
                <w:szCs w:val="21"/>
                <w:highlight w:val="none"/>
                <w:u w:val="none"/>
                <w:lang w:val="en-US" w:eastAsia="zh-CN"/>
              </w:rPr>
            </w:pPr>
            <w:r>
              <w:rPr>
                <w:rFonts w:hint="eastAsia" w:ascii="仿宋" w:hAnsi="仿宋" w:eastAsia="仿宋" w:cs="仿宋"/>
                <w:b w:val="0"/>
                <w:bCs/>
                <w:kern w:val="2"/>
                <w:sz w:val="21"/>
                <w:szCs w:val="21"/>
                <w:highlight w:val="none"/>
                <w:u w:val="none"/>
                <w:lang w:val="en-US" w:eastAsia="zh-CN"/>
              </w:rPr>
              <w:t>9</w:t>
            </w:r>
          </w:p>
        </w:tc>
        <w:tc>
          <w:tcPr>
            <w:tcW w:w="9132" w:type="dxa"/>
            <w:tcBorders>
              <w:top w:val="single" w:color="auto" w:sz="4" w:space="0"/>
              <w:left w:val="single" w:color="auto" w:sz="4" w:space="0"/>
              <w:bottom w:val="single" w:color="auto" w:sz="4" w:space="0"/>
              <w:right w:val="single" w:color="auto" w:sz="4" w:space="0"/>
            </w:tcBorders>
            <w:noWrap w:val="0"/>
            <w:vAlign w:val="top"/>
          </w:tcPr>
          <w:p w14:paraId="52B82776">
            <w:pPr>
              <w:pStyle w:val="10"/>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知识产权</w:t>
            </w:r>
          </w:p>
          <w:p w14:paraId="426F7645">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1.采购人按照合同约定向供应商支付全部报酬后，项目评估成果的版权或其他知识产权归采购人所有。</w:t>
            </w:r>
          </w:p>
          <w:p w14:paraId="3EAFB1D0">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2.供应商应当保证其交付的成果不侵犯任何第三人的知识产权，如发生第三人指控评估成果侵犯其知识产权的，由供应商承担相关法律责任。</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44AD125D">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2284D7F4">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2A30BC9F">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r>
      <w:tr w14:paraId="51539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61" w:type="dxa"/>
            <w:tcBorders>
              <w:top w:val="single" w:color="auto" w:sz="4" w:space="0"/>
              <w:left w:val="single" w:color="auto" w:sz="4" w:space="0"/>
              <w:bottom w:val="single" w:color="auto" w:sz="4" w:space="0"/>
              <w:right w:val="single" w:color="auto" w:sz="4" w:space="0"/>
            </w:tcBorders>
            <w:noWrap w:val="0"/>
            <w:vAlign w:val="center"/>
          </w:tcPr>
          <w:p w14:paraId="3776CB4E">
            <w:pPr>
              <w:pStyle w:val="5"/>
              <w:keepNext w:val="0"/>
              <w:keepLines w:val="0"/>
              <w:widowControl w:val="0"/>
              <w:suppressLineNumbers w:val="0"/>
              <w:spacing w:before="0" w:beforeAutospacing="0" w:after="0" w:afterAutospacing="0" w:line="288" w:lineRule="auto"/>
              <w:ind w:left="0" w:right="0"/>
              <w:jc w:val="center"/>
              <w:rPr>
                <w:rFonts w:hint="default" w:ascii="仿宋" w:hAnsi="仿宋" w:eastAsia="仿宋" w:cs="仿宋"/>
                <w:b w:val="0"/>
                <w:bCs/>
                <w:kern w:val="2"/>
                <w:sz w:val="21"/>
                <w:szCs w:val="21"/>
                <w:highlight w:val="none"/>
                <w:u w:val="none"/>
                <w:lang w:val="en-US" w:eastAsia="zh-CN"/>
              </w:rPr>
            </w:pPr>
            <w:r>
              <w:rPr>
                <w:rFonts w:hint="eastAsia" w:ascii="仿宋" w:hAnsi="仿宋" w:eastAsia="仿宋" w:cs="仿宋"/>
                <w:b w:val="0"/>
                <w:bCs/>
                <w:kern w:val="2"/>
                <w:sz w:val="21"/>
                <w:szCs w:val="21"/>
                <w:highlight w:val="none"/>
                <w:u w:val="none"/>
                <w:lang w:val="en-US" w:eastAsia="zh-CN"/>
              </w:rPr>
              <w:t>10</w:t>
            </w:r>
          </w:p>
        </w:tc>
        <w:tc>
          <w:tcPr>
            <w:tcW w:w="9132" w:type="dxa"/>
            <w:tcBorders>
              <w:top w:val="single" w:color="auto" w:sz="4" w:space="0"/>
              <w:left w:val="single" w:color="auto" w:sz="4" w:space="0"/>
              <w:bottom w:val="single" w:color="auto" w:sz="4" w:space="0"/>
              <w:right w:val="single" w:color="auto" w:sz="4" w:space="0"/>
            </w:tcBorders>
            <w:noWrap w:val="0"/>
            <w:vAlign w:val="top"/>
          </w:tcPr>
          <w:p w14:paraId="373D96FD">
            <w:pPr>
              <w:pStyle w:val="10"/>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其他</w:t>
            </w:r>
          </w:p>
          <w:p w14:paraId="469E2447">
            <w:pPr>
              <w:pStyle w:val="10"/>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供应商须在框架协议签订后一个月内在三亚设立办公地点，供应商在其办公地点向采购人解答项目用地办事程序、所交税费及目前的土地市场价格等事宜，并在规定时间向采购人提交项目用地的《土地估价报告》。</w:t>
            </w:r>
          </w:p>
        </w:tc>
        <w:tc>
          <w:tcPr>
            <w:tcW w:w="2538" w:type="dxa"/>
            <w:tcBorders>
              <w:top w:val="single" w:color="auto" w:sz="4" w:space="0"/>
              <w:left w:val="single" w:color="auto" w:sz="4" w:space="0"/>
              <w:bottom w:val="single" w:color="auto" w:sz="4" w:space="0"/>
              <w:right w:val="single" w:color="auto" w:sz="4" w:space="0"/>
            </w:tcBorders>
            <w:noWrap w:val="0"/>
            <w:vAlign w:val="center"/>
          </w:tcPr>
          <w:p w14:paraId="4A1D6090">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825" w:type="dxa"/>
            <w:tcBorders>
              <w:top w:val="single" w:color="auto" w:sz="4" w:space="0"/>
              <w:left w:val="single" w:color="auto" w:sz="4" w:space="0"/>
              <w:bottom w:val="single" w:color="auto" w:sz="4" w:space="0"/>
              <w:right w:val="single" w:color="auto" w:sz="4" w:space="0"/>
            </w:tcBorders>
            <w:noWrap w:val="0"/>
            <w:vAlign w:val="center"/>
          </w:tcPr>
          <w:p w14:paraId="04CA1C9B">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0B3A7C79">
            <w:pPr>
              <w:pStyle w:val="5"/>
              <w:keepNext w:val="0"/>
              <w:keepLines w:val="0"/>
              <w:widowControl w:val="0"/>
              <w:suppressLineNumbers w:val="0"/>
              <w:spacing w:before="0" w:beforeAutospacing="0" w:after="0" w:afterAutospacing="0" w:line="288" w:lineRule="auto"/>
              <w:ind w:left="0" w:right="0"/>
              <w:jc w:val="center"/>
              <w:rPr>
                <w:rFonts w:hint="eastAsia" w:ascii="仿宋" w:hAnsi="仿宋" w:eastAsia="仿宋" w:cs="仿宋"/>
                <w:b w:val="0"/>
                <w:bCs/>
                <w:kern w:val="2"/>
                <w:sz w:val="21"/>
                <w:szCs w:val="21"/>
                <w:highlight w:val="none"/>
                <w:u w:val="none"/>
              </w:rPr>
            </w:pPr>
          </w:p>
        </w:tc>
      </w:tr>
    </w:tbl>
    <w:p w14:paraId="7AECB041">
      <w:pPr>
        <w:pStyle w:val="5"/>
        <w:keepNext w:val="0"/>
        <w:keepLines w:val="0"/>
        <w:widowControl/>
        <w:suppressLineNumbers w:val="0"/>
        <w:spacing w:before="0" w:beforeAutospacing="0" w:after="0" w:afterAutospacing="0"/>
        <w:ind w:left="0" w:right="0"/>
        <w:jc w:val="left"/>
        <w:outlineLvl w:val="9"/>
        <w:rPr>
          <w:rFonts w:hint="eastAsia" w:ascii="仿宋" w:hAnsi="仿宋" w:eastAsia="仿宋" w:cs="仿宋"/>
          <w:b/>
          <w:bCs w:val="0"/>
          <w:kern w:val="2"/>
          <w:sz w:val="21"/>
          <w:szCs w:val="21"/>
          <w:highlight w:val="none"/>
          <w:u w:val="single"/>
        </w:rPr>
      </w:pPr>
    </w:p>
    <w:p w14:paraId="58087BAA">
      <w:pPr>
        <w:keepNext w:val="0"/>
        <w:keepLines w:val="0"/>
        <w:widowControl/>
        <w:suppressLineNumbers w:val="0"/>
        <w:spacing w:before="0" w:beforeAutospacing="0" w:after="0" w:afterAutospacing="0" w:line="360" w:lineRule="auto"/>
        <w:ind w:left="0" w:right="0"/>
        <w:jc w:val="left"/>
        <w:outlineLvl w:val="9"/>
        <w:rPr>
          <w:rFonts w:hint="eastAsia" w:ascii="仿宋" w:hAnsi="仿宋" w:eastAsia="仿宋" w:cs="仿宋"/>
          <w:kern w:val="0"/>
          <w:sz w:val="24"/>
          <w:szCs w:val="24"/>
          <w:highlight w:val="none"/>
          <w:lang w:val="en-US" w:eastAsia="zh-CN"/>
        </w:rPr>
      </w:pPr>
      <w:r>
        <w:rPr>
          <w:rFonts w:hint="eastAsia" w:ascii="仿宋" w:hAnsi="仿宋" w:eastAsia="仿宋" w:cs="仿宋"/>
          <w:b/>
          <w:bCs/>
          <w:kern w:val="0"/>
          <w:sz w:val="24"/>
          <w:szCs w:val="24"/>
          <w:highlight w:val="none"/>
          <w:lang w:val="en-US" w:eastAsia="zh-CN"/>
        </w:rPr>
        <w:t>注：</w:t>
      </w:r>
      <w:r>
        <w:rPr>
          <w:rFonts w:hint="eastAsia" w:ascii="仿宋" w:hAnsi="仿宋" w:eastAsia="仿宋" w:cs="仿宋"/>
          <w:kern w:val="0"/>
          <w:sz w:val="24"/>
          <w:szCs w:val="24"/>
          <w:highlight w:val="none"/>
          <w:lang w:val="en-US" w:eastAsia="zh-CN"/>
        </w:rPr>
        <w:t>1.对征集文件中的所有商务要求，除本表所列明的所有偏离外，均视作供应商已对之理解和应答</w:t>
      </w:r>
      <w:bookmarkStart w:id="0" w:name="_GoBack"/>
      <w:bookmarkEnd w:id="0"/>
      <w:r>
        <w:rPr>
          <w:rFonts w:hint="eastAsia" w:ascii="仿宋" w:hAnsi="仿宋" w:eastAsia="仿宋" w:cs="仿宋"/>
          <w:kern w:val="0"/>
          <w:sz w:val="24"/>
          <w:szCs w:val="24"/>
          <w:highlight w:val="none"/>
          <w:lang w:val="en-US" w:eastAsia="zh-CN"/>
        </w:rPr>
        <w:t>。此表中若无任何文字说明，内容为空白的，</w:t>
      </w:r>
      <w:r>
        <w:rPr>
          <w:rFonts w:hint="eastAsia" w:ascii="仿宋" w:hAnsi="仿宋" w:eastAsia="仿宋" w:cs="仿宋"/>
          <w:b/>
          <w:bCs/>
          <w:kern w:val="0"/>
          <w:sz w:val="24"/>
          <w:szCs w:val="24"/>
          <w:highlight w:val="none"/>
          <w:lang w:val="en-US" w:eastAsia="zh-CN"/>
        </w:rPr>
        <w:t>响应</w:t>
      </w:r>
      <w:r>
        <w:rPr>
          <w:rFonts w:hint="eastAsia" w:ascii="仿宋" w:hAnsi="仿宋" w:eastAsia="仿宋" w:cs="仿宋"/>
          <w:b/>
          <w:bCs/>
          <w:kern w:val="0"/>
          <w:sz w:val="24"/>
          <w:szCs w:val="24"/>
          <w:highlight w:val="none"/>
          <w:lang w:val="en-US" w:eastAsia="zh-CN"/>
        </w:rPr>
        <w:t>无</w:t>
      </w:r>
      <w:r>
        <w:rPr>
          <w:rFonts w:hint="eastAsia" w:ascii="仿宋" w:hAnsi="仿宋" w:eastAsia="仿宋" w:cs="仿宋"/>
          <w:b/>
          <w:bCs/>
          <w:kern w:val="0"/>
          <w:sz w:val="24"/>
          <w:szCs w:val="24"/>
          <w:highlight w:val="none"/>
          <w:lang w:val="en-US" w:eastAsia="zh-CN"/>
        </w:rPr>
        <w:t>效</w:t>
      </w:r>
      <w:r>
        <w:rPr>
          <w:rFonts w:hint="eastAsia" w:ascii="仿宋" w:hAnsi="仿宋" w:eastAsia="仿宋" w:cs="仿宋"/>
          <w:kern w:val="0"/>
          <w:sz w:val="24"/>
          <w:szCs w:val="24"/>
          <w:highlight w:val="none"/>
          <w:lang w:val="en-US" w:eastAsia="zh-CN"/>
        </w:rPr>
        <w:t>。</w:t>
      </w:r>
    </w:p>
    <w:p w14:paraId="1B67AE0A">
      <w:pPr>
        <w:keepNext w:val="0"/>
        <w:keepLines w:val="0"/>
        <w:widowControl/>
        <w:numPr>
          <w:ilvl w:val="0"/>
          <w:numId w:val="0"/>
        </w:numPr>
        <w:suppressLineNumbers w:val="0"/>
        <w:spacing w:before="0" w:beforeAutospacing="0" w:after="0" w:afterAutospacing="0" w:line="360" w:lineRule="auto"/>
        <w:ind w:left="0" w:leftChars="0" w:right="0" w:rightChars="0"/>
        <w:jc w:val="left"/>
        <w:outlineLvl w:val="9"/>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highlight w:val="none"/>
          <w:lang w:val="en-US" w:eastAsia="zh-CN"/>
        </w:rPr>
        <w:t>“偏离情况”列应据实填写“无偏离”、“正偏离”或“负偏离”。</w:t>
      </w:r>
    </w:p>
    <w:p w14:paraId="3A328864">
      <w:pPr>
        <w:keepNext w:val="0"/>
        <w:keepLines w:val="0"/>
        <w:widowControl/>
        <w:numPr>
          <w:ilvl w:val="0"/>
          <w:numId w:val="0"/>
        </w:numPr>
        <w:suppressLineNumbers w:val="0"/>
        <w:spacing w:before="0" w:beforeAutospacing="0" w:after="0" w:afterAutospacing="0" w:line="360" w:lineRule="auto"/>
        <w:ind w:left="0" w:leftChars="0" w:right="0" w:rightChars="0"/>
        <w:jc w:val="left"/>
        <w:outlineLvl w:val="9"/>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highlight w:val="none"/>
          <w:lang w:val="en-US" w:eastAsia="zh-CN"/>
        </w:rPr>
        <w:t>表格长度和内容可根据需要自行调整。</w:t>
      </w:r>
    </w:p>
    <w:p w14:paraId="47966BDA">
      <w:pPr>
        <w:keepNext w:val="0"/>
        <w:keepLines w:val="0"/>
        <w:widowControl/>
        <w:suppressLineNumbers w:val="0"/>
        <w:spacing w:before="0" w:beforeAutospacing="0" w:after="0" w:afterAutospacing="0" w:line="480" w:lineRule="auto"/>
        <w:ind w:left="0" w:right="0" w:firstLine="9638" w:firstLineChars="4000"/>
        <w:jc w:val="left"/>
        <w:outlineLvl w:val="9"/>
        <w:rPr>
          <w:rFonts w:hint="eastAsia" w:ascii="仿宋" w:hAnsi="仿宋" w:eastAsia="仿宋" w:cs="仿宋"/>
          <w:b/>
          <w:bCs/>
          <w:kern w:val="2"/>
          <w:sz w:val="24"/>
          <w:szCs w:val="24"/>
          <w:highlight w:val="none"/>
        </w:rPr>
      </w:pPr>
      <w:r>
        <w:rPr>
          <w:rFonts w:hint="eastAsia" w:ascii="仿宋" w:hAnsi="仿宋" w:eastAsia="仿宋" w:cs="仿宋"/>
          <w:b/>
          <w:bCs/>
          <w:kern w:val="0"/>
          <w:sz w:val="24"/>
          <w:szCs w:val="24"/>
          <w:highlight w:val="none"/>
          <w:lang w:val="en-US" w:eastAsia="zh-CN"/>
        </w:rPr>
        <w:t>供应商名称（加盖公章）：</w:t>
      </w:r>
    </w:p>
    <w:p w14:paraId="7EF6C27E">
      <w:pPr>
        <w:keepNext w:val="0"/>
        <w:keepLines w:val="0"/>
        <w:widowControl/>
        <w:suppressLineNumbers w:val="0"/>
        <w:spacing w:before="0" w:beforeAutospacing="0" w:after="0" w:afterAutospacing="0" w:line="480" w:lineRule="auto"/>
        <w:ind w:left="0" w:right="0" w:firstLine="9638" w:firstLineChars="4000"/>
        <w:jc w:val="left"/>
        <w:outlineLvl w:val="9"/>
        <w:rPr>
          <w:rFonts w:hint="eastAsia" w:ascii="仿宋" w:hAnsi="仿宋" w:eastAsia="仿宋" w:cs="仿宋"/>
          <w:kern w:val="2"/>
          <w:sz w:val="24"/>
          <w:szCs w:val="24"/>
          <w:highlight w:val="none"/>
        </w:rPr>
      </w:pPr>
      <w:r>
        <w:rPr>
          <w:rFonts w:hint="eastAsia" w:ascii="仿宋" w:hAnsi="仿宋" w:eastAsia="仿宋" w:cs="仿宋"/>
          <w:b/>
          <w:bCs/>
          <w:kern w:val="0"/>
          <w:sz w:val="24"/>
          <w:szCs w:val="24"/>
          <w:highlight w:val="none"/>
          <w:lang w:val="en-US" w:eastAsia="zh-CN"/>
        </w:rPr>
        <w:t>日期：    年    月    日</w:t>
      </w:r>
    </w:p>
    <w:sectPr>
      <w:pgSz w:w="16838" w:h="11906" w:orient="landscape"/>
      <w:pgMar w:top="1440" w:right="1440"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E3C03"/>
    <w:rsid w:val="053368C3"/>
    <w:rsid w:val="0F4C0898"/>
    <w:rsid w:val="21182EC8"/>
    <w:rsid w:val="2280029B"/>
    <w:rsid w:val="249F5C71"/>
    <w:rsid w:val="26FF2A8E"/>
    <w:rsid w:val="28C85EDD"/>
    <w:rsid w:val="2E39109E"/>
    <w:rsid w:val="36BF5C4E"/>
    <w:rsid w:val="37C14BB5"/>
    <w:rsid w:val="3F0A671B"/>
    <w:rsid w:val="44BA339E"/>
    <w:rsid w:val="47E32C0C"/>
    <w:rsid w:val="48630E3D"/>
    <w:rsid w:val="5B5B1D66"/>
    <w:rsid w:val="65183A9D"/>
    <w:rsid w:val="66EA1469"/>
    <w:rsid w:val="6BDB26A0"/>
    <w:rsid w:val="6F5D5BBF"/>
    <w:rsid w:val="769A40A3"/>
    <w:rsid w:val="77D300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keepNext/>
      <w:keepLines/>
      <w:spacing w:before="100" w:beforeAutospacing="1" w:after="100" w:afterAutospacing="1" w:line="360" w:lineRule="auto"/>
      <w:outlineLvl w:val="1"/>
    </w:pPr>
    <w:rPr>
      <w:rFonts w:ascii="Arial" w:hAnsi="Arial" w:eastAsia="黑体"/>
      <w:b/>
      <w:bCs/>
      <w:sz w:val="36"/>
      <w:szCs w:val="32"/>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2"/>
    <w:qFormat/>
    <w:uiPriority w:val="0"/>
    <w:pPr>
      <w:widowControl w:val="0"/>
      <w:spacing w:before="100" w:beforeAutospacing="1" w:after="120" w:line="480" w:lineRule="auto"/>
      <w:jc w:val="both"/>
    </w:pPr>
    <w:rPr>
      <w:rFonts w:ascii="Times New Roman" w:hAnsi="Times New Roman" w:eastAsia="宋体" w:cs="Times New Roman"/>
      <w:kern w:val="2"/>
      <w:sz w:val="21"/>
      <w:lang w:val="en-US" w:eastAsia="zh-CN" w:bidi="ar-SA"/>
    </w:rPr>
  </w:style>
  <w:style w:type="paragraph" w:styleId="4">
    <w:name w:val="table of authorities"/>
    <w:basedOn w:val="1"/>
    <w:next w:val="1"/>
    <w:qFormat/>
    <w:uiPriority w:val="99"/>
    <w:pPr>
      <w:ind w:left="420" w:leftChars="200"/>
    </w:pPr>
  </w:style>
  <w:style w:type="paragraph" w:styleId="5">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table" w:styleId="7">
    <w:name w:val="Table Grid"/>
    <w:basedOn w:val="6"/>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无间隔1"/>
    <w:qFormat/>
    <w:uiPriority w:val="99"/>
    <w:rPr>
      <w:rFonts w:ascii="Calibri" w:hAnsi="Calibri" w:eastAsia="宋体" w:cs="Times New Roman"/>
      <w:kern w:val="2"/>
      <w:sz w:val="21"/>
      <w:szCs w:val="22"/>
      <w:lang w:val="en-US" w:eastAsia="zh-CN" w:bidi="ar-SA"/>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4445</Words>
  <Characters>4625</Characters>
  <Lines>0</Lines>
  <Paragraphs>0</Paragraphs>
  <TotalTime>2</TotalTime>
  <ScaleCrop>false</ScaleCrop>
  <LinksUpToDate>false</LinksUpToDate>
  <CharactersWithSpaces>4661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2024-12-05T10:22:00Z</dcterms:created>
  <dc:creator>JIJUN</dc:creator>
  <cp:lastModifiedBy>123</cp:lastModifiedBy>
  <dcterms:modified xsi:type="dcterms:W3CDTF">2025-06-23T12:41:20Z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7D6ADCEAD4BC4EAA9E5870B22664E644_13</vt:lpwstr>
  </property>
  <property fmtid="{D5CDD505-2E9C-101B-9397-08002B2CF9AE}" pid="4" name="KSOTemplateDocerSaveRecord">
    <vt:lpwstr>eyJoZGlkIjoiMDlmY2JkMDU5ZTYyMzg5Mzk4NmNmNGJmZjc0MmRjOTMiLCJ1c2VySWQiOiIyNzQzNjA2MjIifQ==</vt:lpwstr>
  </property>
</Properties>
</file>