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三亚市公安局2025年信息化运维项目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-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服务合同</w:t>
      </w:r>
    </w:p>
    <w:p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注：采购人和中标单位应按照《财政部关于进一步加强政府采购需求和履约验收管理的指导意见》第二条第四项中“采购合同的具体条款应当包括项目的验收要求、与履约验收挂钩的资金支付条件及时间、争议处理规定、采购人及供应商各自权利义务等内容。采购需求、项目验收标准和程序应当作为采购合同的附件”的规定签订采购合同。</w:t>
      </w:r>
    </w:p>
    <w:p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合同通用条款(略)</w:t>
      </w:r>
    </w:p>
    <w:p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合同专用条款部分</w:t>
      </w: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甲方: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乙方: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</w:t>
      </w:r>
    </w:p>
    <w:p>
      <w:pPr>
        <w:snapToGrid w:val="0"/>
        <w:spacing w:before="19" w:line="360" w:lineRule="auto"/>
        <w:ind w:firstLine="6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甲乙双方根据202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年    月    日（项目编号: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采购</w:t>
      </w:r>
      <w:r>
        <w:rPr>
          <w:rFonts w:hint="eastAsia" w:ascii="宋体" w:hAnsi="宋体" w:cs="宋体"/>
          <w:color w:val="auto"/>
          <w:sz w:val="24"/>
          <w:highlight w:val="none"/>
        </w:rPr>
        <w:t>包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公开招标采购结果及招标文件的要求,经协商一致,达成如下服务购销合同:</w:t>
      </w:r>
      <w:bookmarkStart w:id="20" w:name="_GoBack"/>
      <w:bookmarkEnd w:id="20"/>
    </w:p>
    <w:p>
      <w:pPr>
        <w:snapToGrid w:val="0"/>
        <w:spacing w:before="19" w:line="360" w:lineRule="auto"/>
        <w:ind w:firstLine="60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bookmarkStart w:id="0" w:name="_Toc11934"/>
      <w:bookmarkStart w:id="1" w:name="_Toc2455"/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一、服务报价</w:t>
      </w:r>
      <w:bookmarkEnd w:id="0"/>
      <w:bookmarkEnd w:id="1"/>
    </w:p>
    <w:tbl>
      <w:tblPr>
        <w:tblStyle w:val="7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153"/>
        <w:gridCol w:w="2346"/>
        <w:gridCol w:w="3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5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34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307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01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53" w:type="dxa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2346" w:type="dxa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15" w:type="dxa"/>
            <w:tcBorders>
              <w:tr2bl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2153" w:type="dxa"/>
            <w:vAlign w:val="top"/>
          </w:tcPr>
          <w:p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   计</w:t>
            </w:r>
          </w:p>
        </w:tc>
        <w:tc>
          <w:tcPr>
            <w:tcW w:w="5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项目地点：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  <w:p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备注：该总金额包含本合同项下甲方应当支付的全部费用，与本合同相关的一切税费及不可预见费用均由乙方承担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eastAsia="zh-Hans"/>
              </w:rPr>
              <w:t>。</w:t>
            </w:r>
          </w:p>
        </w:tc>
      </w:tr>
    </w:tbl>
    <w:p>
      <w:pPr>
        <w:tabs>
          <w:tab w:val="left" w:pos="1980"/>
        </w:tabs>
        <w:snapToGrid w:val="0"/>
        <w:spacing w:before="19" w:line="360" w:lineRule="auto"/>
        <w:ind w:firstLine="480" w:firstLineChars="200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2" w:name="_Toc29585"/>
      <w:bookmarkStart w:id="3" w:name="_Toc18808"/>
      <w:bookmarkStart w:id="4" w:name="_Toc99"/>
      <w:r>
        <w:rPr>
          <w:rFonts w:hint="eastAsia" w:ascii="宋体" w:hAnsi="宋体"/>
          <w:color w:val="auto"/>
          <w:sz w:val="24"/>
          <w:highlight w:val="none"/>
        </w:rPr>
        <w:t>二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服务地点：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用户指定。</w:t>
      </w:r>
      <w:bookmarkEnd w:id="2"/>
      <w:bookmarkEnd w:id="3"/>
      <w:bookmarkEnd w:id="4"/>
      <w:r>
        <w:rPr>
          <w:rFonts w:hint="eastAsia" w:ascii="宋体" w:hAnsi="宋体"/>
          <w:b/>
          <w:bCs/>
          <w:color w:val="auto"/>
          <w:sz w:val="24"/>
          <w:highlight w:val="none"/>
        </w:rPr>
        <w:t xml:space="preserve"> 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cs="宋体"/>
          <w:color w:val="auto"/>
          <w:sz w:val="24"/>
          <w:highlight w:val="none"/>
        </w:rPr>
      </w:pPr>
      <w:bookmarkStart w:id="5" w:name="_Toc23278"/>
      <w:bookmarkStart w:id="6" w:name="_Toc20749"/>
      <w:bookmarkStart w:id="7" w:name="_Toc16793"/>
      <w:r>
        <w:rPr>
          <w:rFonts w:hint="eastAsia" w:ascii="宋体" w:hAnsi="宋体"/>
          <w:b/>
          <w:bCs/>
          <w:color w:val="auto"/>
          <w:sz w:val="24"/>
          <w:highlight w:val="none"/>
        </w:rPr>
        <w:t>三、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服务内容、要求、付款等其他事项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</w:rPr>
        <w:t>见采购需求。</w:t>
      </w:r>
      <w:bookmarkEnd w:id="5"/>
      <w:bookmarkEnd w:id="6"/>
      <w:bookmarkEnd w:id="7"/>
    </w:p>
    <w:p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bookmarkStart w:id="8" w:name="_Toc29037"/>
      <w:bookmarkStart w:id="9" w:name="_Toc25298"/>
      <w:bookmarkStart w:id="10" w:name="_Toc6973"/>
      <w:r>
        <w:rPr>
          <w:rFonts w:hint="eastAsia" w:ascii="宋体" w:hAnsi="宋体"/>
          <w:b/>
          <w:color w:val="auto"/>
          <w:sz w:val="24"/>
          <w:highlight w:val="none"/>
        </w:rPr>
        <w:t>四、知识产权：本项目交付成果和与之相关的全部知识产权归属甲方。</w:t>
      </w:r>
    </w:p>
    <w:p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五、违约责任：若乙方违约，甲方按《中华人民共和国民法典合同编》相关规定保留追究其相应责任的权利。（具体以实际签订合同为准）</w:t>
      </w:r>
    </w:p>
    <w:p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六、合同纠纷处理：</w:t>
      </w:r>
      <w:bookmarkEnd w:id="8"/>
      <w:bookmarkEnd w:id="9"/>
      <w:bookmarkEnd w:id="10"/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本合同执行过程中发生纠纷，作如下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处理：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1、由甲乙双方协商处理。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2、申请仲裁。仲裁机构为海南国际仲裁院三亚分院。</w:t>
      </w:r>
    </w:p>
    <w:p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3、提起诉讼。诉讼地点为采购人所在地。</w:t>
      </w:r>
    </w:p>
    <w:p>
      <w:pPr>
        <w:snapToGrid w:val="0"/>
        <w:spacing w:before="19" w:line="360" w:lineRule="auto"/>
        <w:ind w:firstLine="482" w:firstLineChars="200"/>
        <w:rPr>
          <w:rFonts w:hint="eastAsia" w:ascii="宋体" w:hAnsi="宋体"/>
          <w:color w:val="auto"/>
          <w:sz w:val="24"/>
          <w:highlight w:val="none"/>
        </w:rPr>
      </w:pPr>
      <w:bookmarkStart w:id="11" w:name="_Toc13425"/>
      <w:bookmarkStart w:id="12" w:name="_Toc21178"/>
      <w:bookmarkStart w:id="13" w:name="_Toc30538"/>
      <w:r>
        <w:rPr>
          <w:rFonts w:hint="eastAsia" w:ascii="宋体" w:hAnsi="宋体"/>
          <w:b/>
          <w:color w:val="auto"/>
          <w:sz w:val="24"/>
          <w:highlight w:val="none"/>
        </w:rPr>
        <w:t>七、合同生效：</w:t>
      </w:r>
      <w:r>
        <w:rPr>
          <w:rFonts w:hint="eastAsia" w:ascii="宋体" w:hAnsi="宋体"/>
          <w:color w:val="auto"/>
          <w:sz w:val="24"/>
          <w:highlight w:val="none"/>
        </w:rPr>
        <w:t>本合同由甲乙双方签字盖章后生效。</w:t>
      </w:r>
      <w:bookmarkEnd w:id="11"/>
      <w:bookmarkEnd w:id="12"/>
      <w:bookmarkEnd w:id="13"/>
    </w:p>
    <w:p>
      <w:pPr>
        <w:snapToGrid w:val="0"/>
        <w:spacing w:before="19"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</w:rPr>
      </w:pPr>
      <w:bookmarkStart w:id="14" w:name="_Toc7532"/>
      <w:bookmarkStart w:id="15" w:name="_Toc25210"/>
      <w:bookmarkStart w:id="16" w:name="_Toc28714"/>
      <w:r>
        <w:rPr>
          <w:rFonts w:hint="eastAsia" w:ascii="宋体" w:hAnsi="宋体"/>
          <w:b/>
          <w:color w:val="auto"/>
          <w:sz w:val="24"/>
          <w:highlight w:val="none"/>
        </w:rPr>
        <w:t>八、 合同鉴证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>采购代理机构应当在本合同上签章。</w:t>
      </w:r>
      <w:bookmarkEnd w:id="14"/>
      <w:bookmarkEnd w:id="15"/>
      <w:bookmarkEnd w:id="16"/>
    </w:p>
    <w:p>
      <w:pPr>
        <w:snapToGrid w:val="0"/>
        <w:spacing w:before="19"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</w:rPr>
      </w:pPr>
      <w:bookmarkStart w:id="17" w:name="_Toc2207"/>
      <w:bookmarkStart w:id="18" w:name="_Toc23706"/>
      <w:bookmarkStart w:id="19" w:name="_Toc1219"/>
      <w:r>
        <w:rPr>
          <w:rFonts w:hint="eastAsia" w:ascii="宋体" w:hAnsi="宋体"/>
          <w:b/>
          <w:color w:val="auto"/>
          <w:sz w:val="24"/>
          <w:highlight w:val="none"/>
        </w:rPr>
        <w:t>九、组成本合同的文件包括：</w:t>
      </w:r>
      <w:bookmarkEnd w:id="17"/>
      <w:bookmarkEnd w:id="18"/>
      <w:bookmarkEnd w:id="19"/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（一）合同通用条款和专用条款；</w:t>
      </w:r>
    </w:p>
    <w:p>
      <w:pPr>
        <w:snapToGrid w:val="0"/>
        <w:spacing w:before="19" w:line="360" w:lineRule="auto"/>
        <w:ind w:left="555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（二）乙方的开标一览表及报价明细表；</w:t>
      </w:r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（三）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中标</w:t>
      </w:r>
      <w:r>
        <w:rPr>
          <w:rFonts w:hint="eastAsia" w:ascii="宋体" w:hAnsi="宋体"/>
          <w:bCs/>
          <w:color w:val="auto"/>
          <w:sz w:val="24"/>
          <w:highlight w:val="none"/>
        </w:rPr>
        <w:t>通知书；</w:t>
      </w:r>
    </w:p>
    <w:p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（四）甲乙双方商定的其他必要文件。</w:t>
      </w:r>
    </w:p>
    <w:p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上述合同文件内容互为补充，如有不明确，由甲方负责解释。</w:t>
      </w:r>
    </w:p>
    <w:p>
      <w:pPr>
        <w:snapToGrid w:val="0"/>
        <w:spacing w:before="19" w:line="360" w:lineRule="auto"/>
        <w:ind w:firstLine="555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十、合同备案</w:t>
      </w:r>
    </w:p>
    <w:p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本合同一式肆份，中文书写。甲方执贰份、乙方、招标代理机构各执壹份。</w:t>
      </w: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：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户名：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开户银行：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账号：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  </w:t>
      </w:r>
    </w:p>
    <w:p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海南政采招投标有限公司（盖章）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  址：海口市国贸路49号中衡大厦13楼A座</w:t>
      </w:r>
    </w:p>
    <w:p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经办人：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>
      <w:pPr>
        <w:pStyle w:val="8"/>
        <w:rPr>
          <w:rFonts w:hint="eastAsia"/>
          <w:color w:val="auto"/>
          <w:highlight w:val="none"/>
        </w:rPr>
      </w:pPr>
    </w:p>
    <w:p>
      <w:pPr>
        <w:pStyle w:val="8"/>
        <w:rPr>
          <w:rFonts w:hint="eastAsia"/>
          <w:color w:val="auto"/>
          <w:highlight w:val="none"/>
        </w:rPr>
      </w:pPr>
    </w:p>
    <w:p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C6E37"/>
    <w:rsid w:val="032A4C70"/>
    <w:rsid w:val="18FC6E37"/>
    <w:rsid w:val="33650DA4"/>
    <w:rsid w:val="41CE268F"/>
    <w:rsid w:val="41FA1ECF"/>
    <w:rsid w:val="642401CF"/>
    <w:rsid w:val="66C814F3"/>
    <w:rsid w:val="6B0D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nhideWhenUsed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8">
    <w:name w:val="@正文"/>
    <w:basedOn w:val="1"/>
    <w:qFormat/>
    <w:uiPriority w:val="0"/>
    <w:pPr>
      <w:shd w:val="clear" w:color="auto" w:fill="FFFFFF"/>
      <w:spacing w:line="360" w:lineRule="auto"/>
      <w:ind w:firstLine="480" w:firstLineChars="200"/>
      <w:jc w:val="left"/>
    </w:pPr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2025-02-12T02:24:00Z</dcterms:created>
  <dc:creator>Y prince</dc:creator>
  <cp:lastModifiedBy>Administrator</cp:lastModifiedBy>
  <dcterms:modified xsi:type="dcterms:W3CDTF">2025-05-08T09:01:13Z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ECAC3986EBBC44B59C1571BB3E1A18EF_11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