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8A4B64">
      <w:pPr>
        <w:pageBreakBefore w:val="0"/>
        <w:kinsoku/>
        <w:wordWrap/>
        <w:overflowPunct/>
        <w:topLinePunct w:val="0"/>
        <w:bidi w:val="0"/>
        <w:spacing w:after="0" w:afterLines="0" w:line="360" w:lineRule="auto"/>
        <w:ind w:firstLine="0" w:firstLineChars="0"/>
        <w:textAlignment w:val="auto"/>
        <w:rPr>
          <w:color w:val="auto"/>
        </w:rPr>
      </w:pPr>
    </w:p>
    <w:p w14:paraId="08B9D897">
      <w:pPr>
        <w:pageBreakBefore w:val="0"/>
        <w:kinsoku/>
        <w:wordWrap/>
        <w:overflowPunct/>
        <w:topLinePunct w:val="0"/>
        <w:bidi w:val="0"/>
        <w:spacing w:after="0" w:afterLines="0" w:line="360" w:lineRule="auto"/>
        <w:ind w:left="0" w:leftChars="0" w:firstLine="0" w:firstLineChars="0"/>
        <w:textAlignment w:val="auto"/>
        <w:rPr>
          <w:color w:val="auto"/>
        </w:rPr>
      </w:pPr>
    </w:p>
    <w:p w14:paraId="2B49F367">
      <w:pPr>
        <w:pStyle w:val="86"/>
        <w:pageBreakBefore w:val="0"/>
        <w:kinsoku/>
        <w:overflowPunct/>
        <w:bidi w:val="0"/>
        <w:spacing w:after="0" w:afterLines="0" w:line="360" w:lineRule="auto"/>
        <w:textAlignment w:val="auto"/>
        <w:outlineLvl w:val="0"/>
        <w:rPr>
          <w:rFonts w:hint="eastAsia" w:ascii="宋体" w:hAnsi="宋体" w:eastAsia="宋体" w:cs="宋体"/>
          <w:color w:val="auto"/>
          <w:sz w:val="52"/>
          <w:szCs w:val="52"/>
        </w:rPr>
      </w:pPr>
      <w:bookmarkStart w:id="0" w:name="_Toc29857"/>
      <w:bookmarkStart w:id="1" w:name="_Toc18405"/>
      <w:bookmarkStart w:id="2" w:name="_Toc1438"/>
      <w:r>
        <w:rPr>
          <w:rFonts w:hint="eastAsia"/>
          <w:b/>
          <w:color w:val="auto"/>
          <w:spacing w:val="0"/>
          <w:w w:val="100"/>
          <w:sz w:val="52"/>
          <w:szCs w:val="52"/>
          <w:highlight w:val="none"/>
          <w:lang w:eastAsia="zh-CN"/>
        </w:rPr>
        <w:t>人大附中三亚学校消防系统及风雨连廊修复等项目</w:t>
      </w:r>
      <w:r>
        <w:rPr>
          <w:rFonts w:hint="eastAsia" w:ascii="黑体" w:eastAsia="黑体"/>
          <w:b/>
          <w:color w:val="auto"/>
          <w:spacing w:val="0"/>
          <w:w w:val="100"/>
          <w:sz w:val="52"/>
          <w:szCs w:val="52"/>
          <w:highlight w:val="none"/>
          <w:lang w:eastAsia="zh-CN"/>
        </w:rPr>
        <w:t>施工</w:t>
      </w:r>
      <w:r>
        <w:rPr>
          <w:rFonts w:hint="eastAsia" w:ascii="黑体" w:eastAsia="黑体"/>
          <w:b/>
          <w:color w:val="auto"/>
          <w:spacing w:val="0"/>
          <w:w w:val="100"/>
          <w:sz w:val="52"/>
          <w:szCs w:val="52"/>
          <w:highlight w:val="none"/>
        </w:rPr>
        <w:t>合同</w:t>
      </w:r>
      <w:bookmarkEnd w:id="0"/>
      <w:bookmarkEnd w:id="1"/>
      <w:bookmarkEnd w:id="2"/>
    </w:p>
    <w:p w14:paraId="036E5A13">
      <w:pPr>
        <w:pStyle w:val="86"/>
        <w:pageBreakBefore w:val="0"/>
        <w:kinsoku/>
        <w:overflowPunct/>
        <w:bidi w:val="0"/>
        <w:spacing w:after="0" w:afterLines="0" w:line="360" w:lineRule="auto"/>
        <w:textAlignment w:val="auto"/>
        <w:rPr>
          <w:rFonts w:ascii="华文中宋" w:hAnsi="华文中宋" w:eastAsia="华文中宋"/>
          <w:color w:val="auto"/>
          <w:sz w:val="40"/>
          <w:szCs w:val="40"/>
        </w:rPr>
      </w:pPr>
    </w:p>
    <w:p w14:paraId="64F53B99">
      <w:pPr>
        <w:pStyle w:val="86"/>
        <w:pageBreakBefore w:val="0"/>
        <w:kinsoku/>
        <w:overflowPunct/>
        <w:bidi w:val="0"/>
        <w:spacing w:after="0" w:afterLines="0" w:line="360" w:lineRule="auto"/>
        <w:textAlignment w:val="auto"/>
        <w:rPr>
          <w:rFonts w:ascii="华文中宋" w:hAnsi="华文中宋" w:eastAsia="华文中宋"/>
          <w:color w:val="auto"/>
          <w:sz w:val="40"/>
          <w:szCs w:val="40"/>
        </w:rPr>
      </w:pPr>
    </w:p>
    <w:p w14:paraId="45716E0E">
      <w:pPr>
        <w:pageBreakBefore w:val="0"/>
        <w:kinsoku/>
        <w:overflowPunct/>
        <w:bidi w:val="0"/>
        <w:spacing w:after="0" w:afterLines="0" w:line="360" w:lineRule="auto"/>
        <w:ind w:left="0" w:leftChars="0" w:firstLine="0" w:firstLineChars="0"/>
        <w:textAlignment w:val="auto"/>
        <w:rPr>
          <w:rFonts w:ascii="华文中宋" w:hAnsi="华文中宋" w:eastAsia="华文中宋"/>
          <w:color w:val="auto"/>
          <w:sz w:val="40"/>
          <w:szCs w:val="40"/>
        </w:rPr>
      </w:pPr>
    </w:p>
    <w:p w14:paraId="384AF983">
      <w:pPr>
        <w:pageBreakBefore w:val="0"/>
        <w:kinsoku/>
        <w:overflowPunct/>
        <w:bidi w:val="0"/>
        <w:spacing w:after="0" w:afterLines="0" w:line="360" w:lineRule="auto"/>
        <w:ind w:left="1400" w:leftChars="0" w:hanging="1400" w:hangingChars="500"/>
        <w:textAlignment w:val="auto"/>
        <w:rPr>
          <w:rFonts w:hint="eastAsia" w:ascii="黑体" w:eastAsia="黑体"/>
          <w:color w:val="auto"/>
          <w:spacing w:val="0"/>
          <w:w w:val="100"/>
          <w:sz w:val="28"/>
          <w:szCs w:val="28"/>
          <w:highlight w:val="none"/>
        </w:rPr>
      </w:pPr>
    </w:p>
    <w:p w14:paraId="39C44E86">
      <w:pPr>
        <w:pageBreakBefore w:val="0"/>
        <w:kinsoku/>
        <w:overflowPunct/>
        <w:bidi w:val="0"/>
        <w:spacing w:after="0" w:afterLines="0" w:line="360" w:lineRule="auto"/>
        <w:ind w:left="1400" w:leftChars="0" w:hanging="1400" w:hangingChars="500"/>
        <w:textAlignment w:val="auto"/>
        <w:rPr>
          <w:rFonts w:hint="eastAsia" w:ascii="黑体" w:eastAsia="黑体"/>
          <w:color w:val="auto"/>
          <w:spacing w:val="0"/>
          <w:w w:val="100"/>
          <w:sz w:val="28"/>
          <w:szCs w:val="28"/>
          <w:highlight w:val="none"/>
          <w:u w:val="single"/>
          <w:lang w:eastAsia="zh-CN"/>
        </w:rPr>
      </w:pPr>
      <w:r>
        <w:rPr>
          <w:rFonts w:hint="eastAsia" w:ascii="黑体" w:eastAsia="黑体"/>
          <w:color w:val="auto"/>
          <w:spacing w:val="0"/>
          <w:w w:val="100"/>
          <w:sz w:val="28"/>
          <w:szCs w:val="28"/>
          <w:highlight w:val="none"/>
        </w:rPr>
        <w:t>项目名称：</w:t>
      </w:r>
      <w:r>
        <w:rPr>
          <w:rFonts w:hint="eastAsia" w:ascii="黑体" w:eastAsia="黑体"/>
          <w:color w:val="auto"/>
          <w:spacing w:val="0"/>
          <w:w w:val="100"/>
          <w:sz w:val="28"/>
          <w:szCs w:val="28"/>
          <w:highlight w:val="none"/>
          <w:u w:val="single"/>
          <w:lang w:eastAsia="zh-CN"/>
        </w:rPr>
        <w:t>人大附中三亚学校消防系统及风雨连廊修复等项目</w:t>
      </w:r>
    </w:p>
    <w:p w14:paraId="7529A47C">
      <w:pPr>
        <w:pageBreakBefore w:val="0"/>
        <w:kinsoku/>
        <w:overflowPunct/>
        <w:bidi w:val="0"/>
        <w:spacing w:after="0" w:afterLines="0" w:line="360" w:lineRule="auto"/>
        <w:ind w:left="0" w:leftChars="0" w:firstLine="0" w:firstLineChars="0"/>
        <w:textAlignment w:val="auto"/>
        <w:rPr>
          <w:rFonts w:hint="default" w:ascii="黑体" w:eastAsia="黑体"/>
          <w:color w:val="auto"/>
          <w:spacing w:val="0"/>
          <w:w w:val="100"/>
          <w:sz w:val="28"/>
          <w:szCs w:val="28"/>
          <w:highlight w:val="none"/>
          <w:lang w:val="en-US" w:eastAsia="zh-CN"/>
        </w:rPr>
      </w:pPr>
      <w:r>
        <w:rPr>
          <w:rFonts w:hint="eastAsia" w:ascii="黑体" w:eastAsia="黑体"/>
          <w:color w:val="auto"/>
          <w:spacing w:val="0"/>
          <w:w w:val="100"/>
          <w:sz w:val="28"/>
          <w:szCs w:val="28"/>
          <w:highlight w:val="none"/>
        </w:rPr>
        <w:t>项目地点：</w:t>
      </w:r>
      <w:r>
        <w:rPr>
          <w:rFonts w:hint="eastAsia" w:ascii="黑体" w:eastAsia="黑体"/>
          <w:color w:val="auto"/>
          <w:spacing w:val="0"/>
          <w:w w:val="100"/>
          <w:sz w:val="28"/>
          <w:szCs w:val="28"/>
          <w:highlight w:val="none"/>
          <w:u w:val="single"/>
          <w:lang w:val="en-US" w:eastAsia="zh-CN"/>
        </w:rPr>
        <w:t>三亚市</w:t>
      </w:r>
      <w:r>
        <w:rPr>
          <w:rFonts w:hint="eastAsia" w:ascii="黑体" w:eastAsia="黑体"/>
          <w:color w:val="auto"/>
          <w:spacing w:val="0"/>
          <w:w w:val="100"/>
          <w:sz w:val="28"/>
          <w:szCs w:val="28"/>
          <w:highlight w:val="none"/>
        </w:rPr>
        <w:t xml:space="preserve">            </w:t>
      </w:r>
    </w:p>
    <w:p w14:paraId="4AF37751">
      <w:pPr>
        <w:pageBreakBefore w:val="0"/>
        <w:kinsoku/>
        <w:overflowPunct/>
        <w:bidi w:val="0"/>
        <w:spacing w:after="0" w:afterLines="0" w:line="360" w:lineRule="auto"/>
        <w:ind w:left="0" w:leftChars="0" w:firstLine="0" w:firstLineChars="0"/>
        <w:textAlignment w:val="auto"/>
        <w:rPr>
          <w:rFonts w:hint="default" w:ascii="黑体" w:eastAsia="黑体"/>
          <w:color w:val="auto"/>
          <w:spacing w:val="0"/>
          <w:w w:val="100"/>
          <w:sz w:val="28"/>
          <w:szCs w:val="28"/>
          <w:highlight w:val="none"/>
          <w:u w:val="single"/>
          <w:lang w:val="en-US" w:eastAsia="zh-CN"/>
        </w:rPr>
      </w:pPr>
      <w:r>
        <w:rPr>
          <w:rFonts w:hint="eastAsia" w:ascii="黑体" w:eastAsia="黑体"/>
          <w:color w:val="auto"/>
          <w:spacing w:val="0"/>
          <w:w w:val="100"/>
          <w:sz w:val="28"/>
          <w:szCs w:val="28"/>
          <w:highlight w:val="none"/>
        </w:rPr>
        <w:t>发 包 人：</w:t>
      </w:r>
      <w:r>
        <w:rPr>
          <w:rFonts w:hint="eastAsia" w:ascii="黑体" w:eastAsia="黑体"/>
          <w:color w:val="auto"/>
          <w:spacing w:val="0"/>
          <w:w w:val="100"/>
          <w:sz w:val="28"/>
          <w:szCs w:val="28"/>
          <w:highlight w:val="none"/>
          <w:u w:val="single"/>
          <w:lang w:eastAsia="zh-CN"/>
        </w:rPr>
        <w:t>三亚市教育局</w:t>
      </w:r>
      <w:r>
        <w:rPr>
          <w:rFonts w:hint="eastAsia" w:ascii="黑体" w:eastAsia="黑体"/>
          <w:color w:val="auto"/>
          <w:spacing w:val="0"/>
          <w:w w:val="100"/>
          <w:sz w:val="28"/>
          <w:szCs w:val="28"/>
          <w:highlight w:val="none"/>
          <w:u w:val="single"/>
          <w:lang w:val="en-US" w:eastAsia="zh-CN"/>
        </w:rPr>
        <w:t xml:space="preserve">  </w:t>
      </w:r>
    </w:p>
    <w:p w14:paraId="381D38BC">
      <w:pPr>
        <w:pageBreakBefore w:val="0"/>
        <w:kinsoku/>
        <w:overflowPunct/>
        <w:bidi w:val="0"/>
        <w:spacing w:after="0" w:afterLines="0" w:line="360" w:lineRule="auto"/>
        <w:ind w:left="0" w:leftChars="0" w:firstLine="0" w:firstLineChars="0"/>
        <w:textAlignment w:val="auto"/>
        <w:rPr>
          <w:rFonts w:hint="default" w:ascii="黑体" w:eastAsia="黑体"/>
          <w:color w:val="auto"/>
          <w:spacing w:val="0"/>
          <w:w w:val="100"/>
          <w:sz w:val="28"/>
          <w:szCs w:val="28"/>
          <w:highlight w:val="none"/>
          <w:u w:val="single"/>
          <w:lang w:val="en-US" w:eastAsia="zh-CN"/>
        </w:rPr>
      </w:pPr>
      <w:r>
        <w:rPr>
          <w:rFonts w:hint="eastAsia" w:ascii="黑体" w:eastAsia="黑体"/>
          <w:color w:val="auto"/>
          <w:spacing w:val="0"/>
          <w:w w:val="100"/>
          <w:sz w:val="28"/>
          <w:szCs w:val="28"/>
          <w:highlight w:val="none"/>
        </w:rPr>
        <w:t>承 包 人：</w:t>
      </w:r>
      <w:r>
        <w:rPr>
          <w:rFonts w:hint="eastAsia" w:ascii="黑体" w:eastAsia="黑体"/>
          <w:color w:val="auto"/>
          <w:spacing w:val="0"/>
          <w:w w:val="100"/>
          <w:sz w:val="28"/>
          <w:szCs w:val="28"/>
          <w:highlight w:val="none"/>
          <w:u w:val="single"/>
          <w:lang w:val="en-US" w:eastAsia="zh-CN"/>
        </w:rPr>
        <w:t xml:space="preserve">                                   </w:t>
      </w:r>
    </w:p>
    <w:p w14:paraId="2CAE6301">
      <w:pPr>
        <w:pageBreakBefore w:val="0"/>
        <w:kinsoku/>
        <w:overflowPunct/>
        <w:bidi w:val="0"/>
        <w:spacing w:after="0" w:afterLines="0" w:line="360" w:lineRule="auto"/>
        <w:ind w:left="0" w:leftChars="0" w:firstLine="0" w:firstLineChars="0"/>
        <w:textAlignment w:val="auto"/>
        <w:rPr>
          <w:rFonts w:hint="eastAsia" w:ascii="黑体" w:eastAsia="黑体"/>
          <w:color w:val="auto"/>
          <w:spacing w:val="0"/>
          <w:w w:val="100"/>
          <w:sz w:val="28"/>
          <w:szCs w:val="28"/>
          <w:highlight w:val="none"/>
        </w:rPr>
      </w:pPr>
      <w:r>
        <w:rPr>
          <w:rFonts w:hint="eastAsia" w:ascii="黑体" w:eastAsia="黑体"/>
          <w:color w:val="auto"/>
          <w:spacing w:val="0"/>
          <w:w w:val="100"/>
          <w:sz w:val="28"/>
          <w:szCs w:val="28"/>
          <w:highlight w:val="none"/>
        </w:rPr>
        <w:t xml:space="preserve">签订日期： </w:t>
      </w:r>
      <w:bookmarkStart w:id="3" w:name="_Toc521267369"/>
      <w:r>
        <w:rPr>
          <w:rFonts w:hint="eastAsia" w:ascii="黑体" w:eastAsia="黑体"/>
          <w:color w:val="auto"/>
          <w:spacing w:val="0"/>
          <w:w w:val="100"/>
          <w:sz w:val="28"/>
          <w:szCs w:val="28"/>
          <w:highlight w:val="none"/>
          <w:u w:val="single"/>
          <w:lang w:val="en-US" w:eastAsia="zh-CN"/>
        </w:rPr>
        <w:t>2025年 月 日</w:t>
      </w:r>
    </w:p>
    <w:p w14:paraId="763905F7">
      <w:pPr>
        <w:pStyle w:val="2"/>
        <w:pageBreakBefore w:val="0"/>
        <w:kinsoku/>
        <w:overflowPunct/>
        <w:bidi w:val="0"/>
        <w:spacing w:after="0" w:afterLines="0" w:line="360" w:lineRule="auto"/>
        <w:textAlignment w:val="auto"/>
        <w:rPr>
          <w:rFonts w:hint="eastAsia" w:ascii="黑体" w:eastAsia="黑体"/>
          <w:color w:val="auto"/>
          <w:spacing w:val="0"/>
          <w:w w:val="100"/>
          <w:sz w:val="28"/>
          <w:szCs w:val="28"/>
          <w:highlight w:val="none"/>
        </w:rPr>
      </w:pPr>
    </w:p>
    <w:p w14:paraId="7E42CB3D">
      <w:pPr>
        <w:pageBreakBefore w:val="0"/>
        <w:kinsoku/>
        <w:overflowPunct/>
        <w:bidi w:val="0"/>
        <w:spacing w:after="0" w:afterLines="0" w:line="360" w:lineRule="auto"/>
        <w:textAlignment w:val="auto"/>
        <w:rPr>
          <w:color w:val="auto"/>
        </w:rPr>
      </w:pPr>
    </w:p>
    <w:p w14:paraId="20A85BD8">
      <w:pPr>
        <w:pStyle w:val="2"/>
        <w:pageBreakBefore w:val="0"/>
        <w:kinsoku/>
        <w:overflowPunct/>
        <w:bidi w:val="0"/>
        <w:spacing w:after="0" w:afterLines="0" w:line="360" w:lineRule="auto"/>
        <w:textAlignment w:val="auto"/>
        <w:rPr>
          <w:color w:val="auto"/>
        </w:rPr>
      </w:pPr>
    </w:p>
    <w:p w14:paraId="171D080D">
      <w:pPr>
        <w:pageBreakBefore w:val="0"/>
        <w:kinsoku/>
        <w:overflowPunct/>
        <w:bidi w:val="0"/>
        <w:spacing w:after="0" w:afterLines="0" w:line="360" w:lineRule="auto"/>
        <w:textAlignment w:val="auto"/>
        <w:rPr>
          <w:color w:val="auto"/>
        </w:rPr>
      </w:pPr>
    </w:p>
    <w:p w14:paraId="5CD21EEC">
      <w:pPr>
        <w:pStyle w:val="2"/>
        <w:pageBreakBefore w:val="0"/>
        <w:kinsoku/>
        <w:overflowPunct/>
        <w:bidi w:val="0"/>
        <w:spacing w:after="0" w:afterLines="0" w:line="360" w:lineRule="auto"/>
        <w:textAlignment w:val="auto"/>
      </w:pPr>
    </w:p>
    <w:p w14:paraId="3F0845E3">
      <w:pPr>
        <w:pageBreakBefore w:val="0"/>
        <w:kinsoku/>
        <w:overflowPunct/>
        <w:bidi w:val="0"/>
        <w:spacing w:after="0" w:afterLines="0" w:line="360" w:lineRule="auto"/>
        <w:ind w:left="0" w:leftChars="0" w:right="0" w:rightChars="0" w:firstLine="0" w:firstLineChars="0"/>
        <w:jc w:val="both"/>
        <w:textAlignment w:val="auto"/>
        <w:rPr>
          <w:rFonts w:ascii="宋体" w:hAnsi="宋体" w:eastAsia="宋体"/>
          <w:color w:val="auto"/>
          <w:sz w:val="21"/>
        </w:rPr>
      </w:pPr>
    </w:p>
    <w:p w14:paraId="4CF77F85">
      <w:pPr>
        <w:pStyle w:val="2"/>
        <w:pageBreakBefore w:val="0"/>
        <w:kinsoku/>
        <w:overflowPunct/>
        <w:bidi w:val="0"/>
        <w:spacing w:after="0" w:afterLines="0" w:line="360" w:lineRule="auto"/>
        <w:textAlignment w:val="auto"/>
        <w:rPr>
          <w:color w:val="auto"/>
        </w:rPr>
      </w:pPr>
    </w:p>
    <w:p w14:paraId="6B3263FB">
      <w:pPr>
        <w:pageBreakBefore w:val="0"/>
        <w:kinsoku/>
        <w:overflowPunct/>
        <w:bidi w:val="0"/>
        <w:spacing w:after="0" w:afterLines="0" w:line="360" w:lineRule="auto"/>
        <w:ind w:left="0" w:leftChars="0" w:right="0" w:rightChars="0" w:firstLine="0" w:firstLineChars="0"/>
        <w:jc w:val="center"/>
        <w:textAlignment w:val="auto"/>
        <w:rPr>
          <w:rFonts w:ascii="宋体" w:hAnsi="宋体" w:eastAsia="宋体"/>
          <w:color w:val="auto"/>
          <w:sz w:val="21"/>
          <w:szCs w:val="21"/>
        </w:rPr>
        <w:sectPr>
          <w:type w:val="continuous"/>
          <w:pgSz w:w="11906" w:h="16838"/>
          <w:pgMar w:top="1440" w:right="1800" w:bottom="1440" w:left="1800" w:header="720" w:footer="998" w:gutter="0"/>
          <w:pgNumType w:start="1"/>
          <w:cols w:space="720" w:num="1"/>
          <w:titlePg/>
          <w:docGrid w:linePitch="326" w:charSpace="0"/>
        </w:sectPr>
      </w:pPr>
    </w:p>
    <w:bookmarkEnd w:id="3"/>
    <w:p w14:paraId="3DCC7A2D">
      <w:pPr>
        <w:pStyle w:val="6"/>
        <w:pageBreakBefore w:val="0"/>
        <w:kinsoku/>
        <w:overflowPunct/>
        <w:bidi w:val="0"/>
        <w:spacing w:after="0" w:afterLines="0" w:line="360" w:lineRule="auto"/>
        <w:jc w:val="center"/>
        <w:textAlignment w:val="auto"/>
        <w:rPr>
          <w:color w:val="auto"/>
          <w:highlight w:val="none"/>
        </w:rPr>
      </w:pPr>
      <w:bookmarkStart w:id="4" w:name="_Toc9425"/>
      <w:bookmarkStart w:id="5" w:name="_Toc4872"/>
      <w:r>
        <w:rPr>
          <w:color w:val="auto"/>
          <w:highlight w:val="none"/>
        </w:rPr>
        <w:t>第一部分 合同协议书</w:t>
      </w:r>
      <w:bookmarkEnd w:id="4"/>
      <w:bookmarkEnd w:id="5"/>
    </w:p>
    <w:p w14:paraId="28FCDB9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p>
    <w:p w14:paraId="523407E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lang w:eastAsia="zh-CN"/>
        </w:rPr>
        <w:t>三亚市教育局</w:t>
      </w:r>
    </w:p>
    <w:p w14:paraId="66C6B015">
      <w:pPr>
        <w:pageBreakBefore w:val="0"/>
        <w:kinsoku/>
        <w:wordWrap/>
        <w:overflowPunct/>
        <w:topLinePunct w:val="0"/>
        <w:bidi w:val="0"/>
        <w:spacing w:after="0" w:afterLines="0" w:line="360" w:lineRule="auto"/>
        <w:ind w:firstLine="6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lang w:val="en-US" w:eastAsia="zh-CN"/>
        </w:rPr>
        <w:t xml:space="preserve">                                </w:t>
      </w:r>
    </w:p>
    <w:p w14:paraId="1DAA3F9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根据《中华人民共和国民法典》、《中华人民共和国建筑法》及有关法律规定，遵循平等、自愿、公平和诚实信用的原则，双方就</w:t>
      </w:r>
      <w:r>
        <w:rPr>
          <w:rFonts w:hint="eastAsia" w:eastAsia="宋体" w:cs="宋体"/>
          <w:color w:val="auto"/>
          <w:sz w:val="21"/>
          <w:szCs w:val="21"/>
          <w:u w:val="single"/>
          <w:lang w:eastAsia="zh-CN"/>
        </w:rPr>
        <w:t>人大附中三亚学校消防系统及风雨连廊修复等项目</w:t>
      </w:r>
      <w:r>
        <w:rPr>
          <w:rFonts w:hint="eastAsia" w:ascii="宋体" w:hAnsi="宋体" w:eastAsia="宋体" w:cs="宋体"/>
          <w:color w:val="auto"/>
          <w:sz w:val="21"/>
          <w:szCs w:val="21"/>
        </w:rPr>
        <w:t>的工程</w:t>
      </w:r>
      <w:r>
        <w:rPr>
          <w:rFonts w:hint="eastAsia" w:ascii="宋体" w:hAnsi="宋体" w:eastAsia="宋体" w:cs="宋体"/>
          <w:color w:val="auto"/>
          <w:sz w:val="21"/>
          <w:szCs w:val="21"/>
          <w:lang w:eastAsia="zh-CN"/>
        </w:rPr>
        <w:t>施工</w:t>
      </w:r>
      <w:r>
        <w:rPr>
          <w:rFonts w:hint="eastAsia" w:ascii="宋体" w:hAnsi="宋体" w:eastAsia="宋体" w:cs="宋体"/>
          <w:color w:val="auto"/>
          <w:sz w:val="21"/>
          <w:szCs w:val="21"/>
        </w:rPr>
        <w:t>及有关事项协商一致，共同达成如下协议：</w:t>
      </w:r>
    </w:p>
    <w:p w14:paraId="7E39FBF9">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6" w:name="_Toc54862165"/>
      <w:bookmarkStart w:id="7" w:name="_Toc1181"/>
      <w:r>
        <w:rPr>
          <w:rFonts w:hint="eastAsia" w:ascii="宋体" w:hAnsi="宋体" w:eastAsia="宋体" w:cs="宋体"/>
          <w:b/>
          <w:bCs w:val="0"/>
          <w:color w:val="auto"/>
          <w:sz w:val="21"/>
          <w:szCs w:val="21"/>
        </w:rPr>
        <w:t>一、工程概况</w:t>
      </w:r>
      <w:bookmarkEnd w:id="6"/>
      <w:bookmarkEnd w:id="7"/>
    </w:p>
    <w:p w14:paraId="4EEE0537">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 工程名称：</w:t>
      </w:r>
      <w:r>
        <w:rPr>
          <w:rFonts w:hint="eastAsia" w:eastAsia="宋体" w:cs="宋体"/>
          <w:color w:val="auto"/>
          <w:sz w:val="21"/>
          <w:szCs w:val="21"/>
          <w:u w:val="single"/>
          <w:lang w:eastAsia="zh-CN"/>
        </w:rPr>
        <w:t>人大附中三亚学校消防系统及风雨连廊修复等项目</w:t>
      </w:r>
      <w:r>
        <w:rPr>
          <w:rFonts w:hint="eastAsia" w:ascii="宋体" w:hAnsi="宋体" w:eastAsia="宋体" w:cs="宋体"/>
          <w:color w:val="auto"/>
          <w:sz w:val="21"/>
          <w:szCs w:val="21"/>
        </w:rPr>
        <w:t>。</w:t>
      </w:r>
    </w:p>
    <w:p w14:paraId="6A252198">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 工程地点：</w:t>
      </w:r>
      <w:r>
        <w:rPr>
          <w:rFonts w:hint="eastAsia" w:ascii="宋体" w:hAnsi="宋体" w:eastAsia="宋体" w:cs="宋体"/>
          <w:color w:val="auto"/>
          <w:sz w:val="21"/>
          <w:szCs w:val="21"/>
          <w:u w:val="single"/>
          <w:lang w:val="en-US" w:eastAsia="zh-CN"/>
        </w:rPr>
        <w:t>三亚市</w:t>
      </w:r>
      <w:r>
        <w:rPr>
          <w:rFonts w:hint="eastAsia" w:ascii="宋体" w:hAnsi="宋体" w:eastAsia="宋体" w:cs="宋体"/>
          <w:color w:val="auto"/>
          <w:sz w:val="21"/>
          <w:szCs w:val="21"/>
        </w:rPr>
        <w:t>。</w:t>
      </w:r>
    </w:p>
    <w:p w14:paraId="283BF8B8">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 工程审批、核准或备案文号：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90B56D2">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 资金来源：</w:t>
      </w:r>
      <w:r>
        <w:rPr>
          <w:rFonts w:hint="eastAsia" w:eastAsia="宋体" w:cs="宋体"/>
          <w:color w:val="auto"/>
          <w:sz w:val="21"/>
          <w:szCs w:val="21"/>
          <w:highlight w:val="none"/>
          <w:u w:val="single"/>
          <w:lang w:eastAsia="zh-CN"/>
        </w:rPr>
        <w:t xml:space="preserve"> </w:t>
      </w:r>
      <w:r>
        <w:rPr>
          <w:rFonts w:hint="eastAsia" w:eastAsia="宋体" w:cs="宋体"/>
          <w:color w:val="auto"/>
          <w:sz w:val="21"/>
          <w:szCs w:val="21"/>
          <w:highlight w:val="none"/>
          <w:u w:val="single"/>
          <w:lang w:val="en-US" w:eastAsia="zh-CN"/>
        </w:rPr>
        <w:t>政府投资</w:t>
      </w:r>
      <w:r>
        <w:rPr>
          <w:rFonts w:hint="eastAsia"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4EF662EE">
      <w:pPr>
        <w:pageBreakBefore w:val="0"/>
        <w:kinsoku/>
        <w:overflowPunct/>
        <w:bidi w:val="0"/>
        <w:spacing w:after="0" w:afterLines="0" w:line="360" w:lineRule="auto"/>
        <w:ind w:firstLine="6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5. 工程内容及规模：</w:t>
      </w:r>
      <w:r>
        <w:rPr>
          <w:rFonts w:hint="eastAsia" w:ascii="宋体" w:hAnsi="宋体" w:eastAsia="宋体" w:cs="宋体"/>
          <w:color w:val="auto"/>
          <w:sz w:val="21"/>
          <w:szCs w:val="21"/>
          <w:u w:val="single"/>
          <w:lang w:val="en-US" w:eastAsia="zh-CN"/>
        </w:rPr>
        <w:t>建设内容为人大附中三亚学校消防系统及风雨连廊修复等项目。本工程位于三亚市。项目对风雨连廊维修改造，校园室外光缆更换，新增不锈钢栏杆，中外宿舍、中学宿舍、小学宿舍进行改造。</w:t>
      </w:r>
    </w:p>
    <w:p w14:paraId="31455E14">
      <w:pPr>
        <w:pageBreakBefore w:val="0"/>
        <w:kinsoku/>
        <w:overflowPunct/>
        <w:bidi w:val="0"/>
        <w:spacing w:after="0" w:afterLines="0" w:line="360"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 工程承包范围：</w:t>
      </w:r>
      <w:r>
        <w:rPr>
          <w:rFonts w:hint="eastAsia" w:ascii="宋体" w:hAnsi="宋体" w:eastAsia="宋体" w:cs="宋体"/>
          <w:color w:val="auto"/>
          <w:sz w:val="21"/>
          <w:szCs w:val="21"/>
          <w:u w:val="single"/>
          <w:lang w:val="en-US" w:eastAsia="zh-CN"/>
        </w:rPr>
        <w:t>工程施工（按招标人提供的工程量清单及施工图与相关补充文件包含的所有工程）。</w:t>
      </w:r>
    </w:p>
    <w:p w14:paraId="6930BB8B">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8" w:name="_Toc16889"/>
      <w:bookmarkStart w:id="9" w:name="_Toc54862166"/>
      <w:r>
        <w:rPr>
          <w:rFonts w:hint="eastAsia" w:ascii="宋体" w:hAnsi="宋体" w:eastAsia="宋体" w:cs="宋体"/>
          <w:b/>
          <w:bCs w:val="0"/>
          <w:color w:val="auto"/>
          <w:sz w:val="21"/>
          <w:szCs w:val="21"/>
        </w:rPr>
        <w:t>二、合同工期</w:t>
      </w:r>
      <w:bookmarkEnd w:id="8"/>
      <w:bookmarkEnd w:id="9"/>
    </w:p>
    <w:p w14:paraId="1C0B195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计划开始工作日期：</w:t>
      </w:r>
      <w:r>
        <w:rPr>
          <w:rFonts w:hint="eastAsia" w:eastAsia="宋体" w:cs="宋体"/>
          <w:color w:val="auto"/>
          <w:sz w:val="21"/>
          <w:szCs w:val="21"/>
          <w:u w:val="single"/>
          <w:lang w:val="en-US" w:eastAsia="zh-CN"/>
        </w:rPr>
        <w:t>2025年 月 日</w:t>
      </w:r>
      <w:r>
        <w:rPr>
          <w:rFonts w:hint="eastAsia" w:ascii="宋体" w:hAnsi="宋体" w:eastAsia="宋体" w:cs="宋体"/>
          <w:color w:val="auto"/>
          <w:sz w:val="21"/>
          <w:szCs w:val="21"/>
        </w:rPr>
        <w:t>。</w:t>
      </w:r>
    </w:p>
    <w:p w14:paraId="65C9D60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计划开始现场施工日期：</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年</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月</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日。</w:t>
      </w:r>
    </w:p>
    <w:p w14:paraId="3619491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计划竣工日期：</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年</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月</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日。</w:t>
      </w:r>
    </w:p>
    <w:p w14:paraId="053BBB2A">
      <w:pPr>
        <w:pageBreakBefore w:val="0"/>
        <w:kinsoku/>
        <w:overflowPunct/>
        <w:bidi w:val="0"/>
        <w:spacing w:after="0" w:afterLines="0" w:line="360" w:lineRule="auto"/>
        <w:ind w:firstLine="459"/>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工期总日历天数：</w:t>
      </w:r>
      <w:r>
        <w:rPr>
          <w:rFonts w:hint="eastAsia" w:ascii="宋体" w:hAnsi="宋体" w:eastAsia="宋体" w:cs="宋体"/>
          <w:color w:val="auto"/>
          <w:sz w:val="21"/>
          <w:szCs w:val="21"/>
          <w:u w:val="single"/>
          <w:lang w:eastAsia="zh-CN"/>
        </w:rPr>
        <w:t xml:space="preserve"> </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lang w:eastAsia="zh-CN"/>
        </w:rPr>
        <w:t>天。</w:t>
      </w:r>
      <w:r>
        <w:rPr>
          <w:rFonts w:hint="eastAsia" w:ascii="宋体" w:hAnsi="宋体" w:eastAsia="宋体" w:cs="宋体"/>
          <w:color w:val="auto"/>
          <w:sz w:val="21"/>
          <w:szCs w:val="21"/>
        </w:rPr>
        <w:t>工期总日历天数与根据前述计划开竣工日期计算的工期天数不一致的，以工期总日历天数为准。</w:t>
      </w:r>
    </w:p>
    <w:p w14:paraId="4D0DEFD4">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0" w:name="_Toc54862167"/>
      <w:bookmarkStart w:id="11" w:name="_Toc29279"/>
      <w:r>
        <w:rPr>
          <w:rFonts w:hint="eastAsia" w:ascii="宋体" w:hAnsi="宋体" w:eastAsia="宋体" w:cs="宋体"/>
          <w:b/>
          <w:bCs w:val="0"/>
          <w:color w:val="auto"/>
          <w:sz w:val="21"/>
          <w:szCs w:val="21"/>
        </w:rPr>
        <w:t>三、质量标准</w:t>
      </w:r>
      <w:bookmarkEnd w:id="10"/>
      <w:bookmarkEnd w:id="11"/>
    </w:p>
    <w:p w14:paraId="70FC8C6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u w:val="single"/>
        </w:rPr>
        <w:t>合格。</w:t>
      </w:r>
    </w:p>
    <w:p w14:paraId="08CAF8F9">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2" w:name="_Toc12075"/>
      <w:bookmarkStart w:id="13" w:name="_Toc54862168"/>
      <w:r>
        <w:rPr>
          <w:rFonts w:hint="eastAsia" w:ascii="宋体" w:hAnsi="宋体" w:eastAsia="宋体" w:cs="宋体"/>
          <w:b/>
          <w:bCs w:val="0"/>
          <w:color w:val="auto"/>
          <w:sz w:val="21"/>
          <w:szCs w:val="21"/>
          <w:lang w:val="en-US" w:eastAsia="zh-CN"/>
        </w:rPr>
        <w:t>四、</w:t>
      </w:r>
      <w:r>
        <w:rPr>
          <w:rFonts w:hint="eastAsia" w:ascii="宋体" w:hAnsi="宋体" w:eastAsia="宋体" w:cs="宋体"/>
          <w:b/>
          <w:bCs w:val="0"/>
          <w:color w:val="auto"/>
          <w:sz w:val="21"/>
          <w:szCs w:val="21"/>
        </w:rPr>
        <w:t>签约合同价与合同价格形式</w:t>
      </w:r>
      <w:bookmarkEnd w:id="12"/>
      <w:bookmarkEnd w:id="13"/>
    </w:p>
    <w:p w14:paraId="523EE314">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1.签约合同价为中标人的中标价：</w:t>
      </w:r>
    </w:p>
    <w:p w14:paraId="6D856396">
      <w:pPr>
        <w:pageBreakBefore w:val="0"/>
        <w:kinsoku/>
        <w:overflowPunct/>
        <w:bidi w:val="0"/>
        <w:spacing w:after="0" w:afterLines="0" w:line="360" w:lineRule="auto"/>
        <w:ind w:firstLine="525" w:firstLineChars="2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olor w:val="auto"/>
          <w:sz w:val="21"/>
          <w:szCs w:val="21"/>
          <w:highlight w:val="none"/>
          <w:u w:val="single"/>
        </w:rPr>
        <w:t xml:space="preserve">       </w:t>
      </w:r>
      <w:r>
        <w:rPr>
          <w:rFonts w:hint="eastAsia" w:cs="宋体"/>
          <w:color w:val="auto"/>
          <w:sz w:val="21"/>
          <w:szCs w:val="21"/>
          <w:highlight w:val="none"/>
        </w:rPr>
        <w:t>元)，其中：</w:t>
      </w:r>
    </w:p>
    <w:p w14:paraId="04168AB3">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（1）安全文明施工费：</w:t>
      </w:r>
    </w:p>
    <w:p w14:paraId="0F0302C7">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024E6BD">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（2）材料和工程设备暂估价金额：</w:t>
      </w:r>
    </w:p>
    <w:p w14:paraId="587907F4">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1893B2C7">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（3）专业工程暂估价金额：</w:t>
      </w:r>
    </w:p>
    <w:p w14:paraId="746E6767">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7DE37DDE">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（4）暂列金额：</w:t>
      </w:r>
    </w:p>
    <w:p w14:paraId="0FB59E49">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9C4C989">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2.合同价格形式：</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（合同约定可调价格除外）</w:t>
      </w:r>
      <w:r>
        <w:rPr>
          <w:rFonts w:hint="eastAsia" w:cs="宋体"/>
          <w:color w:val="auto"/>
          <w:sz w:val="21"/>
          <w:szCs w:val="21"/>
          <w:highlight w:val="none"/>
        </w:rPr>
        <w:t>。</w:t>
      </w:r>
    </w:p>
    <w:p w14:paraId="6D2DA847">
      <w:pPr>
        <w:pageBreakBefore w:val="0"/>
        <w:kinsoku/>
        <w:overflowPunct/>
        <w:bidi w:val="0"/>
        <w:spacing w:after="0" w:afterLines="0" w:line="360" w:lineRule="auto"/>
        <w:ind w:firstLine="420" w:firstLineChars="200"/>
        <w:textAlignment w:val="auto"/>
        <w:rPr>
          <w:rFonts w:hint="eastAsia"/>
        </w:rPr>
      </w:pPr>
      <w:r>
        <w:rPr>
          <w:rFonts w:hint="eastAsia" w:cs="宋体"/>
          <w:color w:val="auto"/>
          <w:sz w:val="21"/>
          <w:szCs w:val="21"/>
          <w:highlight w:val="none"/>
        </w:rPr>
        <w:t>3.合同中标下浮率：</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B3234D6">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4" w:name="_Toc54862169"/>
      <w:bookmarkStart w:id="15" w:name="_Toc18587"/>
      <w:r>
        <w:rPr>
          <w:rFonts w:hint="eastAsia" w:ascii="宋体" w:hAnsi="宋体" w:eastAsia="宋体" w:cs="宋体"/>
          <w:b/>
          <w:bCs w:val="0"/>
          <w:color w:val="auto"/>
          <w:sz w:val="21"/>
          <w:szCs w:val="21"/>
        </w:rPr>
        <w:t>五、工程</w:t>
      </w:r>
      <w:r>
        <w:rPr>
          <w:rFonts w:hint="eastAsia" w:ascii="宋体" w:hAnsi="宋体" w:eastAsia="宋体" w:cs="宋体"/>
          <w:b/>
          <w:bCs w:val="0"/>
          <w:color w:val="auto"/>
          <w:sz w:val="21"/>
          <w:szCs w:val="21"/>
          <w:lang w:eastAsia="zh-CN"/>
        </w:rPr>
        <w:t>施工</w:t>
      </w:r>
      <w:r>
        <w:rPr>
          <w:rFonts w:hint="eastAsia" w:ascii="宋体" w:hAnsi="宋体" w:eastAsia="宋体" w:cs="宋体"/>
          <w:b/>
          <w:bCs w:val="0"/>
          <w:color w:val="auto"/>
          <w:sz w:val="21"/>
          <w:szCs w:val="21"/>
        </w:rPr>
        <w:t>项目经理</w:t>
      </w:r>
      <w:bookmarkEnd w:id="14"/>
      <w:bookmarkEnd w:id="15"/>
      <w:bookmarkStart w:id="768" w:name="_GoBack"/>
      <w:bookmarkEnd w:id="768"/>
    </w:p>
    <w:p w14:paraId="771AC5E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w:t>
      </w:r>
      <w:r>
        <w:rPr>
          <w:rFonts w:hint="eastAsia" w:ascii="宋体" w:hAnsi="宋体" w:eastAsia="宋体" w:cs="宋体"/>
          <w:color w:val="auto"/>
          <w:sz w:val="21"/>
          <w:szCs w:val="21"/>
          <w:lang w:eastAsia="zh-CN"/>
        </w:rPr>
        <w:t>施工</w:t>
      </w:r>
      <w:r>
        <w:rPr>
          <w:rFonts w:hint="eastAsia" w:ascii="宋体" w:hAnsi="宋体" w:eastAsia="宋体" w:cs="宋体"/>
          <w:color w:val="auto"/>
          <w:sz w:val="21"/>
          <w:szCs w:val="21"/>
        </w:rPr>
        <w:t>项目经理：</w:t>
      </w:r>
      <w:r>
        <w:rPr>
          <w:rFonts w:hint="eastAsia" w:ascii="宋体" w:hAnsi="宋体" w:eastAsia="宋体" w:cs="宋体"/>
          <w:color w:val="auto"/>
          <w:sz w:val="21"/>
          <w:szCs w:val="21"/>
          <w:u w:val="single"/>
        </w:rPr>
        <w:t xml:space="preserve">        </w:t>
      </w:r>
      <w:r>
        <w:rPr>
          <w:rFonts w:hint="eastAsia"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C46007D">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6" w:name="_Toc54862170"/>
      <w:bookmarkStart w:id="17" w:name="_Toc19347"/>
      <w:r>
        <w:rPr>
          <w:rFonts w:hint="eastAsia" w:ascii="宋体" w:hAnsi="宋体" w:eastAsia="宋体" w:cs="宋体"/>
          <w:b/>
          <w:bCs w:val="0"/>
          <w:color w:val="auto"/>
          <w:sz w:val="21"/>
          <w:szCs w:val="21"/>
        </w:rPr>
        <w:t>六</w:t>
      </w:r>
      <w:r>
        <w:rPr>
          <w:rFonts w:hint="eastAsia" w:ascii="宋体" w:hAnsi="宋体" w:eastAsia="宋体" w:cs="宋体"/>
          <w:b/>
          <w:bCs w:val="0"/>
          <w:color w:val="auto"/>
          <w:sz w:val="21"/>
          <w:szCs w:val="21"/>
        </w:rPr>
        <w:t>、合同文件构成</w:t>
      </w:r>
      <w:bookmarkEnd w:id="16"/>
      <w:bookmarkEnd w:id="17"/>
    </w:p>
    <w:p w14:paraId="6C25648B">
      <w:pPr>
        <w:pageBreakBefore w:val="0"/>
        <w:kinsoku/>
        <w:overflowPunct/>
        <w:bidi w:val="0"/>
        <w:spacing w:after="0" w:afterLines="0" w:line="360" w:lineRule="auto"/>
        <w:ind w:firstLine="420" w:firstLineChars="200"/>
        <w:textAlignment w:val="auto"/>
        <w:rPr>
          <w:rFonts w:hint="eastAsia" w:ascii="宋体" w:hAnsi="宋体" w:eastAsia="宋体" w:cs="宋体"/>
          <w:bCs/>
          <w:color w:val="auto"/>
          <w:sz w:val="21"/>
          <w:szCs w:val="21"/>
          <w:highlight w:val="none"/>
        </w:rPr>
      </w:pPr>
      <w:bookmarkStart w:id="18" w:name="_Toc12114"/>
      <w:bookmarkStart w:id="19" w:name="_Toc54862171"/>
      <w:r>
        <w:rPr>
          <w:rFonts w:hint="eastAsia" w:ascii="宋体" w:hAnsi="宋体" w:eastAsia="宋体" w:cs="宋体"/>
          <w:bCs/>
          <w:color w:val="auto"/>
          <w:sz w:val="21"/>
          <w:szCs w:val="21"/>
          <w:highlight w:val="none"/>
        </w:rPr>
        <w:t>本协议书与下列文件一起构成合同文件：</w:t>
      </w:r>
    </w:p>
    <w:p w14:paraId="6CD64C35">
      <w:pPr>
        <w:pageBreakBefore w:val="0"/>
        <w:kinsoku/>
        <w:overflowPunct/>
        <w:bidi w:val="0"/>
        <w:spacing w:after="0" w:afterLines="0"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（1）合同协议书</w:t>
      </w:r>
    </w:p>
    <w:p w14:paraId="27AFA3D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（2）中标通知书（如果有）；</w:t>
      </w:r>
    </w:p>
    <w:p w14:paraId="21A6F363">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（3）投标函及其附录（如果有）；</w:t>
      </w:r>
    </w:p>
    <w:p w14:paraId="2B14A457">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（4）专用合同条款及其附件；</w:t>
      </w:r>
    </w:p>
    <w:p w14:paraId="5FBD5307">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（5）通用合同条款；</w:t>
      </w:r>
    </w:p>
    <w:p w14:paraId="2F292A4C">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（6）技术标准和要求；</w:t>
      </w:r>
    </w:p>
    <w:p w14:paraId="439895AB">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6D8F07E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（8）已标价工程量清单或预算书；</w:t>
      </w:r>
    </w:p>
    <w:p w14:paraId="0D3A4C1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（9）其他合同文件。</w:t>
      </w:r>
    </w:p>
    <w:p w14:paraId="25517223">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上述各项合同文件应互相解释，互为说明。除专用合同条款另有约定外，解释合同文件的优先顺序按上述排序。</w:t>
      </w:r>
    </w:p>
    <w:p w14:paraId="1AC6B1FA">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6E7A5208">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七、承诺</w:t>
      </w:r>
      <w:bookmarkEnd w:id="18"/>
      <w:bookmarkEnd w:id="19"/>
    </w:p>
    <w:p w14:paraId="2FFAEF80">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bookmarkStart w:id="20" w:name="_Toc23435"/>
      <w:bookmarkStart w:id="21" w:name="_Toc54862172"/>
      <w:r>
        <w:rPr>
          <w:rFonts w:hint="eastAsia" w:cs="宋体"/>
          <w:bCs/>
          <w:color w:val="auto"/>
          <w:sz w:val="21"/>
          <w:szCs w:val="21"/>
          <w:highlight w:val="none"/>
        </w:rPr>
        <w:t>1.发包人承诺按照法律规定履行项目审批手续、筹集工程建设资金并按照合同约定的期限和方式支付合同价款。</w:t>
      </w:r>
    </w:p>
    <w:p w14:paraId="2F30CDE7">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r>
        <w:rPr>
          <w:rFonts w:hint="eastAsia"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1693943E">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r>
        <w:rPr>
          <w:rFonts w:hint="eastAsia" w:cs="宋体"/>
          <w:bCs/>
          <w:color w:val="auto"/>
          <w:sz w:val="21"/>
          <w:szCs w:val="21"/>
          <w:highlight w:val="none"/>
        </w:rPr>
        <w:t>3.发包人和承包人通过招投标形式签订合同的，双方理解并承诺不再就同一工程另行签订与合同实质性内容相背离的协议。</w:t>
      </w:r>
    </w:p>
    <w:p w14:paraId="14E597E4">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r>
        <w:rPr>
          <w:rFonts w:hint="eastAsia" w:cs="宋体"/>
          <w:bCs/>
          <w:color w:val="auto"/>
          <w:sz w:val="21"/>
          <w:szCs w:val="21"/>
          <w:highlight w:val="none"/>
          <w:lang w:val="en-US" w:eastAsia="zh-CN"/>
        </w:rPr>
        <w:t>4.以下几点如若有其中一条做不到均视为主动放弃中标资格:（1）招标人确定中标单位后，中标单位须在1至3个工作日内与招标人进行面谈；（2）中标单位在领取完中标通知书后须在3至5个工作日内与招标人签订施工合同；（3）标单位10天之内必须人材机进场施工；（4）中标单位不得转包或分包；（5）招投标文件中确定的人员须履职在位，材料以及机械清单须准备齐全</w:t>
      </w:r>
      <w:r>
        <w:rPr>
          <w:rFonts w:hint="eastAsia" w:cs="宋体"/>
          <w:bCs/>
          <w:color w:val="auto"/>
          <w:sz w:val="21"/>
          <w:szCs w:val="21"/>
          <w:highlight w:val="none"/>
        </w:rPr>
        <w:t>。</w:t>
      </w:r>
    </w:p>
    <w:p w14:paraId="5DA03F5B">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八、订立时间</w:t>
      </w:r>
      <w:bookmarkEnd w:id="20"/>
      <w:bookmarkEnd w:id="21"/>
    </w:p>
    <w:p w14:paraId="7714EDC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本合同于</w:t>
      </w:r>
      <w:r>
        <w:rPr>
          <w:rFonts w:hint="eastAsia" w:eastAsia="宋体" w:cs="宋体"/>
          <w:color w:val="auto"/>
          <w:sz w:val="21"/>
          <w:szCs w:val="21"/>
          <w:u w:val="single"/>
          <w:lang w:val="en-US" w:eastAsia="zh-CN"/>
        </w:rPr>
        <w:t>2025年 月 日</w:t>
      </w:r>
      <w:r>
        <w:rPr>
          <w:rFonts w:hint="eastAsia" w:ascii="宋体" w:hAnsi="宋体" w:eastAsia="宋体" w:cs="宋体"/>
          <w:color w:val="auto"/>
          <w:sz w:val="21"/>
          <w:szCs w:val="21"/>
        </w:rPr>
        <w:t>订立。</w:t>
      </w:r>
    </w:p>
    <w:p w14:paraId="4A805F44">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22" w:name="_Toc14383"/>
      <w:bookmarkStart w:id="23" w:name="_Toc54862173"/>
      <w:r>
        <w:rPr>
          <w:rFonts w:hint="eastAsia" w:ascii="宋体" w:hAnsi="宋体" w:eastAsia="宋体" w:cs="宋体"/>
          <w:b/>
          <w:bCs w:val="0"/>
          <w:color w:val="auto"/>
          <w:sz w:val="21"/>
          <w:szCs w:val="21"/>
        </w:rPr>
        <w:t>九、订立地点</w:t>
      </w:r>
      <w:bookmarkEnd w:id="22"/>
      <w:bookmarkEnd w:id="23"/>
    </w:p>
    <w:p w14:paraId="45393F3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三亚市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订立。</w:t>
      </w:r>
    </w:p>
    <w:p w14:paraId="270EFB9F">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24" w:name="_Toc1867"/>
      <w:bookmarkStart w:id="25" w:name="_Toc54862174"/>
      <w:r>
        <w:rPr>
          <w:rFonts w:hint="eastAsia" w:ascii="宋体" w:hAnsi="宋体" w:eastAsia="宋体" w:cs="宋体"/>
          <w:b/>
          <w:bCs w:val="0"/>
          <w:color w:val="auto"/>
          <w:sz w:val="21"/>
          <w:szCs w:val="21"/>
        </w:rPr>
        <w:t>十、合同生效</w:t>
      </w:r>
      <w:bookmarkEnd w:id="24"/>
      <w:bookmarkEnd w:id="25"/>
    </w:p>
    <w:p w14:paraId="0C42C6F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本合同经双方签字或盖章后成立，并自</w:t>
      </w:r>
      <w:r>
        <w:rPr>
          <w:rFonts w:hint="eastAsia" w:ascii="宋体" w:hAnsi="宋体" w:eastAsia="宋体" w:cs="宋体"/>
          <w:color w:val="auto"/>
          <w:sz w:val="21"/>
          <w:szCs w:val="21"/>
          <w:u w:val="single"/>
        </w:rPr>
        <w:t>双方法定代表人或授权委托人签字并加公章之日</w:t>
      </w:r>
      <w:r>
        <w:rPr>
          <w:rFonts w:hint="eastAsia" w:ascii="宋体" w:hAnsi="宋体" w:eastAsia="宋体" w:cs="宋体"/>
          <w:color w:val="auto"/>
          <w:sz w:val="21"/>
          <w:szCs w:val="21"/>
        </w:rPr>
        <w:t>生效。</w:t>
      </w:r>
    </w:p>
    <w:p w14:paraId="7B06A029">
      <w:pPr>
        <w:pStyle w:val="89"/>
        <w:pageBreakBefore w:val="0"/>
        <w:widowControl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26" w:name="_Toc4111"/>
      <w:bookmarkStart w:id="27" w:name="_Toc54862175"/>
      <w:r>
        <w:rPr>
          <w:rFonts w:hint="eastAsia" w:ascii="宋体" w:hAnsi="宋体" w:eastAsia="宋体" w:cs="宋体"/>
          <w:b/>
          <w:bCs w:val="0"/>
          <w:color w:val="auto"/>
          <w:sz w:val="21"/>
          <w:szCs w:val="21"/>
        </w:rPr>
        <w:t>十一、合同份数</w:t>
      </w:r>
      <w:bookmarkEnd w:id="26"/>
      <w:bookmarkEnd w:id="27"/>
    </w:p>
    <w:p w14:paraId="48A4EBB1">
      <w:pPr>
        <w:pageBreakBefore w:val="0"/>
        <w:widowControl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本合同一式</w:t>
      </w:r>
      <w:r>
        <w:rPr>
          <w:rFonts w:hint="eastAsia" w:ascii="宋体" w:hAnsi="宋体" w:eastAsia="宋体" w:cs="宋体"/>
          <w:color w:val="auto"/>
          <w:sz w:val="21"/>
          <w:szCs w:val="21"/>
          <w:lang w:val="en-US" w:eastAsia="zh-CN"/>
        </w:rPr>
        <w:t xml:space="preserve"> </w:t>
      </w:r>
      <w:r>
        <w:rPr>
          <w:rFonts w:hint="eastAsia" w:cs="宋体"/>
          <w:bCs/>
          <w:color w:val="auto"/>
          <w:sz w:val="21"/>
          <w:szCs w:val="21"/>
          <w:highlight w:val="none"/>
          <w:u w:val="single"/>
        </w:rPr>
        <w:t>壹拾肆</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份，均具有同等法律效力，发包人执</w:t>
      </w:r>
      <w:r>
        <w:rPr>
          <w:rFonts w:hint="eastAsia" w:ascii="宋体" w:hAnsi="宋体" w:eastAsia="宋体" w:cs="宋体"/>
          <w:color w:val="auto"/>
          <w:sz w:val="21"/>
          <w:szCs w:val="21"/>
          <w:u w:val="single"/>
        </w:rPr>
        <w:t xml:space="preserve"> </w:t>
      </w:r>
      <w:r>
        <w:rPr>
          <w:rFonts w:hint="eastAsia" w:ascii="宋体" w:hAnsi="宋体" w:eastAsia="宋体" w:cs="宋体"/>
          <w:bCs/>
          <w:color w:val="auto"/>
          <w:sz w:val="21"/>
          <w:szCs w:val="21"/>
          <w:highlight w:val="none"/>
          <w:u w:val="single"/>
        </w:rPr>
        <w:t>拾</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份，承包人执</w:t>
      </w:r>
      <w:r>
        <w:rPr>
          <w:rFonts w:hint="eastAsia" w:ascii="宋体" w:hAnsi="宋体" w:eastAsia="宋体" w:cs="宋体"/>
          <w:color w:val="auto"/>
          <w:sz w:val="21"/>
          <w:szCs w:val="21"/>
          <w:u w:val="single"/>
        </w:rPr>
        <w:t xml:space="preserve"> </w:t>
      </w:r>
      <w:r>
        <w:rPr>
          <w:rFonts w:hint="eastAsia" w:ascii="宋体" w:hAnsi="宋体" w:eastAsia="宋体" w:cs="宋体"/>
          <w:bCs/>
          <w:color w:val="auto"/>
          <w:sz w:val="21"/>
          <w:szCs w:val="21"/>
          <w:highlight w:val="none"/>
          <w:u w:val="single"/>
        </w:rPr>
        <w:t>肆</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rPr>
        <w:t>。</w:t>
      </w:r>
    </w:p>
    <w:p w14:paraId="006521D5">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1C30FB1C">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0BC4AAAD">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7FFBA6D9">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38A8AE92">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发包人：  (公章)                        承包人：  (公章)</w:t>
      </w:r>
    </w:p>
    <w:p w14:paraId="525DF902">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5E9D77CD">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u w:val="single"/>
        </w:rPr>
      </w:pPr>
      <w:r>
        <w:rPr>
          <w:rFonts w:hint="eastAsia" w:cs="宋体"/>
          <w:color w:val="auto"/>
          <w:sz w:val="21"/>
          <w:szCs w:val="21"/>
          <w:highlight w:val="none"/>
        </w:rPr>
        <w:t>（签字）                                （签字）</w:t>
      </w:r>
    </w:p>
    <w:p w14:paraId="3703F523">
      <w:pPr>
        <w:pageBreakBefore w:val="0"/>
        <w:tabs>
          <w:tab w:val="left" w:pos="4410"/>
        </w:tabs>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56CBDDF1">
      <w:pPr>
        <w:pageBreakBefore w:val="0"/>
        <w:tabs>
          <w:tab w:val="left" w:pos="4410"/>
        </w:tabs>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614B843D">
      <w:pPr>
        <w:pageBreakBefore w:val="0"/>
        <w:kinsoku/>
        <w:overflowPunct/>
        <w:bidi w:val="0"/>
        <w:spacing w:after="0" w:afterLines="0" w:line="360" w:lineRule="auto"/>
        <w:ind w:left="5250" w:hanging="5250" w:hangingChars="2500"/>
        <w:textAlignment w:val="auto"/>
        <w:rPr>
          <w:rFonts w:hint="eastAsia"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w:t>
      </w:r>
      <w:r>
        <w:rPr>
          <w:rFonts w:hint="eastAsia" w:cs="宋体"/>
          <w:color w:val="auto"/>
          <w:sz w:val="21"/>
          <w:szCs w:val="21"/>
          <w:highlight w:val="none"/>
          <w:lang w:val="en-US" w:eastAsia="zh-CN"/>
        </w:rPr>
        <w:t xml:space="preserve"> </w:t>
      </w:r>
      <w:r>
        <w:rPr>
          <w:rFonts w:hint="eastAsia" w:cs="宋体"/>
          <w:color w:val="auto"/>
          <w:sz w:val="21"/>
          <w:szCs w:val="21"/>
          <w:highlight w:val="none"/>
        </w:rPr>
        <w:t>地  址：</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3E17FF69">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    </w:t>
      </w:r>
    </w:p>
    <w:p w14:paraId="28D93A56">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  </w:t>
      </w:r>
    </w:p>
    <w:p w14:paraId="0ABCA0ED">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        </w:t>
      </w:r>
    </w:p>
    <w:p w14:paraId="6CE32C39">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w:t>
      </w:r>
      <w:r>
        <w:rPr>
          <w:rFonts w:hint="eastAsia" w:cs="宋体"/>
          <w:color w:val="auto"/>
          <w:sz w:val="21"/>
          <w:szCs w:val="21"/>
          <w:highlight w:val="none"/>
          <w:u w:val="none"/>
        </w:rPr>
        <w:t xml:space="preserve"> 话：</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413A884D">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   </w:t>
      </w:r>
    </w:p>
    <w:p w14:paraId="79119844">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 xml:space="preserve">            </w:t>
      </w:r>
    </w:p>
    <w:p w14:paraId="52A11C24">
      <w:pPr>
        <w:pageBreakBefore w:val="0"/>
        <w:kinsoku/>
        <w:overflowPunct/>
        <w:bidi w:val="0"/>
        <w:spacing w:after="0" w:afterLines="0" w:line="360" w:lineRule="auto"/>
        <w:ind w:left="5460" w:hanging="5460" w:hangingChars="2600"/>
        <w:textAlignment w:val="auto"/>
        <w:rPr>
          <w:rFonts w:hint="eastAsia"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5B7AE28A">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u w:val="singl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088C230B">
      <w:pPr>
        <w:pStyle w:val="2"/>
        <w:pageBreakBefore w:val="0"/>
        <w:kinsoku/>
        <w:overflowPunct/>
        <w:bidi w:val="0"/>
        <w:spacing w:after="0" w:afterLines="0" w:line="360" w:lineRule="auto"/>
        <w:ind w:firstLine="0" w:firstLineChars="0"/>
        <w:textAlignment w:val="auto"/>
        <w:rPr>
          <w:rFonts w:hint="eastAsia"/>
        </w:rPr>
      </w:pPr>
      <w:r>
        <w:rPr>
          <w:rFonts w:hint="eastAsia"/>
          <w:color w:val="auto"/>
          <w:sz w:val="21"/>
          <w:szCs w:val="21"/>
          <w:highlight w:val="none"/>
        </w:rPr>
        <w:t>项目联系人：                            项目联系人：</w:t>
      </w:r>
      <w:bookmarkStart w:id="28" w:name="_Toc54862176"/>
    </w:p>
    <w:p w14:paraId="134026B5">
      <w:pPr>
        <w:pStyle w:val="6"/>
        <w:pageBreakBefore w:val="0"/>
        <w:kinsoku/>
        <w:overflowPunct/>
        <w:bidi w:val="0"/>
        <w:spacing w:after="0" w:afterLines="0" w:line="360" w:lineRule="auto"/>
        <w:jc w:val="center"/>
        <w:textAlignment w:val="auto"/>
        <w:outlineLvl w:val="0"/>
        <w:rPr>
          <w:sz w:val="21"/>
          <w:szCs w:val="21"/>
          <w:highlight w:val="none"/>
        </w:rPr>
      </w:pPr>
      <w:bookmarkStart w:id="29" w:name="_Toc8323"/>
      <w:bookmarkStart w:id="30" w:name="_Toc13120"/>
      <w:bookmarkStart w:id="31" w:name="_Toc25576"/>
    </w:p>
    <w:p w14:paraId="1EB83F4B">
      <w:pPr>
        <w:pStyle w:val="6"/>
        <w:pageBreakBefore w:val="0"/>
        <w:kinsoku/>
        <w:overflowPunct/>
        <w:bidi w:val="0"/>
        <w:spacing w:after="0" w:afterLines="0" w:line="360" w:lineRule="auto"/>
        <w:jc w:val="center"/>
        <w:textAlignment w:val="auto"/>
        <w:outlineLvl w:val="0"/>
        <w:rPr>
          <w:sz w:val="21"/>
          <w:szCs w:val="21"/>
          <w:highlight w:val="none"/>
        </w:rPr>
      </w:pPr>
    </w:p>
    <w:p w14:paraId="35E13423">
      <w:pPr>
        <w:pStyle w:val="6"/>
        <w:pageBreakBefore w:val="0"/>
        <w:kinsoku/>
        <w:overflowPunct/>
        <w:bidi w:val="0"/>
        <w:spacing w:after="0" w:afterLines="0" w:line="360" w:lineRule="auto"/>
        <w:jc w:val="center"/>
        <w:textAlignment w:val="auto"/>
        <w:outlineLvl w:val="0"/>
        <w:rPr>
          <w:sz w:val="21"/>
          <w:szCs w:val="21"/>
          <w:highlight w:val="none"/>
        </w:rPr>
      </w:pPr>
    </w:p>
    <w:p w14:paraId="41A6C024">
      <w:pPr>
        <w:pStyle w:val="6"/>
        <w:pageBreakBefore w:val="0"/>
        <w:kinsoku/>
        <w:overflowPunct/>
        <w:bidi w:val="0"/>
        <w:spacing w:after="0" w:afterLines="0" w:line="360" w:lineRule="auto"/>
        <w:jc w:val="center"/>
        <w:textAlignment w:val="auto"/>
        <w:outlineLvl w:val="0"/>
        <w:rPr>
          <w:sz w:val="21"/>
          <w:szCs w:val="21"/>
          <w:highlight w:val="none"/>
        </w:rPr>
      </w:pPr>
    </w:p>
    <w:p w14:paraId="1AF399EF">
      <w:pPr>
        <w:pStyle w:val="6"/>
        <w:pageBreakBefore w:val="0"/>
        <w:kinsoku/>
        <w:overflowPunct/>
        <w:bidi w:val="0"/>
        <w:spacing w:after="0" w:afterLines="0" w:line="360" w:lineRule="auto"/>
        <w:jc w:val="center"/>
        <w:textAlignment w:val="auto"/>
        <w:outlineLvl w:val="0"/>
        <w:rPr>
          <w:sz w:val="21"/>
          <w:szCs w:val="21"/>
          <w:highlight w:val="none"/>
        </w:rPr>
      </w:pPr>
    </w:p>
    <w:p w14:paraId="067A79C1">
      <w:pPr>
        <w:pStyle w:val="6"/>
        <w:pageBreakBefore w:val="0"/>
        <w:kinsoku/>
        <w:overflowPunct/>
        <w:bidi w:val="0"/>
        <w:spacing w:after="0" w:afterLines="0" w:line="360" w:lineRule="auto"/>
        <w:ind w:left="0" w:leftChars="0" w:firstLine="0" w:firstLineChars="0"/>
        <w:jc w:val="both"/>
        <w:textAlignment w:val="auto"/>
        <w:outlineLvl w:val="0"/>
        <w:rPr>
          <w:sz w:val="21"/>
          <w:szCs w:val="21"/>
          <w:highlight w:val="none"/>
        </w:rPr>
      </w:pPr>
    </w:p>
    <w:p w14:paraId="160C18E8">
      <w:pPr>
        <w:pageBreakBefore w:val="0"/>
        <w:kinsoku/>
        <w:overflowPunct/>
        <w:bidi w:val="0"/>
        <w:spacing w:after="0" w:afterLines="0" w:line="360" w:lineRule="auto"/>
        <w:textAlignment w:val="auto"/>
        <w:rPr>
          <w:sz w:val="21"/>
          <w:szCs w:val="21"/>
          <w:highlight w:val="none"/>
        </w:rPr>
      </w:pPr>
    </w:p>
    <w:p w14:paraId="1871E886">
      <w:pPr>
        <w:pStyle w:val="2"/>
        <w:pageBreakBefore w:val="0"/>
        <w:kinsoku/>
        <w:overflowPunct/>
        <w:bidi w:val="0"/>
        <w:spacing w:after="0" w:afterLines="0" w:line="360" w:lineRule="auto"/>
        <w:textAlignment w:val="auto"/>
      </w:pPr>
    </w:p>
    <w:p w14:paraId="345D5283">
      <w:pPr>
        <w:pStyle w:val="6"/>
        <w:pageBreakBefore w:val="0"/>
        <w:kinsoku/>
        <w:overflowPunct/>
        <w:bidi w:val="0"/>
        <w:spacing w:after="0" w:afterLines="0" w:line="360" w:lineRule="auto"/>
        <w:jc w:val="center"/>
        <w:textAlignment w:val="auto"/>
        <w:outlineLvl w:val="0"/>
        <w:rPr>
          <w:sz w:val="21"/>
          <w:szCs w:val="21"/>
          <w:highlight w:val="none"/>
        </w:rPr>
      </w:pPr>
    </w:p>
    <w:p w14:paraId="27D83183">
      <w:pPr>
        <w:pStyle w:val="6"/>
        <w:pageBreakBefore w:val="0"/>
        <w:kinsoku/>
        <w:overflowPunct/>
        <w:bidi w:val="0"/>
        <w:spacing w:after="0" w:afterLines="0" w:line="360" w:lineRule="auto"/>
        <w:jc w:val="center"/>
        <w:textAlignment w:val="auto"/>
        <w:outlineLvl w:val="0"/>
        <w:rPr>
          <w:sz w:val="21"/>
          <w:szCs w:val="21"/>
          <w:highlight w:val="none"/>
        </w:rPr>
      </w:pPr>
      <w:r>
        <w:rPr>
          <w:sz w:val="21"/>
          <w:szCs w:val="21"/>
          <w:highlight w:val="none"/>
        </w:rPr>
        <w:t>第二部分 通用合同条款</w:t>
      </w:r>
      <w:bookmarkEnd w:id="29"/>
    </w:p>
    <w:p w14:paraId="5D9A9EBA">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32" w:name="_Toc5207"/>
      <w:bookmarkStart w:id="33" w:name="_Toc20905_WPSOffice_Level2"/>
      <w:bookmarkStart w:id="34" w:name="_Toc22860_WPSOffice_Level2"/>
      <w:bookmarkStart w:id="35" w:name="_Toc16891"/>
      <w:r>
        <w:rPr>
          <w:rFonts w:hint="eastAsia"/>
          <w:sz w:val="21"/>
          <w:szCs w:val="21"/>
          <w:highlight w:val="none"/>
        </w:rPr>
        <w:t>1. 一般约定</w:t>
      </w:r>
      <w:bookmarkEnd w:id="32"/>
      <w:bookmarkEnd w:id="33"/>
      <w:bookmarkEnd w:id="34"/>
      <w:bookmarkEnd w:id="35"/>
    </w:p>
    <w:p w14:paraId="5F5D61D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1.1词语定义与解释</w:t>
      </w:r>
    </w:p>
    <w:p w14:paraId="5B03EEF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合同协议书、通用合同条款、专用合同条款中的下列词语具有本款所赋予的含义：</w:t>
      </w:r>
    </w:p>
    <w:p w14:paraId="56B8276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 合同</w:t>
      </w:r>
    </w:p>
    <w:p w14:paraId="7445D1C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cs="宋体"/>
          <w:sz w:val="21"/>
          <w:szCs w:val="21"/>
          <w:highlight w:val="none"/>
        </w:rPr>
        <w:t>及其附件</w:t>
      </w:r>
      <w:r>
        <w:rPr>
          <w:rFonts w:hint="eastAsia" w:cs="宋体"/>
          <w:kern w:val="0"/>
          <w:sz w:val="21"/>
          <w:szCs w:val="21"/>
          <w:highlight w:val="none"/>
        </w:rPr>
        <w:t>、通用合同条款、技术标准和要求、图纸、已标价工程量清单或预算书以及其他合同文件。</w:t>
      </w:r>
    </w:p>
    <w:p w14:paraId="3EA3A99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1.1.1.2 合同协议书：是指构成合同的由发包人和承包人共同签署的称为“合同协议书”的书面文件。</w:t>
      </w:r>
    </w:p>
    <w:p w14:paraId="511CD84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1.1.1.3 中标通知书：是指构成合同的由发包人通知承包人中标的书面文件。</w:t>
      </w:r>
    </w:p>
    <w:p w14:paraId="080708E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1.1.1.4 投标函：是指构成合同的由承包人填写并签署的用于投标的称为“投标函”的文件。</w:t>
      </w:r>
    </w:p>
    <w:p w14:paraId="6996AE4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1.1.1.5 投标函附录：是指构成合同的附在投标函后的称为“投标函附录”的文件。</w:t>
      </w:r>
    </w:p>
    <w:p w14:paraId="467DFC7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1.1.1.6 技术标准和要求：是指构成合同的施工应当遵守的或指导施工的国家、行业或地方的技术标准和要求，以及合同约定的技术标准和要求。</w:t>
      </w:r>
    </w:p>
    <w:p w14:paraId="28EF741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59AECFA3">
      <w:pPr>
        <w:pageBreakBefore w:val="0"/>
        <w:kinsoku/>
        <w:overflowPunct/>
        <w:autoSpaceDE w:val="0"/>
        <w:autoSpaceDN w:val="0"/>
        <w:bidi w:val="0"/>
        <w:adjustRightInd w:val="0"/>
        <w:spacing w:after="0" w:afterLines="0" w:line="360" w:lineRule="auto"/>
        <w:ind w:firstLine="409" w:firstLineChars="195"/>
        <w:textAlignment w:val="auto"/>
        <w:rPr>
          <w:rFonts w:hint="eastAsia" w:cs="宋体"/>
          <w:kern w:val="0"/>
          <w:sz w:val="21"/>
          <w:szCs w:val="21"/>
          <w:highlight w:val="none"/>
        </w:rPr>
      </w:pPr>
      <w:r>
        <w:rPr>
          <w:rFonts w:hint="eastAsia" w:cs="宋体"/>
          <w:kern w:val="0"/>
          <w:sz w:val="21"/>
          <w:szCs w:val="21"/>
          <w:highlight w:val="none"/>
        </w:rPr>
        <w:t>1.1.1.8 已标价工程量清单：是指构成合同的由承包人按照规定的格式和要求填写并标明价格的工程量清单，包括说明和表格。</w:t>
      </w:r>
    </w:p>
    <w:p w14:paraId="708472F0">
      <w:pPr>
        <w:pageBreakBefore w:val="0"/>
        <w:kinsoku/>
        <w:overflowPunct/>
        <w:autoSpaceDE w:val="0"/>
        <w:autoSpaceDN w:val="0"/>
        <w:bidi w:val="0"/>
        <w:adjustRightInd w:val="0"/>
        <w:spacing w:after="0" w:afterLines="0" w:line="360" w:lineRule="auto"/>
        <w:ind w:firstLine="409" w:firstLineChars="195"/>
        <w:textAlignment w:val="auto"/>
        <w:rPr>
          <w:rFonts w:hint="eastAsia" w:cs="宋体"/>
          <w:kern w:val="0"/>
          <w:sz w:val="21"/>
          <w:szCs w:val="21"/>
          <w:highlight w:val="none"/>
        </w:rPr>
      </w:pPr>
      <w:r>
        <w:rPr>
          <w:rFonts w:hint="eastAsia" w:cs="宋体"/>
          <w:kern w:val="0"/>
          <w:sz w:val="21"/>
          <w:szCs w:val="21"/>
          <w:highlight w:val="none"/>
        </w:rPr>
        <w:t>1.1.1.9 预算书：是指构成合同的由承包人按照发包人规定的格式和要求编制的工程预算文件。</w:t>
      </w:r>
    </w:p>
    <w:p w14:paraId="4C83BCB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1.1.1.10 其他合同文件：是指经合同当事人约定的与工程施工有关的具有合同约束力的文件或书面协议。合同当事人可以在专用合同条款中进行约定。</w:t>
      </w:r>
    </w:p>
    <w:p w14:paraId="5F3DE76E">
      <w:pPr>
        <w:pageBreakBefore w:val="0"/>
        <w:kinsoku/>
        <w:overflowPunct/>
        <w:autoSpaceDE w:val="0"/>
        <w:autoSpaceDN w:val="0"/>
        <w:bidi w:val="0"/>
        <w:adjustRightInd w:val="0"/>
        <w:spacing w:after="0" w:afterLines="0" w:line="360" w:lineRule="auto"/>
        <w:ind w:left="0" w:leftChars="0" w:firstLine="0" w:firstLineChars="0"/>
        <w:textAlignment w:val="auto"/>
        <w:rPr>
          <w:rFonts w:hint="eastAsia" w:cs="宋体"/>
          <w:kern w:val="0"/>
          <w:sz w:val="21"/>
          <w:szCs w:val="21"/>
          <w:highlight w:val="none"/>
        </w:rPr>
      </w:pPr>
      <w:r>
        <w:rPr>
          <w:rFonts w:hint="eastAsia" w:cs="宋体"/>
          <w:kern w:val="0"/>
          <w:sz w:val="21"/>
          <w:szCs w:val="21"/>
          <w:highlight w:val="none"/>
        </w:rPr>
        <w:t xml:space="preserve">  1.1.2 合同当事人及其他相关方</w:t>
      </w:r>
    </w:p>
    <w:p w14:paraId="1987E08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1.1.2.1 合同当事人：是指发包人和（或）承包人。</w:t>
      </w:r>
    </w:p>
    <w:p w14:paraId="7E34330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1.1.2.2 发包人：是指与承包人签订合同协议书的当事人及取得该当事人资格的合法继承人。</w:t>
      </w:r>
    </w:p>
    <w:p w14:paraId="284F721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1.1.2.3 承包人：是指与发包人签订合同协议书的，具有相应工程施工承包资质的当事人及取得该当事人资格的合法继承人。</w:t>
      </w:r>
    </w:p>
    <w:p w14:paraId="70027AE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1.1.2.4 监理人：是指在专用合同条款中指明的，受发包人委托按照法律规定进行工程监督管理的法人或其他组织。</w:t>
      </w:r>
    </w:p>
    <w:p w14:paraId="0B6275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1.1.2.5 设计人：是指在专用合同条款中指明的，受发包人委托负责工程设计并具备相应工程设计资质的法人或其他组织。</w:t>
      </w:r>
    </w:p>
    <w:p w14:paraId="362355FD">
      <w:pPr>
        <w:pageBreakBefore w:val="0"/>
        <w:kinsoku/>
        <w:overflowPunct/>
        <w:bidi w:val="0"/>
        <w:spacing w:after="0" w:afterLines="0" w:line="360" w:lineRule="auto"/>
        <w:ind w:firstLine="409" w:firstLineChars="195"/>
        <w:textAlignment w:val="auto"/>
        <w:rPr>
          <w:rFonts w:hint="eastAsia" w:cs="宋体"/>
          <w:kern w:val="0"/>
          <w:sz w:val="21"/>
          <w:szCs w:val="21"/>
          <w:highlight w:val="none"/>
        </w:rPr>
      </w:pPr>
      <w:r>
        <w:rPr>
          <w:rFonts w:hint="eastAsia" w:cs="宋体"/>
          <w:kern w:val="0"/>
          <w:sz w:val="21"/>
          <w:szCs w:val="21"/>
          <w:highlight w:val="none"/>
        </w:rPr>
        <w:t>1.1.2.6 分包人：是指按照法律规定和合同约定，分包部分工程或工作，并与承包人签订分包合同的具有相应资质的法人。</w:t>
      </w:r>
    </w:p>
    <w:p w14:paraId="2618780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1.1.2.7 发包人代表：是指由发包人任命并派驻施工现场在发包人授权范围内行使发包人权利的人。</w:t>
      </w:r>
    </w:p>
    <w:p w14:paraId="588C411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1.1.2.8 项目经理：是指由承包人任命并派驻施工现场，在承包人授权范围内负责合同履行，且按照法律规定具有相应资格的项目负责人。</w:t>
      </w:r>
    </w:p>
    <w:p w14:paraId="1486554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1.1.2.9 总监理工程师：是指由监理人任命并派驻施工现场进行工程监理的总负责人。</w:t>
      </w:r>
    </w:p>
    <w:p w14:paraId="60C3E0D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 工程和设备</w:t>
      </w:r>
    </w:p>
    <w:p w14:paraId="52BEE75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1.1.3.1 工程：是指与合同协议书中工程承包范围对应的永久工程和（或）临时工程。</w:t>
      </w:r>
    </w:p>
    <w:p w14:paraId="2C40E12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1.1.3.2 永久工程：是指按合同约定建造并移交给发包人的工程，包括工程设备。</w:t>
      </w:r>
    </w:p>
    <w:p w14:paraId="6074976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1.1.3.3 临时工程：是指为完成合同约定的永久工程所修建的各类临时性工程，不包括施工设备。</w:t>
      </w:r>
    </w:p>
    <w:p w14:paraId="168F1B3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1.1.3.4 单位工程：是指在合同协议书中指明的，具备独立施工条件并能形成独立使用功能的永久工程。</w:t>
      </w:r>
    </w:p>
    <w:p w14:paraId="29B6D69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1.1.3.5 工程设备：是指构成永久工程的机电设备、金属结构设备、仪器及其他类似的设备和装置。</w:t>
      </w:r>
    </w:p>
    <w:p w14:paraId="28DF859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1.1.3.6 施工设备：是指为完成合同约定的各项工作所需的设备、器具和其他物品，但不包括工程设备、临时工程和材料。</w:t>
      </w:r>
    </w:p>
    <w:p w14:paraId="6A41962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1.1.3.7 施工现场：是指用于工程施工的场所，以及在专用合同条款中指明作为施工场所组成部分的其他场所，包括永久占地和临时占地。</w:t>
      </w:r>
    </w:p>
    <w:p w14:paraId="4056E9A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1.1.3.8临时设施：是指为完成合同约定的各项工作所服务的临时性生产和生活设施。</w:t>
      </w:r>
    </w:p>
    <w:p w14:paraId="71609D5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1.1.3.9 永久占地：是指专用合同条款中指明为实施工程需永久占用的土地。</w:t>
      </w:r>
    </w:p>
    <w:p w14:paraId="22DE93E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1.1.3.10 临时占地：是指专用合同条款中指明为实施工程需要临时占用的土地。</w:t>
      </w:r>
    </w:p>
    <w:p w14:paraId="4AC0214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 日期和期限</w:t>
      </w:r>
    </w:p>
    <w:p w14:paraId="246799E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693F9A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6B79663F">
      <w:pPr>
        <w:pageBreakBefore w:val="0"/>
        <w:kinsoku/>
        <w:overflowPunct/>
        <w:bidi w:val="0"/>
        <w:spacing w:after="0" w:afterLines="0" w:line="360" w:lineRule="auto"/>
        <w:ind w:firstLine="426" w:firstLineChars="203"/>
        <w:textAlignment w:val="auto"/>
        <w:rPr>
          <w:rFonts w:hint="eastAsia" w:cs="宋体"/>
          <w:sz w:val="21"/>
          <w:szCs w:val="21"/>
          <w:highlight w:val="none"/>
        </w:rPr>
      </w:pPr>
      <w:r>
        <w:rPr>
          <w:rFonts w:hint="eastAsia" w:cs="宋体"/>
          <w:kern w:val="0"/>
          <w:sz w:val="21"/>
          <w:szCs w:val="21"/>
          <w:highlight w:val="none"/>
        </w:rPr>
        <w:t>1.1.4.3 工期：是指在合同协议书约定的承包人完成工程所需的期限，包括按照合同约定所作的期限变更。</w:t>
      </w:r>
    </w:p>
    <w:p w14:paraId="3EC1C4C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1.1.4.4 缺陷责任期：是指承包人按照合同约定承担缺陷修复义务，且发包人预留质量保证金（已缴纳履约保证金的除外）的期限，自工程实际竣工日期起计算。</w:t>
      </w:r>
    </w:p>
    <w:p w14:paraId="6215E85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1.1.4.5 保修期：是指承包人按照合同约定对工程承担保修责任的期限，从工程竣工验收合格之日起计算。</w:t>
      </w:r>
    </w:p>
    <w:p w14:paraId="0859C61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1.1.4.6 基准日期：招标发包的工程以投标截止日前28天的日期为基准日期，直接发包的工程以合同签订日前28天的日期为基准日期。</w:t>
      </w:r>
    </w:p>
    <w:p w14:paraId="04DBB0D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1.1.4.7 天：除特别指明外，均指日历天。合同中按天计算时间的，开始当天不计入，从次日开始计算，期限最后一天的截止时间为当天24:00时。</w:t>
      </w:r>
    </w:p>
    <w:p w14:paraId="5C6FFEE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 合同价格和费用</w:t>
      </w:r>
    </w:p>
    <w:p w14:paraId="6C24D3F8">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1.1.5.1 签约合同价：是指</w:t>
      </w:r>
      <w:r>
        <w:rPr>
          <w:rFonts w:hint="eastAsia" w:cs="宋体"/>
          <w:sz w:val="21"/>
          <w:szCs w:val="21"/>
          <w:highlight w:val="none"/>
        </w:rPr>
        <w:t>发包人和承包人在合同协议书中确定的总金额，包括安全文明施工费、暂估价及暂列金额等。</w:t>
      </w:r>
    </w:p>
    <w:p w14:paraId="0839EF4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1.1.5.2 合同价格：是指发包人用于支付承包人按照合同约定完成承包范围内全部工作的金额，包括合同履行过程中按合同约定发生的价格变化。</w:t>
      </w:r>
    </w:p>
    <w:p w14:paraId="413F8FC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1.1.5.3 费用：是指为履行合同所发生的或将要发生的所有必需的开支，包括管理费和应分摊的其他费用，但不包括利润。</w:t>
      </w:r>
    </w:p>
    <w:p w14:paraId="513FE85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1.1.5.4 暂估价：是指发包人在工程量清单或预算书中提供的用于支付必然发生但暂时不能确定价格的材料、工程设备的单价、专业工程以及服务工作的金额。</w:t>
      </w:r>
    </w:p>
    <w:p w14:paraId="7D6B299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E21949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1.1.5.6 计日工：是指合同履行过程中，承包人完成发包人提出的零星工作或需要采用计日工计价的变更工作时，按合同中约定的单价计价的一种方式。</w:t>
      </w:r>
    </w:p>
    <w:p w14:paraId="2AF57D1F">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1.1.5.7 质量保证金：是指按照第15.3款〔质量保证金〕约定承包人用于保证其在缺陷责任期内履行缺陷修补义务的担保</w:t>
      </w:r>
      <w:r>
        <w:rPr>
          <w:rFonts w:hint="eastAsia" w:cs="宋体"/>
          <w:sz w:val="21"/>
          <w:szCs w:val="21"/>
          <w:highlight w:val="none"/>
        </w:rPr>
        <w:t>。</w:t>
      </w:r>
    </w:p>
    <w:p w14:paraId="7B9242F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1.1.5.8 总价项目：是指在现行国家、行业以及地方的计量规则中无工程量计算规则，在已标价工程量清单或预算书中以总价或以费率形式计算的项目。</w:t>
      </w:r>
    </w:p>
    <w:p w14:paraId="1F7AFB9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1.1.6 其他</w:t>
      </w:r>
    </w:p>
    <w:p w14:paraId="2293E0B1">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1.1.6.1 书面形式：是指合同文件、信函、电报、传真等可以有形地表现所载内容的形式。</w:t>
      </w:r>
    </w:p>
    <w:p w14:paraId="6643458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1.2语言文字</w:t>
      </w:r>
    </w:p>
    <w:p w14:paraId="6E2CCE7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合同以中国的汉语简体文字编写、解释和说明。合同当事人在专用合同条款中约定使用两种以上语言时，汉语为优先解释和说明合同的语言。</w:t>
      </w:r>
    </w:p>
    <w:p w14:paraId="2A124E5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1.3法律</w:t>
      </w:r>
    </w:p>
    <w:p w14:paraId="1A33ADC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合同所称法律是指中华人民共和国法律、行政法规、部门规章，以及工程所在地的地方性法规、自治条例、单行条例和地方政府规章等。</w:t>
      </w:r>
    </w:p>
    <w:p w14:paraId="46204B4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合同当事人可以在专用合同条款中约定合同适用的其他规范性文件。</w:t>
      </w:r>
    </w:p>
    <w:p w14:paraId="01DC926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 标准和规范</w:t>
      </w:r>
    </w:p>
    <w:p w14:paraId="059BCE47">
      <w:pPr>
        <w:pageBreakBefore w:val="0"/>
        <w:kinsoku/>
        <w:overflowPunct/>
        <w:autoSpaceDE w:val="0"/>
        <w:autoSpaceDN w:val="0"/>
        <w:bidi w:val="0"/>
        <w:adjustRightInd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1.4.1 适用于工程的国家标准、行业标准、工程所在地的地方性标准，以及相应的规范、规程等，合同当事人有特别要求的，应在专用合同条款中约定。</w:t>
      </w:r>
    </w:p>
    <w:p w14:paraId="10F54236">
      <w:pPr>
        <w:pageBreakBefore w:val="0"/>
        <w:kinsoku/>
        <w:overflowPunct/>
        <w:autoSpaceDE w:val="0"/>
        <w:autoSpaceDN w:val="0"/>
        <w:bidi w:val="0"/>
        <w:adjustRightInd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1.4.2 发包人要求使用国外标准、规范的，发包人负责提供原文版本和中文译本，并在专用合同条款中约定提供标准规范的名称、份数和时间。</w:t>
      </w:r>
    </w:p>
    <w:p w14:paraId="184BB71C">
      <w:pPr>
        <w:pageBreakBefore w:val="0"/>
        <w:kinsoku/>
        <w:overflowPunct/>
        <w:autoSpaceDE w:val="0"/>
        <w:autoSpaceDN w:val="0"/>
        <w:bidi w:val="0"/>
        <w:adjustRightInd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F25DE7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 合同文件的优先顺序</w:t>
      </w:r>
    </w:p>
    <w:p w14:paraId="5E202A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组成合同的各项文件应互相解释，互为说明。除专用合同条款另有约定外，解释合同文件的优先顺序如下：</w:t>
      </w:r>
    </w:p>
    <w:p w14:paraId="65AF2C8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（1）合同协议书；</w:t>
      </w:r>
    </w:p>
    <w:p w14:paraId="0A2AE00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（2）中标通知书（如果有）；</w:t>
      </w:r>
    </w:p>
    <w:p w14:paraId="1116A4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（3）投标函及其附录（如果有）；</w:t>
      </w:r>
    </w:p>
    <w:p w14:paraId="32B3F08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（4）专用合同条款</w:t>
      </w:r>
      <w:r>
        <w:rPr>
          <w:rFonts w:hint="eastAsia" w:cs="宋体"/>
          <w:sz w:val="21"/>
          <w:szCs w:val="21"/>
          <w:highlight w:val="none"/>
        </w:rPr>
        <w:t>及其附件</w:t>
      </w:r>
      <w:r>
        <w:rPr>
          <w:rFonts w:hint="eastAsia" w:cs="宋体"/>
          <w:kern w:val="0"/>
          <w:sz w:val="21"/>
          <w:szCs w:val="21"/>
          <w:highlight w:val="none"/>
        </w:rPr>
        <w:t>；</w:t>
      </w:r>
    </w:p>
    <w:p w14:paraId="0809004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（5）通用合同条款；</w:t>
      </w:r>
    </w:p>
    <w:p w14:paraId="32B1FD1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（6）技术标准和要求；</w:t>
      </w:r>
    </w:p>
    <w:p w14:paraId="4450D06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（7）图纸；</w:t>
      </w:r>
    </w:p>
    <w:p w14:paraId="788645C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（8）已标价工程量清单或预算书；</w:t>
      </w:r>
    </w:p>
    <w:p w14:paraId="138EF4E3">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（9）其他合同文件。</w:t>
      </w:r>
    </w:p>
    <w:p w14:paraId="06D1D21E">
      <w:pPr>
        <w:pageBreakBefore w:val="0"/>
        <w:kinsoku/>
        <w:overflowPunct/>
        <w:bidi w:val="0"/>
        <w:spacing w:after="0" w:afterLines="0" w:line="360" w:lineRule="auto"/>
        <w:ind w:firstLine="447" w:firstLineChars="213"/>
        <w:textAlignment w:val="auto"/>
        <w:rPr>
          <w:rFonts w:hint="eastAsia" w:cs="宋体"/>
          <w:sz w:val="21"/>
          <w:szCs w:val="21"/>
          <w:highlight w:val="none"/>
        </w:rPr>
      </w:pPr>
      <w:r>
        <w:rPr>
          <w:rFonts w:hint="eastAsia" w:cs="宋体"/>
          <w:sz w:val="21"/>
          <w:szCs w:val="21"/>
          <w:highlight w:val="none"/>
        </w:rPr>
        <w:t>上述各项合同文件包括合同当事人就该项合同文件所作出的补充和修改，属于同一类内容的文件，应以最新签署的为准。</w:t>
      </w:r>
    </w:p>
    <w:p w14:paraId="0DF11604">
      <w:pPr>
        <w:pageBreakBefore w:val="0"/>
        <w:kinsoku/>
        <w:overflowPunct/>
        <w:bidi w:val="0"/>
        <w:spacing w:after="0" w:afterLines="0" w:line="360" w:lineRule="auto"/>
        <w:ind w:firstLine="447" w:firstLineChars="213"/>
        <w:textAlignment w:val="auto"/>
        <w:rPr>
          <w:rFonts w:hint="eastAsia" w:cs="宋体"/>
          <w:sz w:val="21"/>
          <w:szCs w:val="21"/>
          <w:highlight w:val="none"/>
        </w:rPr>
      </w:pPr>
      <w:r>
        <w:rPr>
          <w:rFonts w:hint="eastAsia" w:cs="宋体"/>
          <w:sz w:val="21"/>
          <w:szCs w:val="21"/>
          <w:highlight w:val="none"/>
        </w:rPr>
        <w:t>在合同订立及履行过程中形成的与合同有关的文件均构成合同文件组成部分，并根据其性质确定优先解释顺序。</w:t>
      </w:r>
    </w:p>
    <w:p w14:paraId="7E1CDD7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1.6图纸和承包人文件</w:t>
      </w:r>
    </w:p>
    <w:p w14:paraId="4C8776C7">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1.6.1 图纸的提供和交底</w:t>
      </w:r>
    </w:p>
    <w:p w14:paraId="24201CC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54AEC7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因发包人未按合同约定提供图纸导致承包人费用增加和（或）工期延误的，按照第7.5.1项〔因发包人原因导致工期延误〕约定办理。</w:t>
      </w:r>
    </w:p>
    <w:p w14:paraId="59EBA507">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1.6.2 图纸的错误</w:t>
      </w:r>
    </w:p>
    <w:p w14:paraId="56357F8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9AC33D4">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1.6.3 图纸的修改和补充</w:t>
      </w:r>
    </w:p>
    <w:p w14:paraId="135B79D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1E9FF52">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1.6.4 承包人文件</w:t>
      </w:r>
    </w:p>
    <w:p w14:paraId="77B9B91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7F8E1A5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847B0A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1.6.5 图纸和承包人文件的保管</w:t>
      </w:r>
    </w:p>
    <w:p w14:paraId="360E85F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除专用合同条款另有约定外，承包人应在施工现场另外保存一套完整的图纸和承包人文件，供发包人、监理人及有关人员进行工程检查时使用。</w:t>
      </w:r>
    </w:p>
    <w:p w14:paraId="2576BD7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1.7联络</w:t>
      </w:r>
    </w:p>
    <w:p w14:paraId="031DEE8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1.7.1 与合同有关的通知、批准、证明、证书、指示、指令、要求、请求、同意、意见、确定和决定等，均应采用书面形式，并应在合同约定的期限内送达接收人和送达地点。</w:t>
      </w:r>
    </w:p>
    <w:p w14:paraId="58858EA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7E23C6B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1.7.3 发包人和承包人应当及时签收另一方送达至送达地点和指定接收人的来往信函。拒不签收的，由此增加的费用和（或）延误的工期由拒绝接收一方承担。</w:t>
      </w:r>
    </w:p>
    <w:p w14:paraId="5D5339B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1.8严禁贿赂</w:t>
      </w:r>
    </w:p>
    <w:p w14:paraId="502D7D8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合同当事人不得以贿赂或变相贿赂的方式，谋取非法利益或损害对方权益。因一方合同当事人的贿赂造成对方损失的，应赔偿损失，并承担相应的法律责任。</w:t>
      </w:r>
    </w:p>
    <w:p w14:paraId="70A8A8E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0F74B36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1.9化石、文物</w:t>
      </w:r>
    </w:p>
    <w:p w14:paraId="4FCB90F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4EBE91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发包人、监理人和承包人应按有关政府行政管理部门要求采取妥善的保护措施，由此增加的费用和（或）延误的工期由发包人承担。</w:t>
      </w:r>
    </w:p>
    <w:p w14:paraId="6D35FCC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承包人发现文物后不及时报告或隐瞒不报，致使文物丢失或损坏的，应赔偿损失，并承担相应的法律责任。</w:t>
      </w:r>
    </w:p>
    <w:p w14:paraId="73EBE3D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1.10交通运输</w:t>
      </w:r>
    </w:p>
    <w:p w14:paraId="7C92C97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1.10.1 出入现场的权利</w:t>
      </w:r>
    </w:p>
    <w:p w14:paraId="0809A48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3FED7C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1C9C2D85">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1.10.2 场外交通</w:t>
      </w:r>
    </w:p>
    <w:p w14:paraId="33E0150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ED4C1BE">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1.10.3场内交通</w:t>
      </w:r>
    </w:p>
    <w:p w14:paraId="1290FDA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939910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0DF3DA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场外交通和场内交通的边界由合同当事人在专用合同条款中约定。</w:t>
      </w:r>
    </w:p>
    <w:p w14:paraId="1CA04E01">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1.10.4 超大件和超重件的运输</w:t>
      </w:r>
    </w:p>
    <w:p w14:paraId="4C7A15C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7F0E5BD">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1.10.5 道路和桥梁的损坏责任</w:t>
      </w:r>
    </w:p>
    <w:p w14:paraId="71A3789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因承包人运输造成施工场地内外公共道路和桥梁损坏的，由承包人承担修复损坏的全部费用和可能引起的赔偿。</w:t>
      </w:r>
    </w:p>
    <w:p w14:paraId="171FE1A7">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1.10.6 水路和航空运输</w:t>
      </w:r>
    </w:p>
    <w:p w14:paraId="497974F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5E5DCBF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1.11知识产权 </w:t>
      </w:r>
    </w:p>
    <w:p w14:paraId="19C4E01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1D134E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2F7919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282B30C">
      <w:pPr>
        <w:pageBreakBefore w:val="0"/>
        <w:kinsoku/>
        <w:overflowPunct/>
        <w:bidi w:val="0"/>
        <w:spacing w:after="0" w:afterLines="0" w:line="360" w:lineRule="auto"/>
        <w:textAlignment w:val="auto"/>
        <w:rPr>
          <w:rFonts w:hint="eastAsia" w:cs="宋体"/>
          <w:sz w:val="21"/>
          <w:szCs w:val="21"/>
          <w:highlight w:val="none"/>
        </w:rPr>
      </w:pPr>
      <w:r>
        <w:rPr>
          <w:rFonts w:hint="eastAsia" w:cs="宋体"/>
          <w:kern w:val="0"/>
          <w:sz w:val="21"/>
          <w:szCs w:val="21"/>
          <w:highlight w:val="none"/>
        </w:rPr>
        <w:t xml:space="preserve">    </w:t>
      </w:r>
      <w:r>
        <w:rPr>
          <w:rFonts w:hint="eastAsia" w:cs="宋体"/>
          <w:sz w:val="21"/>
          <w:szCs w:val="21"/>
          <w:highlight w:val="none"/>
        </w:rPr>
        <w:t>1.11.4 除专用合同条款另有约定外，承包人在合同签订前和签订时已确定采用的专利、专有技术、技术秘密的使用费已包含在签约合同价中。</w:t>
      </w:r>
    </w:p>
    <w:p w14:paraId="54D02EB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1.12保密</w:t>
      </w:r>
    </w:p>
    <w:p w14:paraId="607DD05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除法律规定或合同另有约定外，未经发包人同意，承包人不得将发包人提供的图纸、文件以及声明需要保密的资料信息等商业秘密泄露给第三方。</w:t>
      </w:r>
    </w:p>
    <w:p w14:paraId="7CEF3CB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除法律规定或合同另有约定外，未经承包人同意，发包人不得将承包人提供的技术秘密及声明需要保密的资料信息等商业秘密泄露给第三方。</w:t>
      </w:r>
    </w:p>
    <w:p w14:paraId="1D49515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1.13工程量清单错误的修正</w:t>
      </w:r>
    </w:p>
    <w:p w14:paraId="2023A71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除专用合同条款另有约定外，发包人提供的工程量清单，应被认为是准确的和完整的。出现下列情形之一时，发包人应予以修正，并相应调整合同价格：</w:t>
      </w:r>
    </w:p>
    <w:p w14:paraId="1429262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（1）工程量清单存在缺项、漏项的；</w:t>
      </w:r>
    </w:p>
    <w:p w14:paraId="204F63D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（2）工程量清单偏差超出专用合同条款约定的工程量偏差范围的；</w:t>
      </w:r>
    </w:p>
    <w:p w14:paraId="670C58C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（3）未按照国家现行计量规范强制性规定计量的。</w:t>
      </w:r>
    </w:p>
    <w:p w14:paraId="5CBA6ED5">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36" w:name="_Toc17565"/>
      <w:bookmarkStart w:id="37" w:name="_Toc11491_WPSOffice_Level2"/>
      <w:bookmarkStart w:id="38" w:name="_Toc18712_WPSOffice_Level2"/>
      <w:bookmarkStart w:id="39" w:name="_Toc10150"/>
      <w:r>
        <w:rPr>
          <w:rFonts w:hint="eastAsia"/>
          <w:sz w:val="21"/>
          <w:szCs w:val="21"/>
          <w:highlight w:val="none"/>
        </w:rPr>
        <w:t>2. 发包人</w:t>
      </w:r>
      <w:bookmarkEnd w:id="36"/>
      <w:bookmarkEnd w:id="37"/>
      <w:bookmarkEnd w:id="38"/>
      <w:bookmarkEnd w:id="39"/>
    </w:p>
    <w:p w14:paraId="0DBA67F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2.1 许可或批准</w:t>
      </w:r>
    </w:p>
    <w:p w14:paraId="0986BC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297D17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因发包人原因未能及时办理完毕前述许可、批准或备案，由发包人承担由此增加的费用和（或）延误的工期，并支付承包人合理的利润。</w:t>
      </w:r>
    </w:p>
    <w:p w14:paraId="1CC0AE9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2.2 发包人代表</w:t>
      </w:r>
    </w:p>
    <w:p w14:paraId="690A9EE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CDF08C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发包人代表不能按照合同约定履行其职责及义务，并导致合同无法继续正常履行的，承包人可以要求发包人撤换发包人代表。</w:t>
      </w:r>
    </w:p>
    <w:p w14:paraId="3DD9EB5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不属于法定必须监理的工程，监理人的职权可以由发包人代表或发包人指定的其他人员行使。</w:t>
      </w:r>
    </w:p>
    <w:p w14:paraId="2BFAEFE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2.3 发包人人员</w:t>
      </w:r>
    </w:p>
    <w:p w14:paraId="06ACF1D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3324FAAC">
      <w:pPr>
        <w:pageBreakBefore w:val="0"/>
        <w:kinsoku/>
        <w:overflowPunct/>
        <w:bidi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发包人人员包括发包人代表及其他由发包人派驻施工现场的人员。</w:t>
      </w:r>
    </w:p>
    <w:p w14:paraId="1B23836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2.4 施工现场、施工条件和基础资料的提供  </w:t>
      </w:r>
    </w:p>
    <w:p w14:paraId="32AFD785">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2.4.1 提供施工现场</w:t>
      </w:r>
    </w:p>
    <w:p w14:paraId="75EBE63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除专用合同条款另有约定外，发包人应最迟于开工日期7天前向承包人移交施工现场。</w:t>
      </w:r>
    </w:p>
    <w:p w14:paraId="3EB64CF8">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2.4.2 提供施工条件</w:t>
      </w:r>
    </w:p>
    <w:p w14:paraId="33F7014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除专用合同条款另有约定外，发包人应负责提供施工所需要的条件，包括：</w:t>
      </w:r>
    </w:p>
    <w:p w14:paraId="74BDB74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（1）将施工用水、电力、通讯线路等施工所必需的条件接至施工现场内；</w:t>
      </w:r>
    </w:p>
    <w:p w14:paraId="7F9574A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（2）保证向承包人提供正常施工所需要的进入施工现场的交通条件；</w:t>
      </w:r>
    </w:p>
    <w:p w14:paraId="46B42C9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（3）协调处理施工现场周围地下管线和邻近建筑物、构筑物、古树名木的保护工作，并承担相关费用；</w:t>
      </w:r>
    </w:p>
    <w:p w14:paraId="75B7F33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（4）按照专用合同条款约定应提供的其他设施和条件。</w:t>
      </w:r>
    </w:p>
    <w:p w14:paraId="265B17E6">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sz w:val="21"/>
          <w:szCs w:val="21"/>
          <w:highlight w:val="none"/>
        </w:rPr>
      </w:pPr>
      <w:r>
        <w:rPr>
          <w:rFonts w:hint="eastAsia" w:cs="宋体"/>
          <w:kern w:val="0"/>
          <w:sz w:val="21"/>
          <w:szCs w:val="21"/>
          <w:highlight w:val="none"/>
        </w:rPr>
        <w:t>2.4.3 提供基础资料</w:t>
      </w:r>
    </w:p>
    <w:p w14:paraId="642C444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F84EE5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1074FB5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2.4.4 逾期提供的责任</w:t>
      </w:r>
    </w:p>
    <w:p w14:paraId="28723B0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因发包人原因未能按合同约定及时向承包人提供施工现场、施工条件、基础资料的，由发包人承担由此增加的费用和（或）延误的工期。</w:t>
      </w:r>
    </w:p>
    <w:p w14:paraId="1F17658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2.5 资金来源证明及支付担保</w:t>
      </w:r>
    </w:p>
    <w:p w14:paraId="7C3CB3F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3428839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477AF27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2.6 支付合同价款</w:t>
      </w:r>
    </w:p>
    <w:p w14:paraId="172D27E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发包人应按合同约定向承包人及时支付合同价款。</w:t>
      </w:r>
    </w:p>
    <w:p w14:paraId="072408A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2.7 组织竣工验收</w:t>
      </w:r>
    </w:p>
    <w:p w14:paraId="09B224B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发包人应按合同约定及时组织竣工验收。</w:t>
      </w:r>
    </w:p>
    <w:p w14:paraId="41D19B7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2.8 现场统一管理协议</w:t>
      </w:r>
    </w:p>
    <w:p w14:paraId="7D30B0F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0BF98800">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40" w:name="_Toc30878_WPSOffice_Level2"/>
      <w:bookmarkStart w:id="41" w:name="_Toc11444_WPSOffice_Level2"/>
      <w:bookmarkStart w:id="42" w:name="_Toc22915"/>
      <w:bookmarkStart w:id="43" w:name="_Toc11990"/>
      <w:r>
        <w:rPr>
          <w:rFonts w:hint="eastAsia"/>
          <w:sz w:val="21"/>
          <w:szCs w:val="21"/>
          <w:highlight w:val="none"/>
        </w:rPr>
        <w:t>3. 承包人</w:t>
      </w:r>
      <w:bookmarkEnd w:id="40"/>
      <w:bookmarkEnd w:id="41"/>
      <w:bookmarkEnd w:id="42"/>
      <w:bookmarkEnd w:id="43"/>
    </w:p>
    <w:p w14:paraId="5BC153A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3.1 承包人的一般义务</w:t>
      </w:r>
    </w:p>
    <w:p w14:paraId="445BE6C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承包人在履行合同过程中应遵守法律和工程建设标准规范，并履行以下义务：</w:t>
      </w:r>
    </w:p>
    <w:p w14:paraId="2506B0AB">
      <w:pPr>
        <w:pageBreakBefore w:val="0"/>
        <w:numPr>
          <w:ilvl w:val="0"/>
          <w:numId w:val="13"/>
        </w:numPr>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办理法律规定应由承包人办理的许可和批准，并将办理结果书面报送发包人留存；</w:t>
      </w:r>
    </w:p>
    <w:p w14:paraId="7059F3C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（2）按法律规定和合同约定完成工程，并在保修期内承担保修义务；</w:t>
      </w:r>
    </w:p>
    <w:p w14:paraId="4A1BE99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（3）按法律规定和合同约定采取施工安全和环境保护措施，办理工伤保险，确保工程及人员、材料、设备和设施的安全；</w:t>
      </w:r>
    </w:p>
    <w:p w14:paraId="11391D1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（4）按合同约定的工作内容和施工进度要求，编制施工组织设计和施工措施计划，并对所有施工作业和施工方法的完备性和安全可靠性负责；</w:t>
      </w:r>
    </w:p>
    <w:p w14:paraId="4781B2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D8CED3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（6）按照第6.3款〔环境保护〕约定负责施工场地及其周边环境与生态的保护工作；</w:t>
      </w:r>
    </w:p>
    <w:p w14:paraId="1C443A2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（7）按第6.1款〔安全文明施工〕约定采取施工安全措施，确保工程及其人员、材料、设备和设施的安全，防止因工程施工造成的人身伤害和财产损失；</w:t>
      </w:r>
    </w:p>
    <w:p w14:paraId="5D35C31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（8）将发包人按合同约定支付的各项价款专用于合同工程，且应及时支付其雇用人员工资，并及时向分包人支付合同价款；</w:t>
      </w:r>
    </w:p>
    <w:p w14:paraId="4CA55AA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（9）按照法律规定和合同约定编制竣工资料，完成竣工资料立卷及归档，并按专用合同条款约定的竣工资料的套数、内容、时间等要求移交发包人；</w:t>
      </w:r>
    </w:p>
    <w:p w14:paraId="274B075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（10）应履行的其他义务。</w:t>
      </w:r>
    </w:p>
    <w:p w14:paraId="3A0E370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3.2 项目经理</w:t>
      </w:r>
    </w:p>
    <w:p w14:paraId="57FD86E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B66953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4F875B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承包人违反上述约定的，应按照专用合同条款的约定，承担违约责任。</w:t>
      </w:r>
    </w:p>
    <w:p w14:paraId="68DF44F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FD0234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D873E7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877406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59E817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3.3 承包人人员</w:t>
      </w:r>
    </w:p>
    <w:p w14:paraId="46E9EFC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B7F957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C86850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特殊工种作业人员均应持有相应的资格证明，监理人可以随时检查。</w:t>
      </w:r>
    </w:p>
    <w:p w14:paraId="2361879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8A41A1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784B07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3.3.5 承包人擅自更换主要施工管理人员，或前述人员未经监理人或发包人同意擅自离开施工现场的，应按照专用合同条款约定承担违约责任。</w:t>
      </w:r>
    </w:p>
    <w:p w14:paraId="5052705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3.4 承包人现场查勘</w:t>
      </w:r>
    </w:p>
    <w:p w14:paraId="1CB7D2B9">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4229654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5F5858C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3.5 分包</w:t>
      </w:r>
    </w:p>
    <w:p w14:paraId="36C22F10">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3.5.1 分包的一般约定</w:t>
      </w:r>
    </w:p>
    <w:p w14:paraId="330D402A">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53CC90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承包人不得以劳务分包的名义转包或违法分包工程。</w:t>
      </w:r>
    </w:p>
    <w:p w14:paraId="76F3534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3.5.2 分包的确定</w:t>
      </w:r>
    </w:p>
    <w:p w14:paraId="39911CE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3C651F1">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3.5.3 分包管理</w:t>
      </w:r>
    </w:p>
    <w:p w14:paraId="2B3CAEC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承包人应向监理人提交分包人的主要施工管理人员表，并对分包人的施工人员进行实名制管理，包括但不限于进出场管理、登记造册以及各种证照的办理。</w:t>
      </w:r>
    </w:p>
    <w:p w14:paraId="5771B14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3.5.4 分包合同价款</w:t>
      </w:r>
    </w:p>
    <w:p w14:paraId="0017304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（1）除本项第（2）目约定的情况或专用合同条款另有约定外，分包合同价款由承包人与分包人结算，未经承包人同意，发包人不得向分包人支付分包工程价款；</w:t>
      </w:r>
    </w:p>
    <w:p w14:paraId="7473614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（2）生效法律文书要求发包人向分包人支付分包合同价款的，发包人有权从应付承包人工程款中扣除该部分款项。</w:t>
      </w:r>
    </w:p>
    <w:p w14:paraId="102D66B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3.5.5 分包合同权益的转让</w:t>
      </w:r>
    </w:p>
    <w:p w14:paraId="0C243FB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71DF6EC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3.6 工程照管与成品、半成品保护</w:t>
      </w:r>
    </w:p>
    <w:p w14:paraId="7FA34B5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（1）除专用合同条款另有约定外，自发包人向承包人移交施工现场之日起，承包人应负责照管工程及工程相关的材料、工程设备，直到颁发工程接收证书之日止。</w:t>
      </w:r>
    </w:p>
    <w:p w14:paraId="0C701C4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（2）在承包人负责照管期间，因承包人原因造成工程、材料、工程设备损坏的，由承包人负责修复或更换，并承担由此增加的费用和（或）延误的工期。</w:t>
      </w:r>
    </w:p>
    <w:p w14:paraId="40E5A0D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0D6FAA3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3.7 履约担保</w:t>
      </w:r>
    </w:p>
    <w:p w14:paraId="4804E92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DFAEE3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60E7D2E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3.8 联合体</w:t>
      </w:r>
    </w:p>
    <w:p w14:paraId="1BC7D76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3.8.1 联合体各方应共同与发包人签订合同协议书。联合体各方应为履行合同向发包人承担连带责任。</w:t>
      </w:r>
    </w:p>
    <w:p w14:paraId="3E4DBF3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3.8.2 联合体协议经发包人确认后作为合同附件。在履行合同过程中，未经发包人同意，不得修改联合体协议。</w:t>
      </w:r>
    </w:p>
    <w:p w14:paraId="0F0DBDB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3.8.3 联合体牵头人负责与发包人和监理人联系，并接受指示，负责组织联合体各成员全面履行合同。</w:t>
      </w:r>
    </w:p>
    <w:p w14:paraId="5F74292A">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44" w:name="_Toc16863_WPSOffice_Level2"/>
      <w:bookmarkStart w:id="45" w:name="_Toc27937"/>
      <w:bookmarkStart w:id="46" w:name="_Toc16790_WPSOffice_Level2"/>
      <w:bookmarkStart w:id="47" w:name="_Toc3739"/>
      <w:r>
        <w:rPr>
          <w:rFonts w:hint="eastAsia"/>
          <w:sz w:val="21"/>
          <w:szCs w:val="21"/>
          <w:highlight w:val="none"/>
        </w:rPr>
        <w:t>4. 监理人</w:t>
      </w:r>
      <w:bookmarkEnd w:id="44"/>
      <w:bookmarkEnd w:id="45"/>
      <w:bookmarkEnd w:id="46"/>
      <w:bookmarkEnd w:id="47"/>
    </w:p>
    <w:p w14:paraId="2416931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4.1监理人的一般规定</w:t>
      </w:r>
    </w:p>
    <w:p w14:paraId="78DA7DA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27156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除专用合同条款另有约定外，监理人在施工现场的办公场所、生活场所由承包人提供，所发生的费用由发包人承担。</w:t>
      </w:r>
    </w:p>
    <w:p w14:paraId="5E0B647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4.2监理人员</w:t>
      </w:r>
    </w:p>
    <w:p w14:paraId="06E2DE8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555169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4.3监理人的指示</w:t>
      </w:r>
    </w:p>
    <w:p w14:paraId="714B4C25">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46FE17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7A4085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52D3DAD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76B1B3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4.4 商定或确定</w:t>
      </w:r>
    </w:p>
    <w:p w14:paraId="4997057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1E86A48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5915C48">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48" w:name="_Toc12572"/>
      <w:bookmarkStart w:id="49" w:name="_Toc8436_WPSOffice_Level2"/>
      <w:bookmarkStart w:id="50" w:name="_Toc11135_WPSOffice_Level2"/>
      <w:bookmarkStart w:id="51" w:name="_Toc30054"/>
      <w:r>
        <w:rPr>
          <w:rFonts w:hint="eastAsia"/>
          <w:sz w:val="21"/>
          <w:szCs w:val="21"/>
          <w:highlight w:val="none"/>
        </w:rPr>
        <w:t>5. 工程质量</w:t>
      </w:r>
      <w:bookmarkEnd w:id="48"/>
      <w:bookmarkEnd w:id="49"/>
      <w:bookmarkEnd w:id="50"/>
      <w:bookmarkEnd w:id="51"/>
    </w:p>
    <w:p w14:paraId="588A367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5.1质量要求</w:t>
      </w:r>
    </w:p>
    <w:p w14:paraId="402E7C6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5.1.1 工程质量标准必须符合现行国家有关工程施工质量验收规范和标准的要求。有关工程质量的特殊标准或要求由合同当事人在专用合同条款中约定。</w:t>
      </w:r>
    </w:p>
    <w:p w14:paraId="6B9B11A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5.1.2 因发包人原因造成工程质量未达到合同约定标准的，由发包人承担由此增加的费用和（或）延误的工期，并支付承包人合理的利润。</w:t>
      </w:r>
    </w:p>
    <w:p w14:paraId="453808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4132F69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5.2质量保证措施</w:t>
      </w:r>
    </w:p>
    <w:p w14:paraId="379AAFE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5.2.1 发包人的质量管理</w:t>
      </w:r>
    </w:p>
    <w:p w14:paraId="45204F6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发包人应按照法律规定及合同约定完成与工程质量有关的各项工作。</w:t>
      </w:r>
    </w:p>
    <w:p w14:paraId="6D89D11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5.2.2 承包人的质量管理</w:t>
      </w:r>
    </w:p>
    <w:p w14:paraId="1FD957A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7AD100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承包人应对施工人员进行质量教育和技术培训，定期考核施工人员的劳动技能，严格执行施工规范和操作规程。</w:t>
      </w:r>
    </w:p>
    <w:p w14:paraId="399A5C5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B33B82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5.2.3 监理人的质量检查和检验</w:t>
      </w:r>
    </w:p>
    <w:p w14:paraId="17AF519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A679B7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17B603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5.3 隐蔽工程检查</w:t>
      </w:r>
    </w:p>
    <w:p w14:paraId="2BEC2F9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5.3.1承包人自检</w:t>
      </w:r>
    </w:p>
    <w:p w14:paraId="060FC7A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承包人应当对工程隐蔽部位进行自检，并经自检确认是否具备覆盖条件。</w:t>
      </w:r>
    </w:p>
    <w:p w14:paraId="4C804B0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5.3.2检查程序</w:t>
      </w:r>
    </w:p>
    <w:p w14:paraId="4545FCC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80CE93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2D8D8F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BE061F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5.3.3 重新检查</w:t>
      </w:r>
    </w:p>
    <w:p w14:paraId="671D824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F66849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5.3.4 承包人私自覆盖</w:t>
      </w:r>
    </w:p>
    <w:p w14:paraId="261C2A44">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237DDC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5.4不合格工程的处理</w:t>
      </w:r>
    </w:p>
    <w:p w14:paraId="0B14DD3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10F0DF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5.4.2 因发包人原因造成工程不合格的，由此增加的费用和（或）延误的工期由发包人承担，并支付承包人合理的利润。</w:t>
      </w:r>
    </w:p>
    <w:p w14:paraId="5C120CC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5.5 质量争议检测</w:t>
      </w:r>
    </w:p>
    <w:p w14:paraId="3B33D2A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合同当事人对工程质量有争议的，由双方协商确定的工程质量检测机构鉴定，由此产生的费用及因此造成的损失，由责任方承担。</w:t>
      </w:r>
    </w:p>
    <w:p w14:paraId="5F7B5372">
      <w:pPr>
        <w:pageBreakBefore w:val="0"/>
        <w:kinsoku/>
        <w:overflowPunct/>
        <w:autoSpaceDE w:val="0"/>
        <w:autoSpaceDN w:val="0"/>
        <w:bidi w:val="0"/>
        <w:adjustRightInd w:val="0"/>
        <w:spacing w:after="0" w:afterLines="0" w:line="360" w:lineRule="auto"/>
        <w:textAlignment w:val="auto"/>
        <w:rPr>
          <w:rFonts w:hint="eastAsia" w:cs="宋体"/>
          <w:kern w:val="0"/>
          <w:sz w:val="21"/>
          <w:szCs w:val="21"/>
          <w:highlight w:val="none"/>
        </w:rPr>
      </w:pPr>
      <w:r>
        <w:rPr>
          <w:rFonts w:hint="eastAsia" w:cs="宋体"/>
          <w:kern w:val="0"/>
          <w:sz w:val="21"/>
          <w:szCs w:val="21"/>
          <w:highlight w:val="none"/>
        </w:rPr>
        <w:t>合同当事人均有责任的，由双方根据其责任分别承担。合同当事人无法达成一致的，按照第4.4款〔商定或确定〕执行。</w:t>
      </w:r>
    </w:p>
    <w:p w14:paraId="1725DC68">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52" w:name="_Toc32011_WPSOffice_Level2"/>
      <w:bookmarkStart w:id="53" w:name="_Toc21145_WPSOffice_Level2"/>
      <w:bookmarkStart w:id="54" w:name="_Toc19069"/>
      <w:bookmarkStart w:id="55" w:name="_Toc14663"/>
      <w:r>
        <w:rPr>
          <w:rFonts w:hint="eastAsia"/>
          <w:sz w:val="21"/>
          <w:szCs w:val="21"/>
          <w:highlight w:val="none"/>
        </w:rPr>
        <w:t>6. 安全文明施工与环境保护</w:t>
      </w:r>
      <w:bookmarkEnd w:id="52"/>
      <w:bookmarkEnd w:id="53"/>
      <w:bookmarkEnd w:id="54"/>
      <w:bookmarkEnd w:id="55"/>
    </w:p>
    <w:p w14:paraId="6F99367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6.1安全文明施工</w:t>
      </w:r>
    </w:p>
    <w:p w14:paraId="7C84CB9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6.1.1安全生产要求</w:t>
      </w:r>
    </w:p>
    <w:p w14:paraId="1D8F076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2F5222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2B50FF3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因安全生产需要暂停施工的，按照第7.8款〔暂停施工〕的约定执行。</w:t>
      </w:r>
    </w:p>
    <w:p w14:paraId="15501E0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6.1.2 安全生产保证措施</w:t>
      </w:r>
    </w:p>
    <w:p w14:paraId="0BCF707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735070E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6.1.3特别安全生产事项</w:t>
      </w:r>
    </w:p>
    <w:p w14:paraId="2AB96B7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6135A0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D99154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7CBFDE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需单独编制危险性较大分部分项专项工程施工方案的，及要求进行专家论证的超过一定规模的危险性较大的分部分项工程，承包人应及时编制和组织论证。</w:t>
      </w:r>
    </w:p>
    <w:p w14:paraId="08C8BA5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6.1.4 治安保卫</w:t>
      </w:r>
    </w:p>
    <w:p w14:paraId="4FC43C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5E7ECED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发包人和承包人除应协助现场治安管理机构或联防组织维护施工场地的社会治安外，还应做好包括生活区在内的各自管辖区的治安保卫工作。</w:t>
      </w:r>
    </w:p>
    <w:p w14:paraId="2020BB4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893FFF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6.1.5 文明施工</w:t>
      </w:r>
    </w:p>
    <w:p w14:paraId="326332F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88E74F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97D76E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6.1.6 安全文明施工费</w:t>
      </w:r>
    </w:p>
    <w:p w14:paraId="74F8E80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701E36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389B4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452B1F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C143AA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6.1.7 紧急情况处理</w:t>
      </w:r>
    </w:p>
    <w:p w14:paraId="2789070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708053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6.1.8 事故处理</w:t>
      </w:r>
    </w:p>
    <w:p w14:paraId="564D76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973050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6.1.9 安全生产责任</w:t>
      </w:r>
    </w:p>
    <w:p w14:paraId="7BA90BA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6.1.9.1 发包人的安全责任</w:t>
      </w:r>
    </w:p>
    <w:p w14:paraId="76A7A22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发包人应负责赔偿以下各种情况造成的损失：</w:t>
      </w:r>
    </w:p>
    <w:p w14:paraId="3AF9855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（1）工程或工程的任何部分对土地的占用所造成的第三者财产损失；</w:t>
      </w:r>
    </w:p>
    <w:p w14:paraId="24CBEDB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（2）由于发包人原因在施工场地及其毗邻地带造成的第三者人身伤亡和财产损失；</w:t>
      </w:r>
    </w:p>
    <w:p w14:paraId="01B54FA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（3）由于发包人原因对承包人、监理人造成的人员人身伤亡和财产损失；</w:t>
      </w:r>
    </w:p>
    <w:p w14:paraId="232DDF1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（4）由于发包人原因造成的发包人自身人员的人身伤害以及财产损失。</w:t>
      </w:r>
    </w:p>
    <w:p w14:paraId="724D182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6.1.9.2 承包人的安全责任</w:t>
      </w:r>
    </w:p>
    <w:p w14:paraId="4A29480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由于承包人原因在施工场地内及其毗邻地带造成的发包人、监理人以及第三者人员伤亡和财产损失，由承包人负责赔偿。</w:t>
      </w:r>
    </w:p>
    <w:p w14:paraId="1A5F8C4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6.2 职业健康</w:t>
      </w:r>
    </w:p>
    <w:p w14:paraId="0E8D1FD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6.2.1 劳动保护</w:t>
      </w:r>
    </w:p>
    <w:p w14:paraId="4B21E4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9620B1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A09366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1BE718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6.2.2 生活条件</w:t>
      </w:r>
    </w:p>
    <w:p w14:paraId="551CB5F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CBFED8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6.3 环境保护</w:t>
      </w:r>
    </w:p>
    <w:p w14:paraId="1230B21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61945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77634629">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56" w:name="_Toc29285"/>
      <w:bookmarkStart w:id="57" w:name="_Toc32704_WPSOffice_Level2"/>
      <w:bookmarkStart w:id="58" w:name="_Toc7109"/>
      <w:bookmarkStart w:id="59" w:name="_Toc4780_WPSOffice_Level2"/>
      <w:r>
        <w:rPr>
          <w:rFonts w:hint="eastAsia"/>
          <w:sz w:val="21"/>
          <w:szCs w:val="21"/>
          <w:highlight w:val="none"/>
        </w:rPr>
        <w:t>7. 工期和进度</w:t>
      </w:r>
      <w:bookmarkEnd w:id="56"/>
      <w:bookmarkEnd w:id="57"/>
      <w:bookmarkEnd w:id="58"/>
      <w:bookmarkEnd w:id="59"/>
    </w:p>
    <w:p w14:paraId="0C783E6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7.1施工组织设计</w:t>
      </w:r>
    </w:p>
    <w:p w14:paraId="598DD4A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7.1.1 施工组织设计的内容</w:t>
      </w:r>
    </w:p>
    <w:p w14:paraId="3750855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施工组织设计应包含以下内容：</w:t>
      </w:r>
    </w:p>
    <w:p w14:paraId="7D67F1B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（1）施工方案； </w:t>
      </w:r>
    </w:p>
    <w:p w14:paraId="1320609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（2）施工现场平面布置图；</w:t>
      </w:r>
    </w:p>
    <w:p w14:paraId="412DFCB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（3）施工进度计划和保证措施； </w:t>
      </w:r>
    </w:p>
    <w:p w14:paraId="4FA25F6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（4）劳动力及材料供应计划；</w:t>
      </w:r>
    </w:p>
    <w:p w14:paraId="454E820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（5）施工机械设备的选用；</w:t>
      </w:r>
    </w:p>
    <w:p w14:paraId="72F7152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（6）质量保证体系及措施；</w:t>
      </w:r>
    </w:p>
    <w:p w14:paraId="3A863BA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（7）安全生产、文明施工措施；</w:t>
      </w:r>
    </w:p>
    <w:p w14:paraId="7BADE29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（8）环境保护、成本控制措施；</w:t>
      </w:r>
    </w:p>
    <w:p w14:paraId="757DA2E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（9）合同当事人约定的其他内容。</w:t>
      </w:r>
    </w:p>
    <w:p w14:paraId="46CE0DF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7.1.2 施工组织设计的提交和修改</w:t>
      </w:r>
    </w:p>
    <w:p w14:paraId="2ED79A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86B5C1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施工进度计划的编制和修改按照第7.2款〔施工进度计划〕执行。</w:t>
      </w:r>
    </w:p>
    <w:p w14:paraId="2B91E54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7.2 施工进度计划</w:t>
      </w:r>
    </w:p>
    <w:p w14:paraId="4298EAC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7.2.1 施工进度计划的编制</w:t>
      </w:r>
    </w:p>
    <w:p w14:paraId="78EC699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830A62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7.2.2 施工进度计划的修订</w:t>
      </w:r>
    </w:p>
    <w:p w14:paraId="4686C36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F7FFC4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7.3 开工</w:t>
      </w:r>
    </w:p>
    <w:p w14:paraId="256DE94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7.3.1 开工准备</w:t>
      </w:r>
    </w:p>
    <w:p w14:paraId="5BFF335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DBC861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除专用合同条款另有约定外，合同当事人应按约定完成开工准备工作。</w:t>
      </w:r>
    </w:p>
    <w:p w14:paraId="0679834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7.3.2 开工通知</w:t>
      </w:r>
    </w:p>
    <w:p w14:paraId="69D35EA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3116E3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1DAEBA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7.4测量放线</w:t>
      </w:r>
    </w:p>
    <w:p w14:paraId="5973BF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7ECB10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49506A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F72555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施工过程中对施工现场内水准点等测量标志物的保护工作由承包人负责。</w:t>
      </w:r>
    </w:p>
    <w:p w14:paraId="5E9F035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7.5 工期延误</w:t>
      </w:r>
    </w:p>
    <w:p w14:paraId="72C85A7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7.5.1 因发包人原因导致工期延误</w:t>
      </w:r>
    </w:p>
    <w:p w14:paraId="65DA145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2AF658F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（1）发包人未能按合同约定提供图纸或所提供图纸不符合合同约定的；</w:t>
      </w:r>
    </w:p>
    <w:p w14:paraId="40E6967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（2）发包人未能按合同约定提供施工现场、施工条件、基础资料、许可、批准等开工条件的；</w:t>
      </w:r>
    </w:p>
    <w:p w14:paraId="55D4E49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（3）发包人提供的测量基准点、基准线和水准点及其书面资料存在错误或疏漏的；</w:t>
      </w:r>
    </w:p>
    <w:p w14:paraId="591A65F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（4）发包人未能在计划开工日期之日起7天内同意下达开工通知的；</w:t>
      </w:r>
    </w:p>
    <w:p w14:paraId="09D7012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（5）发包人未能按合同约定日期支付工程预付款、进度款或竣工结算款的；</w:t>
      </w:r>
    </w:p>
    <w:p w14:paraId="75BBDA8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（6）监理人未按合同约定发出指示、批准等文件的；</w:t>
      </w:r>
    </w:p>
    <w:p w14:paraId="2AC8873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（7）专用合同条款中约定的其他情形。</w:t>
      </w:r>
    </w:p>
    <w:p w14:paraId="6A39189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C1E025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7.5.2 因承包人原因导致工期延误</w:t>
      </w:r>
    </w:p>
    <w:p w14:paraId="34ADB10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因承包人原因造成工期延误的，可以在专用合同条款中约定逾期竣工违约金的计算方法和逾期竣工违约金的上限。承包人支付逾期竣工违约金后，不免除承包人继续完成工程及修补缺陷的义务。</w:t>
      </w:r>
    </w:p>
    <w:p w14:paraId="0202471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7.6 不利物质条件</w:t>
      </w:r>
    </w:p>
    <w:p w14:paraId="68EE696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43499A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255AB6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7.7 异常恶劣的气候条件</w:t>
      </w:r>
    </w:p>
    <w:p w14:paraId="6C73236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4424A72">
      <w:pPr>
        <w:pageBreakBefore w:val="0"/>
        <w:kinsoku/>
        <w:overflowPunct/>
        <w:autoSpaceDE w:val="0"/>
        <w:autoSpaceDN w:val="0"/>
        <w:bidi w:val="0"/>
        <w:spacing w:after="0" w:afterLines="0" w:line="360" w:lineRule="auto"/>
        <w:ind w:firstLine="420" w:firstLineChars="200"/>
        <w:textAlignment w:val="auto"/>
        <w:rPr>
          <w:rFonts w:hint="eastAsia"/>
          <w:sz w:val="21"/>
          <w:szCs w:val="21"/>
          <w:highlight w:val="none"/>
        </w:rPr>
      </w:pPr>
      <w:r>
        <w:rPr>
          <w:rFonts w:hint="eastAsia" w:cs="宋体"/>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60B9E6C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7.8 暂停施工</w:t>
      </w:r>
    </w:p>
    <w:p w14:paraId="6121063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7.8.1发包人原因引起的暂停施工</w:t>
      </w:r>
    </w:p>
    <w:p w14:paraId="0E8323E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1D48ACD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因发包人原因引起的暂停施工，发包人应承担由此增加的费用和（或）延误的工期，并支付承包人合理的利润。</w:t>
      </w:r>
    </w:p>
    <w:p w14:paraId="1FB18D3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7.8.2 承包人原因引起的暂停施工</w:t>
      </w:r>
    </w:p>
    <w:p w14:paraId="38EDCED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687A194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7.8.3 指示暂停施工</w:t>
      </w:r>
    </w:p>
    <w:p w14:paraId="2F9D7E0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监理人认为有必要时，并经发包人批准后，可向承包人作出暂停施工的指示，承包人应按监理人指示暂停施工。</w:t>
      </w:r>
    </w:p>
    <w:p w14:paraId="72F5388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7.8.4 紧急情况下的暂停施工</w:t>
      </w:r>
    </w:p>
    <w:p w14:paraId="2CC8815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697840C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7.8.5 暂停施工后的复工</w:t>
      </w:r>
    </w:p>
    <w:p w14:paraId="23EBDA2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92400B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3A59B59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7.8.6 暂停施工持续56天以上</w:t>
      </w:r>
    </w:p>
    <w:p w14:paraId="5AF6ECB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1D4170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17026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7.8.7 暂停施工期间的工程照管</w:t>
      </w:r>
    </w:p>
    <w:p w14:paraId="74D373A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暂停施工期间，承包人应负责妥善照管工程并提供安全保障，由此增加的费用由责任方承担。</w:t>
      </w:r>
    </w:p>
    <w:p w14:paraId="51C92E0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7.8.8 暂停施工的措施</w:t>
      </w:r>
    </w:p>
    <w:p w14:paraId="7916380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暂停施工期间，发包人和承包人均应采取必要的措施确保工程质量及安全，防止因暂停施工扩大损失。</w:t>
      </w:r>
    </w:p>
    <w:p w14:paraId="1181BC3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7.9提前竣工</w:t>
      </w:r>
    </w:p>
    <w:p w14:paraId="1235563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E092DC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7.9.2 发包人要求承包人提前竣工，或承包人提出提前竣工的建议能够给发包人带来效益的，合同当事人可以在专用合同条款中约定提前竣工的奖励。</w:t>
      </w:r>
    </w:p>
    <w:p w14:paraId="12E6F6D7">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60" w:name="_Toc12151"/>
      <w:bookmarkStart w:id="61" w:name="_Toc10333"/>
      <w:bookmarkStart w:id="62" w:name="_Toc25092_WPSOffice_Level2"/>
      <w:bookmarkStart w:id="63" w:name="_Toc20061_WPSOffice_Level2"/>
      <w:r>
        <w:rPr>
          <w:rFonts w:hint="eastAsia"/>
          <w:sz w:val="21"/>
          <w:szCs w:val="21"/>
          <w:highlight w:val="none"/>
        </w:rPr>
        <w:t>8. 材料与设备</w:t>
      </w:r>
      <w:bookmarkEnd w:id="60"/>
      <w:bookmarkEnd w:id="61"/>
      <w:bookmarkEnd w:id="62"/>
      <w:bookmarkEnd w:id="63"/>
    </w:p>
    <w:p w14:paraId="4BAE431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8.1发包人供应材料与工程设备</w:t>
      </w:r>
    </w:p>
    <w:p w14:paraId="4E41AC7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31E2A4F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8EC6DF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8.2承包人采购材料与工程设备</w:t>
      </w:r>
    </w:p>
    <w:p w14:paraId="7660CE1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18AAF7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8.3材料与工程设备的接收与拒收</w:t>
      </w:r>
    </w:p>
    <w:p w14:paraId="4E31B22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966DCA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41C7457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4E2962C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8984D9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8.4材料与工程设备的保管与使用</w:t>
      </w:r>
    </w:p>
    <w:p w14:paraId="70AB64E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8.4.1 发包人供应材料与工程设备的保管与使用</w:t>
      </w:r>
    </w:p>
    <w:p w14:paraId="5F2B68E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D494FF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发包人供应的材料和工程设备使用前，由承包人负责检验，检验费用由发包人承担，不合格的不得使用。</w:t>
      </w:r>
    </w:p>
    <w:p w14:paraId="79A610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8.4.2 承包人采购材料与工程设备的保管与使用</w:t>
      </w:r>
    </w:p>
    <w:p w14:paraId="1502E50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CDB076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7BE261A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8.5禁止使用不合格的材料和工程设备</w:t>
      </w:r>
    </w:p>
    <w:p w14:paraId="34F856D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6A9E4F4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8.5.2 监理人发现承包人使用了不合格的材料和工程设备，承包人应按照监理人的指示立即改正，并禁止在工程中继续使用不合格的材料和工程设备。</w:t>
      </w:r>
    </w:p>
    <w:p w14:paraId="4DDE4DE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1342C02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8.6 样品</w:t>
      </w:r>
    </w:p>
    <w:p w14:paraId="5DC8E81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8.6.1</w:t>
      </w:r>
      <w:r>
        <w:rPr>
          <w:rFonts w:hint="eastAsia" w:cs="宋体"/>
          <w:kern w:val="0"/>
          <w:sz w:val="21"/>
          <w:szCs w:val="21"/>
          <w:highlight w:val="none"/>
        </w:rPr>
        <w:tab/>
      </w:r>
      <w:r>
        <w:rPr>
          <w:rFonts w:hint="eastAsia" w:cs="宋体"/>
          <w:kern w:val="0"/>
          <w:sz w:val="21"/>
          <w:szCs w:val="21"/>
          <w:highlight w:val="none"/>
        </w:rPr>
        <w:t>样品的报送与封存</w:t>
      </w:r>
    </w:p>
    <w:p w14:paraId="2726F6D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需要承包人报送样品的材料或工程设备，样品的种类、名称、规格、数量等要求均应在专用合同条款中约定。样品的报送程序如下：</w:t>
      </w:r>
    </w:p>
    <w:p w14:paraId="44F2970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1308F5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232E25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0831B59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5F2194A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8.6.2 样品的保管</w:t>
      </w:r>
    </w:p>
    <w:p w14:paraId="0BCF252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经批准的样品应由监理人负责封存于现场，承包人应在现场为保存样品提供适当和固定的场所并保持适当和良好的存储环境条件。</w:t>
      </w:r>
    </w:p>
    <w:p w14:paraId="2DBED94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8.7材料与工程设备的替代</w:t>
      </w:r>
    </w:p>
    <w:p w14:paraId="5ADFDF2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8.7.1 出现下列情况需要使用替代材料和工程设备的，承包人应按照第8.7.2项约定的程序执行：</w:t>
      </w:r>
    </w:p>
    <w:p w14:paraId="66CABB9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（1）基准日期后生效的法律规定禁止使用的；</w:t>
      </w:r>
    </w:p>
    <w:p w14:paraId="32F04B5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（2）发包人要求使用替代品的；</w:t>
      </w:r>
    </w:p>
    <w:p w14:paraId="07DC0F2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（3）因其他原因必须使用替代品的。</w:t>
      </w:r>
    </w:p>
    <w:p w14:paraId="20FB981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8.7.2 承包人应在使用替代材料和工程设备28天前书面通知监理人，并附下列文件：</w:t>
      </w:r>
    </w:p>
    <w:p w14:paraId="5218984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（1）被替代的材料和工程设备的名称、数量、规格、型号、品牌、性能、价格及其他相关资料；</w:t>
      </w:r>
    </w:p>
    <w:p w14:paraId="3A7F3A4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（2）替代品的名称、数量、规格、型号、品牌、性能、价格及其他相关资料；</w:t>
      </w:r>
    </w:p>
    <w:p w14:paraId="3D5174B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（3）替代品与被替代产品之间的差异以及使用替代品可能对工程产生的影响；</w:t>
      </w:r>
    </w:p>
    <w:p w14:paraId="17177DD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（4）替代品与被替代产品的价格差异；</w:t>
      </w:r>
    </w:p>
    <w:p w14:paraId="506900A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（5）使用替代品的理由和原因说明；</w:t>
      </w:r>
    </w:p>
    <w:p w14:paraId="28FF1FD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（6）监理人要求的其他文件。</w:t>
      </w:r>
    </w:p>
    <w:p w14:paraId="4D38A08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监理人应在收到通知后14天内向承包人发出经发包人签认的书面指示；监理人逾期发出书面指示的，视为发包人和监理人同意使用替代品。</w:t>
      </w:r>
    </w:p>
    <w:p w14:paraId="532C3D6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52C32D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8.8施工设备和临时设施</w:t>
      </w:r>
    </w:p>
    <w:p w14:paraId="3286A06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8.8.1 承包人提供的施工设备和临时设施</w:t>
      </w:r>
    </w:p>
    <w:p w14:paraId="3355358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EEF10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除专用合同条款另有约定外，承包人应自行承担修建临时设施的费用，需要临时占地的，应由发包人办理申请手续并承担相应费用。</w:t>
      </w:r>
    </w:p>
    <w:p w14:paraId="3DF0460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8.8.2发包人提供的施工设备和临时设施</w:t>
      </w:r>
    </w:p>
    <w:p w14:paraId="19084B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发包人提供的施工设备或临时设施在专用合同条款中约定。</w:t>
      </w:r>
    </w:p>
    <w:p w14:paraId="176537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8.8.3要求承包人增加或更换施工设备</w:t>
      </w:r>
    </w:p>
    <w:p w14:paraId="244369C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C78F2E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8.9材料与设备专用要求</w:t>
      </w:r>
    </w:p>
    <w:p w14:paraId="30F84FE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64759FC7">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64" w:name="_Toc30396_WPSOffice_Level2"/>
      <w:bookmarkStart w:id="65" w:name="_Toc12851"/>
      <w:bookmarkStart w:id="66" w:name="_Toc19134_WPSOffice_Level2"/>
      <w:bookmarkStart w:id="67" w:name="_Toc8179"/>
      <w:r>
        <w:rPr>
          <w:rFonts w:hint="eastAsia"/>
          <w:sz w:val="21"/>
          <w:szCs w:val="21"/>
          <w:highlight w:val="none"/>
        </w:rPr>
        <w:t>9. 试验与检验</w:t>
      </w:r>
      <w:bookmarkEnd w:id="64"/>
      <w:bookmarkEnd w:id="65"/>
      <w:bookmarkEnd w:id="66"/>
      <w:bookmarkEnd w:id="67"/>
    </w:p>
    <w:p w14:paraId="485E01D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9.1试验设备与试验人员</w:t>
      </w:r>
    </w:p>
    <w:p w14:paraId="1D53096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E69359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9.1.2 承包人应按专用合同条款的约定提供试验设备、取样装置、试验场所和试验条件，并向监理人提交相应进场计划表。</w:t>
      </w:r>
    </w:p>
    <w:p w14:paraId="7DBB1BA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承包人配置的试验设备要符合相应试验规程的要求并经过具有资质的检测单位检测，且在正式使用该试验设备前，需要经过监理人与承包人共同校定。</w:t>
      </w:r>
    </w:p>
    <w:p w14:paraId="5EC1F2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5447C39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9.2取样</w:t>
      </w:r>
    </w:p>
    <w:p w14:paraId="61081FC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试验属于自检性质的，承包人可以单独取样。试验属于监理人抽检性质的，可由监理人取样，也可由承包人的试验人员在监理人的监督下取样。</w:t>
      </w:r>
    </w:p>
    <w:p w14:paraId="2352768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9.3材料、工程设备和工程的试验和检验</w:t>
      </w:r>
    </w:p>
    <w:p w14:paraId="320BDE2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533F76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5214CB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2E981E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9.4现场工艺试验</w:t>
      </w:r>
    </w:p>
    <w:p w14:paraId="129D8D7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290B8174">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68" w:name="_Toc13115"/>
      <w:bookmarkStart w:id="69" w:name="_Toc15802_WPSOffice_Level2"/>
      <w:bookmarkStart w:id="70" w:name="_Toc29798"/>
      <w:bookmarkStart w:id="71" w:name="_Toc13810_WPSOffice_Level2"/>
      <w:r>
        <w:rPr>
          <w:rFonts w:hint="eastAsia"/>
          <w:sz w:val="21"/>
          <w:szCs w:val="21"/>
          <w:highlight w:val="none"/>
        </w:rPr>
        <w:t>10. 变更</w:t>
      </w:r>
      <w:bookmarkEnd w:id="68"/>
      <w:bookmarkEnd w:id="69"/>
      <w:bookmarkEnd w:id="70"/>
      <w:bookmarkEnd w:id="71"/>
    </w:p>
    <w:p w14:paraId="6D48CEC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10.1变更的范围</w:t>
      </w:r>
    </w:p>
    <w:p w14:paraId="74E9E9A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除专用合同条款另有约定外，合同履行过程中发生以下情形的，应按照本条约定进行变更：</w:t>
      </w:r>
    </w:p>
    <w:p w14:paraId="65E736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（1）增加或减少合同中任何工作，或追加额外的工作；</w:t>
      </w:r>
    </w:p>
    <w:p w14:paraId="5F8EE4E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（2）取消合同中任何工作，但转由他人实施的工作除外；</w:t>
      </w:r>
    </w:p>
    <w:p w14:paraId="427607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（3）改变合同中任何工作的质量标准或其他特性；</w:t>
      </w:r>
    </w:p>
    <w:p w14:paraId="16FC4A4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（4）改变工程的基线、标高、位置和尺寸；</w:t>
      </w:r>
    </w:p>
    <w:p w14:paraId="7F8DF59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（5）改变工程的时间安排或实施顺序。</w:t>
      </w:r>
    </w:p>
    <w:p w14:paraId="64C53AF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10.2变更权</w:t>
      </w:r>
    </w:p>
    <w:p w14:paraId="1FCE5F8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6A5FB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涉及设计变更的，应由设计人提供变更后的图纸和说明。如变更超过原设计标准或批准的建设规模时，发包人应及时办理规划、设计变更等审批手续。</w:t>
      </w:r>
    </w:p>
    <w:p w14:paraId="4E25A47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10.3变更程序</w:t>
      </w:r>
    </w:p>
    <w:p w14:paraId="1E6C6AA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w:t>
      </w:r>
      <w:r>
        <w:rPr>
          <w:rFonts w:hint="eastAsia" w:cs="宋体"/>
          <w:kern w:val="0"/>
          <w:sz w:val="21"/>
          <w:szCs w:val="21"/>
          <w:highlight w:val="none"/>
        </w:rPr>
        <w:t>.3.1 发包人提出变更</w:t>
      </w:r>
    </w:p>
    <w:p w14:paraId="374702B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发包人提出变更的，应通过监理人向承包人发出变更指示，变更指示应说明计划变更的工程范围和变更的内容。</w:t>
      </w:r>
    </w:p>
    <w:p w14:paraId="1CAD2A2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w:t>
      </w:r>
      <w:r>
        <w:rPr>
          <w:rFonts w:hint="eastAsia" w:cs="宋体"/>
          <w:kern w:val="0"/>
          <w:sz w:val="21"/>
          <w:szCs w:val="21"/>
          <w:highlight w:val="none"/>
        </w:rPr>
        <w:t>.3.2 监理人提出变更建议</w:t>
      </w:r>
    </w:p>
    <w:p w14:paraId="7E6DF46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536F93BC">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10.3.3 变更执行</w:t>
      </w:r>
    </w:p>
    <w:p w14:paraId="70F2325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212949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10.4变更估价</w:t>
      </w:r>
    </w:p>
    <w:p w14:paraId="153F6FF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10.4.1 变更估价原则</w:t>
      </w:r>
    </w:p>
    <w:p w14:paraId="7CF35E4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除专用合同条款另有约定外，变更估价按照本款约定处理：</w:t>
      </w:r>
    </w:p>
    <w:p w14:paraId="3DA9B27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（1）已标价工程量清单或预算书有相同项目的，按照相同项目单价认定；</w:t>
      </w:r>
    </w:p>
    <w:p w14:paraId="246C96C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（2）已标价工程量清单或预算书中无相同项目，但有类似项目的，参照类似项目的单价认定；</w:t>
      </w:r>
    </w:p>
    <w:p w14:paraId="58757C4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EFA8FE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10.4.2 变更估价程序</w:t>
      </w:r>
    </w:p>
    <w:p w14:paraId="3602363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5B7BEE5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因变更引起的价格调整应计入最近一期的进度款中支付。</w:t>
      </w:r>
    </w:p>
    <w:p w14:paraId="27A5168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10.5承包人的合理化建议</w:t>
      </w:r>
    </w:p>
    <w:p w14:paraId="36CDFD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承包人提出合理化建议的，应向监理人提交合理化建议说明，说明建议的内容和理由，以及实施该建议对合同价格和工期的影响。</w:t>
      </w:r>
    </w:p>
    <w:p w14:paraId="5AEF376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455675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合理化建议降低了合同价格或者提高了工程经济效益的，发包人可对承包人给予奖励，奖励的方法和金额在专用合同条款中约定。</w:t>
      </w:r>
    </w:p>
    <w:p w14:paraId="351C0A7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10.6变更引起的工期调整   </w:t>
      </w:r>
    </w:p>
    <w:p w14:paraId="343AD81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因变更引起工期变化的，合同当事人均可要求调整合同工期，由合同当事人按照第4.4款〔商定或确定〕并参考工程所在地的工期定额标准确定增减工期天数。</w:t>
      </w:r>
    </w:p>
    <w:p w14:paraId="439A8A0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10.7暂估价</w:t>
      </w:r>
    </w:p>
    <w:p w14:paraId="29057BA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暂估价专业分包工程、服务、材料和工程设备的明细由合同当事人在专用合同条款中约定。</w:t>
      </w:r>
    </w:p>
    <w:p w14:paraId="08841F8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10.7.1</w:t>
      </w:r>
      <w:r>
        <w:rPr>
          <w:rFonts w:hint="eastAsia" w:cs="宋体"/>
          <w:kern w:val="0"/>
          <w:sz w:val="21"/>
          <w:szCs w:val="21"/>
          <w:highlight w:val="none"/>
        </w:rPr>
        <w:t xml:space="preserve"> 依法必须招标的暂估价项目</w:t>
      </w:r>
    </w:p>
    <w:p w14:paraId="03E9221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对于依法必须招标的暂估价项目，采取以下第1种方式确定。合同当事人也可以在专用合同条款中选择其他招标方式。</w:t>
      </w:r>
    </w:p>
    <w:p w14:paraId="0A818F3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第1种方式：对于依法必须招标的暂估价项目，由承包人招标，对该暂估价项目的确认和批准按照以下约定执行：</w:t>
      </w:r>
    </w:p>
    <w:p w14:paraId="56C9AC0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BCF359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6F57855D">
      <w:pPr>
        <w:pageBreakBefore w:val="0"/>
        <w:kinsoku/>
        <w:overflowPunct/>
        <w:bidi w:val="0"/>
        <w:spacing w:after="0" w:afterLines="0" w:line="360" w:lineRule="auto"/>
        <w:textAlignment w:val="auto"/>
        <w:rPr>
          <w:rFonts w:hint="eastAsia" w:cs="宋体"/>
          <w:kern w:val="0"/>
          <w:sz w:val="21"/>
          <w:szCs w:val="21"/>
          <w:highlight w:val="none"/>
        </w:rPr>
      </w:pPr>
      <w:r>
        <w:rPr>
          <w:rFonts w:hint="eastAsia" w:cs="宋体"/>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2484BB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FA0695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10.7.2</w:t>
      </w:r>
      <w:r>
        <w:rPr>
          <w:rFonts w:hint="eastAsia" w:cs="宋体"/>
          <w:kern w:val="0"/>
          <w:sz w:val="21"/>
          <w:szCs w:val="21"/>
          <w:highlight w:val="none"/>
        </w:rPr>
        <w:t>不属于依法必须招标的暂估价项目</w:t>
      </w:r>
    </w:p>
    <w:p w14:paraId="371CB28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除专用合同条款另有约定外，对于不属于依法必须招标的暂估价项目，采取以下第1种方式确定： </w:t>
      </w:r>
    </w:p>
    <w:p w14:paraId="2CEE84F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第1种方式：对于不属于依法必须招标的暂估价项目，按本项约定确认和批准：</w:t>
      </w:r>
    </w:p>
    <w:p w14:paraId="43C4D88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6C1674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（2）发包人认为承包人确定的供应商、分包人无法满足工程质量或合同要求的，发包人可以要求承包人重新确定暂估价项目的供应商、分包人;</w:t>
      </w:r>
    </w:p>
    <w:p w14:paraId="15C1A6C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（3）承包人应当在签订暂估价合同后7天内，将暂估价合同副本报送发包人留存。</w:t>
      </w:r>
    </w:p>
    <w:p w14:paraId="0367018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第2种方式：承包人按照第10.7.1项〔依法必须招标的暂估价项目〕约定的第1种方式确定暂估价项目。</w:t>
      </w:r>
    </w:p>
    <w:p w14:paraId="7B3C3A4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第3种方式：</w:t>
      </w:r>
      <w:r>
        <w:rPr>
          <w:rFonts w:hint="eastAsia" w:cs="宋体"/>
          <w:kern w:val="0"/>
          <w:sz w:val="21"/>
          <w:szCs w:val="21"/>
          <w:highlight w:val="none"/>
        </w:rPr>
        <w:t>承包人直接实施的暂估价项目</w:t>
      </w:r>
    </w:p>
    <w:p w14:paraId="7CB7D93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5330BEC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C9AC31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10.8暂列金额</w:t>
      </w:r>
    </w:p>
    <w:p w14:paraId="6568DE4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暂列金额应按照发包人的要求使用，发包人的要求应通过监理人发出。合同当事人可以在专用合同条款中协商确定有关事项。</w:t>
      </w:r>
    </w:p>
    <w:p w14:paraId="798A90A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10.9计日工 </w:t>
      </w:r>
    </w:p>
    <w:p w14:paraId="1F38FD5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F1FAAF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采用计日工计价的任何一项工作，承包人应在该项工作实施过程中，每天提交以下报表和有关凭证报送监理人审查：</w:t>
      </w:r>
    </w:p>
    <w:p w14:paraId="1A6E4015">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（1）工作名称、内容和数量；</w:t>
      </w:r>
    </w:p>
    <w:p w14:paraId="2B5542E4">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（2）投入该工作的所有人员的姓名、专业、工种、级别和耗用工时；</w:t>
      </w:r>
    </w:p>
    <w:p w14:paraId="698A5064">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（3）投入该工作的材料类别和数量；</w:t>
      </w:r>
    </w:p>
    <w:p w14:paraId="68219A25">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（4）投入该工作的施工设备型号、台数和耗用台时；</w:t>
      </w:r>
    </w:p>
    <w:p w14:paraId="25E7591F">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（5）其他有关资料和凭证。</w:t>
      </w:r>
    </w:p>
    <w:p w14:paraId="14400F5A">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 xml:space="preserve"> 计日工由承包人汇总后，列入最近一期进度付款申请单，由监理人审查并经发包人批准后列入进度付款。</w:t>
      </w:r>
    </w:p>
    <w:p w14:paraId="6DDA8F22">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72" w:name="_Toc28251"/>
      <w:bookmarkStart w:id="73" w:name="_Toc28959_WPSOffice_Level2"/>
      <w:bookmarkStart w:id="74" w:name="_Toc18525_WPSOffice_Level2"/>
      <w:bookmarkStart w:id="75" w:name="_Toc3163"/>
      <w:r>
        <w:rPr>
          <w:rFonts w:hint="eastAsia"/>
          <w:sz w:val="21"/>
          <w:szCs w:val="21"/>
          <w:highlight w:val="none"/>
        </w:rPr>
        <w:t>11. 价格调整</w:t>
      </w:r>
      <w:bookmarkEnd w:id="72"/>
      <w:bookmarkEnd w:id="73"/>
      <w:bookmarkEnd w:id="74"/>
      <w:bookmarkEnd w:id="75"/>
    </w:p>
    <w:p w14:paraId="497ED9A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11.1市场价格波动引起的调整</w:t>
      </w:r>
    </w:p>
    <w:p w14:paraId="04EAC3E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3F968BC8">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第1种方式：采用价格指数进行价格调整。</w:t>
      </w:r>
    </w:p>
    <w:p w14:paraId="5398409D">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（1）价格调整公式</w:t>
      </w:r>
    </w:p>
    <w:p w14:paraId="100E4ACC">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因人工、材料和设备等价格波动影响合同价格时，根据专用合同条款中约定的数据，按以下公式计算差额并调整合同价格：</w:t>
      </w:r>
    </w:p>
    <w:p w14:paraId="32755A08">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30"/>
          <w:sz w:val="21"/>
          <w:szCs w:val="21"/>
          <w:highlight w:val="none"/>
        </w:rPr>
        <w:object>
          <v:shape id="_x0000_i1025" o:spt="75" type="#_x0000_t75" style="height:44.3pt;width:360pt;" o:ole="t" filled="f" o:preferrelative="t" stroked="f" coordsize="21600,21600">
            <v:path/>
            <v:fill on="f" focussize="0,0"/>
            <v:stroke on="f"/>
            <v:imagedata r:id="rId10" o:title=""/>
            <o:lock v:ext="edit" aspectratio="t"/>
            <w10:wrap type="none"/>
            <w10:anchorlock/>
          </v:shape>
          <o:OLEObject Type="Embed" ProgID="Equation.3" ShapeID="_x0000_i1025" DrawAspect="Content" ObjectID="_1468075725" r:id="rId9">
            <o:LockedField>false</o:LockedField>
          </o:OLEObject>
        </w:object>
      </w:r>
    </w:p>
    <w:p w14:paraId="67D76C3C">
      <w:pPr>
        <w:pageBreakBefore w:val="0"/>
        <w:tabs>
          <w:tab w:val="left" w:pos="0"/>
          <w:tab w:val="left" w:pos="360"/>
          <w:tab w:val="left" w:pos="540"/>
        </w:tabs>
        <w:kinsoku/>
        <w:overflowPunct/>
        <w:bidi w:val="0"/>
        <w:spacing w:after="0" w:afterLines="0" w:line="360" w:lineRule="auto"/>
        <w:ind w:firstLine="640"/>
        <w:textAlignment w:val="auto"/>
        <w:rPr>
          <w:rFonts w:hint="eastAsia" w:cs="宋体"/>
          <w:sz w:val="21"/>
          <w:szCs w:val="21"/>
          <w:highlight w:val="none"/>
        </w:rPr>
      </w:pPr>
      <w:r>
        <w:rPr>
          <w:rFonts w:hint="eastAsia" w:cs="宋体"/>
          <w:sz w:val="21"/>
          <w:szCs w:val="21"/>
          <w:highlight w:val="none"/>
        </w:rPr>
        <w:t>公式中：ΔP——需调整的价格差额；</w:t>
      </w:r>
    </w:p>
    <w:p w14:paraId="5D3E9172">
      <w:pPr>
        <w:pageBreakBefore w:val="0"/>
        <w:tabs>
          <w:tab w:val="left" w:pos="0"/>
          <w:tab w:val="left" w:pos="360"/>
          <w:tab w:val="left" w:pos="540"/>
        </w:tabs>
        <w:kinsoku/>
        <w:overflowPunct/>
        <w:bidi w:val="0"/>
        <w:spacing w:after="0" w:afterLines="0" w:line="360" w:lineRule="auto"/>
        <w:ind w:firstLine="1260" w:firstLineChars="600"/>
        <w:textAlignment w:val="auto"/>
        <w:rPr>
          <w:rFonts w:hint="eastAsia" w:cs="宋体"/>
          <w:sz w:val="21"/>
          <w:szCs w:val="21"/>
          <w:highlight w:val="none"/>
        </w:rPr>
      </w:pPr>
      <w:r>
        <w:rPr>
          <w:rFonts w:hint="eastAsia" w:cs="宋体"/>
          <w:position w:val="-6"/>
          <w:sz w:val="21"/>
          <w:szCs w:val="21"/>
          <w:highlight w:val="none"/>
        </w:rPr>
        <w:object>
          <v:shape id="_x0000_i1027" o:spt="75" type="#_x0000_t75" style="height:18pt;width:18pt;" o:ole="t" filled="f" o:preferrelative="t" stroked="f" coordsize="21600,21600">
            <v:path/>
            <v:fill on="f" focussize="0,0"/>
            <v:stroke on="f"/>
            <v:imagedata r:id="rId12" o:title=""/>
            <o:lock v:ext="edit" aspectratio="t"/>
            <w10:wrap type="none"/>
            <w10:anchorlock/>
          </v:shape>
          <o:OLEObject Type="Embed" ProgID="Equation.3" ShapeID="_x0000_i1027" DrawAspect="Content" ObjectID="_1468075726" r:id="rId11">
            <o:LockedField>false</o:LockedField>
          </o:OLEObject>
        </w:object>
      </w:r>
      <w:r>
        <w:rPr>
          <w:rFonts w:hint="eastAsia" w:cs="宋体"/>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F17338E">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A——定值权重（即不调部分的权重）；</w:t>
      </w:r>
    </w:p>
    <w:p w14:paraId="5AA7B8E0">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10"/>
          <w:sz w:val="21"/>
          <w:szCs w:val="21"/>
          <w:highlight w:val="none"/>
        </w:rPr>
        <w:object>
          <v:shape id="_x0000_i1028" o:spt="75" type="#_x0000_t75" style="height:20.15pt;width:101.3pt;" o:ole="t" filled="f" o:preferrelative="t" stroked="f" coordsize="21600,21600">
            <v:path/>
            <v:fill on="f" focussize="0,0"/>
            <v:stroke on="f"/>
            <v:imagedata r:id="rId14" o:title=""/>
            <o:lock v:ext="edit" aspectratio="t"/>
            <w10:wrap type="none"/>
            <w10:anchorlock/>
          </v:shape>
          <o:OLEObject Type="Embed" ProgID="Equation.3" ShapeID="_x0000_i1028" DrawAspect="Content" ObjectID="_1468075727" r:id="rId13">
            <o:LockedField>false</o:LockedField>
          </o:OLEObject>
        </w:object>
      </w:r>
      <w:r>
        <w:rPr>
          <w:rFonts w:hint="eastAsia" w:cs="宋体"/>
          <w:sz w:val="21"/>
          <w:szCs w:val="21"/>
          <w:highlight w:val="none"/>
        </w:rPr>
        <w:t>——各可调因子的变值权重（即可调部分的权重），为各可调因子在签约合同价中所占的比例；</w:t>
      </w:r>
    </w:p>
    <w:p w14:paraId="7145217E">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10"/>
          <w:sz w:val="21"/>
          <w:szCs w:val="21"/>
          <w:highlight w:val="none"/>
        </w:rPr>
        <w:object>
          <v:shape id="_x0000_i1029" o:spt="75" type="#_x0000_t75" style="height:20.15pt;width:102pt;" o:ole="t" filled="f" o:preferrelative="t" stroked="f" coordsize="21600,21600">
            <v:path/>
            <v:fill on="f" focussize="0,0"/>
            <v:stroke on="f"/>
            <v:imagedata r:id="rId16" o:title=""/>
            <o:lock v:ext="edit" aspectratio="t"/>
            <w10:wrap type="none"/>
            <w10:anchorlock/>
          </v:shape>
          <o:OLEObject Type="Embed" ProgID="Equation.3" ShapeID="_x0000_i1029" DrawAspect="Content" ObjectID="_1468075728" r:id="rId15">
            <o:LockedField>false</o:LockedField>
          </o:OLEObject>
        </w:object>
      </w:r>
      <w:r>
        <w:rPr>
          <w:rFonts w:hint="eastAsia" w:cs="宋体"/>
          <w:sz w:val="21"/>
          <w:szCs w:val="21"/>
          <w:highlight w:val="none"/>
        </w:rPr>
        <w:t>——各可调因子的现行价格指数，指约定的付款证书相关周期最后一天的前42天的各可调因子的价格指数；</w:t>
      </w:r>
    </w:p>
    <w:p w14:paraId="38CA6415">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10"/>
          <w:sz w:val="21"/>
          <w:szCs w:val="21"/>
          <w:highlight w:val="none"/>
        </w:rPr>
        <w:object>
          <v:shape id="_x0000_i1030" o:spt="75" type="#_x0000_t75" style="height:20.15pt;width:107.25pt;" o:ole="t" filled="f" o:preferrelative="t" stroked="f" coordsize="21600,21600">
            <v:path/>
            <v:fill on="f" focussize="0,0"/>
            <v:stroke on="f"/>
            <v:imagedata r:id="rId18" o:title=""/>
            <o:lock v:ext="edit" aspectratio="t"/>
            <w10:wrap type="none"/>
            <w10:anchorlock/>
          </v:shape>
          <o:OLEObject Type="Embed" ProgID="Equation.3" ShapeID="_x0000_i1030" DrawAspect="Content" ObjectID="_1468075729" r:id="rId17">
            <o:LockedField>false</o:LockedField>
          </o:OLEObject>
        </w:object>
      </w:r>
      <w:r>
        <w:rPr>
          <w:rFonts w:hint="eastAsia" w:cs="宋体"/>
          <w:sz w:val="21"/>
          <w:szCs w:val="21"/>
          <w:highlight w:val="none"/>
        </w:rPr>
        <w:t>——各可调因子的基本价格指数，指基准日期的各可调因子的价格指数。</w:t>
      </w:r>
    </w:p>
    <w:p w14:paraId="7189E147">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044E076">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（2）暂时确定调整差额</w:t>
      </w:r>
    </w:p>
    <w:p w14:paraId="1534E5FA">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在计算调整差额时无现行价格指数的，合同当事人同意暂用前次价格指数计算。实际价格指数有调整的，合同当事人进行相应调整。</w:t>
      </w:r>
    </w:p>
    <w:p w14:paraId="60BF9F3A">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（3）权重的调整</w:t>
      </w:r>
    </w:p>
    <w:p w14:paraId="5A1DF840">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因变更导致合同约定的权重不合理时，按照第4.4款〔商定或确定〕执行。</w:t>
      </w:r>
    </w:p>
    <w:p w14:paraId="2C84F85A">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（4）因承包人原因工期延误后的价格调整</w:t>
      </w:r>
    </w:p>
    <w:p w14:paraId="5689F0AA">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70942FC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第2种方式：采用造价信息进行价格调整。</w:t>
      </w:r>
    </w:p>
    <w:p w14:paraId="0F6BEC14">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A2CE21B">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33F3819">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（2）材料、工程设备价格变化的价款调整按照发包人提供的基准价格，按以下风险范围规定执行:</w:t>
      </w:r>
    </w:p>
    <w:p w14:paraId="7C6802A2">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297DB7B">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2C25D57">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505B1F0C">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35978D94">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6B63A39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（3）施工机械台班单价或施工机械使用费发生变化超过省级或行业建设主管部门或其授权的工程造价管理机构规定的范围时，按规定调整合同价格。</w:t>
      </w:r>
    </w:p>
    <w:p w14:paraId="4FF14467">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第3种方式：专用合同条款约定的其他方式。</w:t>
      </w:r>
    </w:p>
    <w:p w14:paraId="76252DC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11.2法律变化引起的调整</w:t>
      </w:r>
    </w:p>
    <w:p w14:paraId="5BE5DF87">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CFCF9C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因法律变化引起的合同价格和工期调整，合同当事人无法达成一致的，由总监理工程师按第4.4款〔商定或确定〕的约定处理。</w:t>
      </w:r>
    </w:p>
    <w:p w14:paraId="3F389D51">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因承包人原因造成工期延误，在工期延误期间出现法律变化的，由此增加的费用和（或）延误的工期由承包人承担。</w:t>
      </w:r>
    </w:p>
    <w:p w14:paraId="19AAA111">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76" w:name="_Toc9152_WPSOffice_Level2"/>
      <w:bookmarkStart w:id="77" w:name="_Toc2169_WPSOffice_Level2"/>
      <w:bookmarkStart w:id="78" w:name="_Toc17539"/>
      <w:bookmarkStart w:id="79" w:name="_Toc24510"/>
      <w:r>
        <w:rPr>
          <w:rFonts w:hint="eastAsia"/>
          <w:sz w:val="21"/>
          <w:szCs w:val="21"/>
          <w:highlight w:val="none"/>
        </w:rPr>
        <w:t>12. 合同价格、计量与支付</w:t>
      </w:r>
      <w:bookmarkEnd w:id="76"/>
      <w:bookmarkEnd w:id="77"/>
      <w:bookmarkEnd w:id="78"/>
      <w:bookmarkEnd w:id="79"/>
    </w:p>
    <w:p w14:paraId="360EA4A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12.1 合同价格形式</w:t>
      </w:r>
    </w:p>
    <w:p w14:paraId="05F674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发包人和承包人应在合同协议书中选择下列一种合同价格形式： </w:t>
      </w:r>
    </w:p>
    <w:p w14:paraId="2D18C318">
      <w:pPr>
        <w:pageBreakBefore w:val="0"/>
        <w:kinsoku/>
        <w:overflowPunct/>
        <w:autoSpaceDE w:val="0"/>
        <w:autoSpaceDN w:val="0"/>
        <w:bidi w:val="0"/>
        <w:adjustRightInd w:val="0"/>
        <w:spacing w:after="0" w:afterLines="0" w:line="360" w:lineRule="auto"/>
        <w:ind w:firstLine="420" w:firstLineChars="200"/>
        <w:textAlignment w:val="auto"/>
        <w:outlineLvl w:val="1"/>
        <w:rPr>
          <w:rFonts w:hint="eastAsia" w:cs="宋体"/>
          <w:kern w:val="0"/>
          <w:sz w:val="21"/>
          <w:szCs w:val="21"/>
          <w:highlight w:val="none"/>
        </w:rPr>
      </w:pPr>
      <w:bookmarkStart w:id="80" w:name="_Toc2277"/>
      <w:r>
        <w:rPr>
          <w:rFonts w:hint="eastAsia" w:cs="宋体"/>
          <w:kern w:val="0"/>
          <w:sz w:val="21"/>
          <w:szCs w:val="21"/>
          <w:highlight w:val="none"/>
        </w:rPr>
        <w:t>1.单价合同</w:t>
      </w:r>
      <w:bookmarkEnd w:id="80"/>
    </w:p>
    <w:p w14:paraId="2165EF8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单价合同是指合同当事人约定以工程量清单及其综合单价进行合同价格计算、调整和确认的建设工程施工合同，</w:t>
      </w:r>
      <w:r>
        <w:rPr>
          <w:rFonts w:hint="eastAsia" w:cs="宋体"/>
          <w:sz w:val="21"/>
          <w:szCs w:val="21"/>
          <w:highlight w:val="none"/>
        </w:rPr>
        <w:t>在约定的范围内合同单价不作调整</w:t>
      </w:r>
      <w:r>
        <w:rPr>
          <w:rFonts w:hint="eastAsia" w:cs="宋体"/>
          <w:kern w:val="0"/>
          <w:sz w:val="21"/>
          <w:szCs w:val="21"/>
          <w:highlight w:val="none"/>
        </w:rPr>
        <w:t>。合同当事人应在专用合同条款中约定综合单价包含的风险范围和风险费用的计算方法</w:t>
      </w:r>
      <w:r>
        <w:rPr>
          <w:rFonts w:hint="eastAsia" w:cs="宋体"/>
          <w:sz w:val="21"/>
          <w:szCs w:val="21"/>
          <w:highlight w:val="none"/>
        </w:rPr>
        <w:t>，</w:t>
      </w:r>
      <w:r>
        <w:rPr>
          <w:rFonts w:hint="eastAsia" w:cs="宋体"/>
          <w:kern w:val="0"/>
          <w:sz w:val="21"/>
          <w:szCs w:val="21"/>
          <w:highlight w:val="none"/>
        </w:rPr>
        <w:t>并约定风险范围以外的合同价格的调整方法，其中因市场价格波动引起的调整按第11.1款〔市场价格波动引起的调整〕约定执行。</w:t>
      </w:r>
    </w:p>
    <w:p w14:paraId="0AB465EB">
      <w:pPr>
        <w:pageBreakBefore w:val="0"/>
        <w:kinsoku/>
        <w:overflowPunct/>
        <w:autoSpaceDE w:val="0"/>
        <w:autoSpaceDN w:val="0"/>
        <w:bidi w:val="0"/>
        <w:adjustRightInd w:val="0"/>
        <w:spacing w:after="0" w:afterLines="0" w:line="360" w:lineRule="auto"/>
        <w:ind w:firstLine="420" w:firstLineChars="200"/>
        <w:textAlignment w:val="auto"/>
        <w:outlineLvl w:val="1"/>
        <w:rPr>
          <w:rFonts w:hint="eastAsia" w:cs="宋体"/>
          <w:kern w:val="0"/>
          <w:sz w:val="21"/>
          <w:szCs w:val="21"/>
          <w:highlight w:val="none"/>
        </w:rPr>
      </w:pPr>
      <w:bookmarkStart w:id="81" w:name="_Toc3807"/>
      <w:r>
        <w:rPr>
          <w:rFonts w:hint="eastAsia" w:cs="宋体"/>
          <w:kern w:val="0"/>
          <w:sz w:val="21"/>
          <w:szCs w:val="21"/>
          <w:highlight w:val="none"/>
        </w:rPr>
        <w:t>2.总价合同</w:t>
      </w:r>
      <w:bookmarkEnd w:id="81"/>
    </w:p>
    <w:p w14:paraId="24EDF3A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总价合同是指合同当事人约定以施工图、已标价工程量清单或预算书及有关条件进行合同价格计算、调整和确认的建设工程施工合同，</w:t>
      </w:r>
      <w:r>
        <w:rPr>
          <w:rFonts w:hint="eastAsia" w:cs="宋体"/>
          <w:sz w:val="21"/>
          <w:szCs w:val="21"/>
          <w:highlight w:val="none"/>
        </w:rPr>
        <w:t>在约定的范围内合同总价不作调整</w:t>
      </w:r>
      <w:r>
        <w:rPr>
          <w:rFonts w:hint="eastAsia" w:cs="宋体"/>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35D2456">
      <w:pPr>
        <w:pageBreakBefore w:val="0"/>
        <w:kinsoku/>
        <w:overflowPunct/>
        <w:autoSpaceDE w:val="0"/>
        <w:autoSpaceDN w:val="0"/>
        <w:bidi w:val="0"/>
        <w:adjustRightInd w:val="0"/>
        <w:spacing w:after="0" w:afterLines="0" w:line="360" w:lineRule="auto"/>
        <w:ind w:firstLine="420" w:firstLineChars="200"/>
        <w:textAlignment w:val="auto"/>
        <w:outlineLvl w:val="1"/>
        <w:rPr>
          <w:rFonts w:hint="eastAsia" w:cs="宋体"/>
          <w:kern w:val="0"/>
          <w:sz w:val="21"/>
          <w:szCs w:val="21"/>
          <w:highlight w:val="none"/>
        </w:rPr>
      </w:pPr>
      <w:bookmarkStart w:id="82" w:name="_Toc30337"/>
      <w:r>
        <w:rPr>
          <w:rFonts w:hint="eastAsia" w:cs="宋体"/>
          <w:kern w:val="0"/>
          <w:sz w:val="21"/>
          <w:szCs w:val="21"/>
          <w:highlight w:val="none"/>
        </w:rPr>
        <w:t>3.其它价格形式</w:t>
      </w:r>
      <w:bookmarkEnd w:id="82"/>
    </w:p>
    <w:p w14:paraId="61890FC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合同当事人可在专用合同条款中约定其他合同价格形式。</w:t>
      </w:r>
    </w:p>
    <w:p w14:paraId="2325F6C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12.2预付款</w:t>
      </w:r>
    </w:p>
    <w:p w14:paraId="18ED7BC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12.2.</w:t>
      </w:r>
      <w:r>
        <w:rPr>
          <w:rFonts w:hint="eastAsia" w:cs="宋体"/>
          <w:kern w:val="0"/>
          <w:sz w:val="21"/>
          <w:szCs w:val="21"/>
          <w:highlight w:val="none"/>
        </w:rPr>
        <w:t>1预付款的支付</w:t>
      </w:r>
    </w:p>
    <w:p w14:paraId="65A95BC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44E5838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除专用合同条款另有约定外，预付款在进度付款中同比例扣回。在颁发工程接收证书前，提前解除合同的，尚未扣完的预付款应与合同价款一并结算。</w:t>
      </w:r>
    </w:p>
    <w:p w14:paraId="541BA21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41F268D9">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12.2.2 预付款担保</w:t>
      </w:r>
    </w:p>
    <w:p w14:paraId="5C66060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73AD35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发包人在工程款中逐期扣回预付款后，预付款担保额度应相应减少，但剩余的预付款担保金额不得低于未被扣回的预付款金额。</w:t>
      </w:r>
    </w:p>
    <w:p w14:paraId="43B9592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12.3计量</w:t>
      </w:r>
    </w:p>
    <w:p w14:paraId="337C20F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12.3.1 计量原则</w:t>
      </w:r>
    </w:p>
    <w:p w14:paraId="71C6515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3D990BA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12.3.2 计量周期</w:t>
      </w:r>
    </w:p>
    <w:p w14:paraId="0647132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除专用合同条款另有约定外，工程量的计量按月进行。</w:t>
      </w:r>
    </w:p>
    <w:p w14:paraId="42719EF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12.3.3 单价合同的计量</w:t>
      </w:r>
    </w:p>
    <w:p w14:paraId="34A01AB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除专用合同条款另有约定外，单价合同的计量按照本项约定执行：</w:t>
      </w:r>
    </w:p>
    <w:p w14:paraId="475D5D8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（1）承包人应于每月25日向监理人报送上月20日至当月19日已完成的工程量报告，并附具进度付款申请单、已完成工程量报表和有关资料。</w:t>
      </w:r>
    </w:p>
    <w:p w14:paraId="32EA9FC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73D4E3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（3）监理人未在收到承包人提交的工程量报表后的7天内完成审核的，承包人报送的工程量报告中的工程量视为承包人实际完成的工程量，据此计算工程价款。</w:t>
      </w:r>
    </w:p>
    <w:p w14:paraId="4C4F636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12.3.4 总价合同的计量</w:t>
      </w:r>
    </w:p>
    <w:p w14:paraId="447D374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除专用合同条款另有约定外，按月计量支付的总价合同，按照本项约定执行：</w:t>
      </w:r>
    </w:p>
    <w:p w14:paraId="2A093D1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（1）承包人应于每月25日向监理人报送上月20日至当月19日已完成的工程量报告，并附具进度付款申请单、已完成工程量报表和有关资料。</w:t>
      </w:r>
    </w:p>
    <w:p w14:paraId="6A61D5A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247165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（3）监理人未在收到承包人提交的工程量报表后的7天内完成复核的，承包人提交的工程量报告中的工程量视为承包人实际完成的工程量。</w:t>
      </w:r>
    </w:p>
    <w:p w14:paraId="47E67F2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12.3.5 总价合同采用支付分解表计量支付的，可以按照第12.3.4项〔总价合同的计量〕约定进行计量，但合同价款按照支付分解表进行支付。</w:t>
      </w:r>
    </w:p>
    <w:p w14:paraId="1187BCE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12.3.6 其他价格形式合同的计量</w:t>
      </w:r>
    </w:p>
    <w:p w14:paraId="78F4967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合同当事人可在专用合同条款中约定其他价格形式合同的计量方式和程序。</w:t>
      </w:r>
    </w:p>
    <w:p w14:paraId="5025CED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12.4工程进度款支付</w:t>
      </w:r>
    </w:p>
    <w:p w14:paraId="45F3793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12.4</w:t>
      </w:r>
      <w:r>
        <w:rPr>
          <w:rFonts w:hint="eastAsia" w:cs="宋体"/>
          <w:kern w:val="0"/>
          <w:sz w:val="21"/>
          <w:szCs w:val="21"/>
          <w:highlight w:val="none"/>
        </w:rPr>
        <w:t>.1 付款周期</w:t>
      </w:r>
    </w:p>
    <w:p w14:paraId="263EA29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除专用合同条款另有约定外，付款周期应按照第12.3.2项〔计量周期〕的约定与计量周期保持一致。</w:t>
      </w:r>
    </w:p>
    <w:p w14:paraId="7CF645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12.4</w:t>
      </w:r>
      <w:r>
        <w:rPr>
          <w:rFonts w:hint="eastAsia" w:cs="宋体"/>
          <w:kern w:val="0"/>
          <w:sz w:val="21"/>
          <w:szCs w:val="21"/>
          <w:highlight w:val="none"/>
        </w:rPr>
        <w:t>.2 进度付款申请单的编制</w:t>
      </w:r>
    </w:p>
    <w:p w14:paraId="2548A55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除专用合同条款另有约定外，进度付款申请单应包括下列内容：</w:t>
      </w:r>
    </w:p>
    <w:p w14:paraId="736421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（1）截至本次付款周期已完成工作对应的金额；</w:t>
      </w:r>
    </w:p>
    <w:p w14:paraId="355820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（2）根据第10条〔变更〕应增加和扣减的变更金额；</w:t>
      </w:r>
    </w:p>
    <w:p w14:paraId="479DDE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（3）根据第12.2款〔预付款〕约定应支付的预付款和扣减的返还预付款；</w:t>
      </w:r>
    </w:p>
    <w:p w14:paraId="636C409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（4）根据第15.3款〔质量保证金〕约定应扣减的质量保证金；</w:t>
      </w:r>
    </w:p>
    <w:p w14:paraId="3AD582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（5）根据第19条〔索赔〕应增加和扣减的索赔金额；</w:t>
      </w:r>
    </w:p>
    <w:p w14:paraId="1BC73C6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（6）对已签发的进度款支付证书中出现错误的修正，应在本次进度付款中支付或扣除的金额；</w:t>
      </w:r>
    </w:p>
    <w:p w14:paraId="4D4E40D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（7）根据合同约定应增加和扣减的其他金额。</w:t>
      </w:r>
    </w:p>
    <w:p w14:paraId="7CD480F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12.4.3 进度付款申请单的提交</w:t>
      </w:r>
    </w:p>
    <w:p w14:paraId="169A8BC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（1）单价合同进度付款申请单的提交</w:t>
      </w:r>
    </w:p>
    <w:p w14:paraId="77A8EBD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439BA3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（2）总价合同进度付款申请单的提交</w:t>
      </w:r>
    </w:p>
    <w:p w14:paraId="7FBAF78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总价合同按月计量支付的，承包人按照第12.3.4项〔总价合同的计量〕约定的时间按月向监理人提交进度付款申请单，并附上已完成工程量报表和有关资料。</w:t>
      </w:r>
    </w:p>
    <w:p w14:paraId="7CDD235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总价合同按支付分解表支付的，承包人应按照第12.4.6项〔支付分解表〕及第12.4.2项〔进度付款申请单的编制〕的约定向监理人提交进度付款申请单。</w:t>
      </w:r>
    </w:p>
    <w:p w14:paraId="495B84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（3）其他价格形式合同的进度付款申请单的提交</w:t>
      </w:r>
    </w:p>
    <w:p w14:paraId="270F9E5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合同当事人可在专用合同条款中约定其他价格形式合同的进度付款申请单的编制和提交程序。</w:t>
      </w:r>
    </w:p>
    <w:p w14:paraId="39752AE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12.4</w:t>
      </w:r>
      <w:r>
        <w:rPr>
          <w:rFonts w:hint="eastAsia" w:cs="宋体"/>
          <w:kern w:val="0"/>
          <w:sz w:val="21"/>
          <w:szCs w:val="21"/>
          <w:highlight w:val="none"/>
        </w:rPr>
        <w:t>.4 进度款审核和支付</w:t>
      </w:r>
    </w:p>
    <w:p w14:paraId="7BA5CED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0EB3A5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5FD95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143DBE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（3）发包人签发进度款支付证书或临时进度款支付证书，不表明发包人已同意、批准或接受了承包人完成的相应部分的工作。</w:t>
      </w:r>
    </w:p>
    <w:p w14:paraId="519972D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12.4.5 进度付款的修正</w:t>
      </w:r>
    </w:p>
    <w:p w14:paraId="56557BC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2A5E7CE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12.4.6 支付分解表</w:t>
      </w:r>
    </w:p>
    <w:p w14:paraId="2D076556">
      <w:pPr>
        <w:pageBreakBefore w:val="0"/>
        <w:kinsoku/>
        <w:overflowPunct/>
        <w:bidi w:val="0"/>
        <w:spacing w:after="0" w:afterLines="0" w:line="360" w:lineRule="auto"/>
        <w:ind w:firstLine="420" w:firstLineChars="200"/>
        <w:textAlignment w:val="auto"/>
        <w:outlineLvl w:val="1"/>
        <w:rPr>
          <w:rFonts w:hint="eastAsia" w:cs="宋体"/>
          <w:kern w:val="0"/>
          <w:sz w:val="21"/>
          <w:szCs w:val="21"/>
          <w:highlight w:val="none"/>
        </w:rPr>
      </w:pPr>
      <w:bookmarkStart w:id="83" w:name="_Toc14876"/>
      <w:r>
        <w:rPr>
          <w:rFonts w:hint="eastAsia" w:cs="宋体"/>
          <w:kern w:val="0"/>
          <w:sz w:val="21"/>
          <w:szCs w:val="21"/>
          <w:highlight w:val="none"/>
        </w:rPr>
        <w:t>1.支付分解表的编制要求</w:t>
      </w:r>
      <w:bookmarkEnd w:id="83"/>
    </w:p>
    <w:p w14:paraId="4072544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（1）支付分解表中所列的每期付款金额，应为第12.4.2项〔进度付款申请单的编制〕第（1）目的估算金额；</w:t>
      </w:r>
    </w:p>
    <w:p w14:paraId="58623A5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（2）实际进度与施工进度计划不一致的，合同当事人可按照第4.4款〔商定或确定〕修改支付分解表；</w:t>
      </w:r>
    </w:p>
    <w:p w14:paraId="62E8C3F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（3）不采用支付分解表的，承包人应向发包人和监理人提交按季度编制的支付估算分解表，用于支付参考。</w:t>
      </w:r>
    </w:p>
    <w:p w14:paraId="4184290D">
      <w:pPr>
        <w:pageBreakBefore w:val="0"/>
        <w:kinsoku/>
        <w:overflowPunct/>
        <w:bidi w:val="0"/>
        <w:spacing w:after="0" w:afterLines="0" w:line="360" w:lineRule="auto"/>
        <w:ind w:firstLine="420" w:firstLineChars="200"/>
        <w:textAlignment w:val="auto"/>
        <w:outlineLvl w:val="1"/>
        <w:rPr>
          <w:rFonts w:hint="eastAsia" w:cs="宋体"/>
          <w:kern w:val="0"/>
          <w:sz w:val="21"/>
          <w:szCs w:val="21"/>
          <w:highlight w:val="none"/>
        </w:rPr>
      </w:pPr>
      <w:bookmarkStart w:id="84" w:name="_Toc2618"/>
      <w:r>
        <w:rPr>
          <w:rFonts w:hint="eastAsia" w:cs="宋体"/>
          <w:kern w:val="0"/>
          <w:sz w:val="21"/>
          <w:szCs w:val="21"/>
          <w:highlight w:val="none"/>
        </w:rPr>
        <w:t>2.总价合同支付分解表的编制与审批</w:t>
      </w:r>
      <w:bookmarkEnd w:id="84"/>
    </w:p>
    <w:p w14:paraId="78B319A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07C778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16C8BF32">
      <w:pPr>
        <w:pageBreakBefore w:val="0"/>
        <w:kinsoku/>
        <w:overflowPunct/>
        <w:bidi w:val="0"/>
        <w:spacing w:after="0" w:afterLines="0" w:line="360" w:lineRule="auto"/>
        <w:textAlignment w:val="auto"/>
        <w:rPr>
          <w:rFonts w:hint="eastAsia" w:cs="宋体"/>
          <w:kern w:val="0"/>
          <w:sz w:val="21"/>
          <w:szCs w:val="21"/>
          <w:highlight w:val="none"/>
        </w:rPr>
      </w:pPr>
      <w:r>
        <w:rPr>
          <w:rFonts w:hint="eastAsia" w:cs="宋体"/>
          <w:kern w:val="0"/>
          <w:sz w:val="21"/>
          <w:szCs w:val="21"/>
          <w:highlight w:val="none"/>
        </w:rPr>
        <w:t>（3）发包人逾期未完成支付分解表审批的，也未及时要求承包人进行修正和提供补充资料的，则承包人提交的支付分解表视为已经获得发包人批准。</w:t>
      </w:r>
    </w:p>
    <w:p w14:paraId="54164C51">
      <w:pPr>
        <w:pageBreakBefore w:val="0"/>
        <w:kinsoku/>
        <w:overflowPunct/>
        <w:bidi w:val="0"/>
        <w:spacing w:after="0" w:afterLines="0" w:line="360" w:lineRule="auto"/>
        <w:ind w:firstLine="420" w:firstLineChars="200"/>
        <w:textAlignment w:val="auto"/>
        <w:outlineLvl w:val="1"/>
        <w:rPr>
          <w:rFonts w:hint="eastAsia" w:cs="宋体"/>
          <w:kern w:val="0"/>
          <w:sz w:val="21"/>
          <w:szCs w:val="21"/>
          <w:highlight w:val="none"/>
        </w:rPr>
      </w:pPr>
      <w:bookmarkStart w:id="85" w:name="_Toc27069"/>
      <w:r>
        <w:rPr>
          <w:rFonts w:hint="eastAsia" w:cs="宋体"/>
          <w:kern w:val="0"/>
          <w:sz w:val="21"/>
          <w:szCs w:val="21"/>
          <w:highlight w:val="none"/>
        </w:rPr>
        <w:t>3.单价合同的总价项目支付分解表的编制与审批</w:t>
      </w:r>
      <w:bookmarkEnd w:id="85"/>
    </w:p>
    <w:p w14:paraId="7C942FE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70A05D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12.5支付账户</w:t>
      </w:r>
    </w:p>
    <w:p w14:paraId="2BDAEB1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发包人应将合同价款支付至合同协议书中约定的承包人账户。</w:t>
      </w:r>
    </w:p>
    <w:p w14:paraId="31916C6D">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86" w:name="_Toc24129"/>
      <w:bookmarkStart w:id="87" w:name="_Toc18363_WPSOffice_Level2"/>
      <w:bookmarkStart w:id="88" w:name="_Toc13220_WPSOffice_Level2"/>
      <w:r>
        <w:rPr>
          <w:rFonts w:hint="eastAsia"/>
          <w:sz w:val="21"/>
          <w:szCs w:val="21"/>
          <w:highlight w:val="none"/>
        </w:rPr>
        <w:t>13. 验收和工程试车</w:t>
      </w:r>
      <w:bookmarkEnd w:id="86"/>
      <w:bookmarkEnd w:id="87"/>
      <w:bookmarkEnd w:id="88"/>
    </w:p>
    <w:p w14:paraId="3D420DB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13.1分部分项工程验收</w:t>
      </w:r>
    </w:p>
    <w:p w14:paraId="722CEB28">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13.1.1 分部分项工程质量应符合国家有关工程施工验收规范、标准及合同约定，承包人应按照施工组织设计的要求完成分部分项工程施工。</w:t>
      </w:r>
    </w:p>
    <w:p w14:paraId="25F2D5A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13.1.2 除专用合同条款另有约定外，分部分项工程经承包人自检合格并具备验收条件的，承包人应提前48小时通知监理人进行验收。</w:t>
      </w:r>
      <w:r>
        <w:rPr>
          <w:rFonts w:hint="eastAsia" w:cs="宋体"/>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cs="宋体"/>
          <w:sz w:val="21"/>
          <w:szCs w:val="21"/>
          <w:highlight w:val="none"/>
        </w:rPr>
        <w:t>分部分项工程未经验收的，不得进入下一道工序施工。</w:t>
      </w:r>
    </w:p>
    <w:p w14:paraId="5B8229B7">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分部分项工程的验收资料应当作为竣工资料的组成部分。</w:t>
      </w:r>
    </w:p>
    <w:p w14:paraId="5EC5235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13.2竣工验收</w:t>
      </w:r>
    </w:p>
    <w:p w14:paraId="66A6704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13.2.1竣工验收条件</w:t>
      </w:r>
    </w:p>
    <w:p w14:paraId="0908FEB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工程具备以下条件的，承包人可以申请竣工验收：</w:t>
      </w:r>
    </w:p>
    <w:p w14:paraId="2461241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（1）除发包人同意的甩项工作和缺陷修补工作外，合同范围内的全部工程以及有关工作，包括合同要求的试验、试运行以及检验均已完成，并符合合同要求；</w:t>
      </w:r>
    </w:p>
    <w:p w14:paraId="262DD0F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（2）已按合同约定编制了甩项工作和缺陷修补工作清单以及相应的施工计划；</w:t>
      </w:r>
    </w:p>
    <w:p w14:paraId="66EC66F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（3）已按合同约定的内容和份数备齐竣工资料。</w:t>
      </w:r>
    </w:p>
    <w:p w14:paraId="718DAEC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13.2.2竣工验收程序</w:t>
      </w:r>
    </w:p>
    <w:p w14:paraId="47E6070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除专用合同条款另有约定外，承包人申请竣工验收的，应当按照以下程序进行：</w:t>
      </w:r>
    </w:p>
    <w:p w14:paraId="588308B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EC57B3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153CF02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70E9180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0D1939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C7F74E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079EEBAC">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13.2.3竣工日期</w:t>
      </w:r>
    </w:p>
    <w:p w14:paraId="5D26E48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65754E2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13.2.4 拒绝接收全部或部分工程</w:t>
      </w:r>
    </w:p>
    <w:p w14:paraId="46813C4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02A264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13.2.5 移交、接收全部与部分工程</w:t>
      </w:r>
    </w:p>
    <w:p w14:paraId="7F999C0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除专用合同条款另有约定外，合同当事人应当在颁发工程接收证书后7天内完成工程的移交。</w:t>
      </w:r>
    </w:p>
    <w:p w14:paraId="085CE8E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7F2CB2F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170F8A7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13.3工程试车</w:t>
      </w:r>
    </w:p>
    <w:p w14:paraId="2FEBA2E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13.3.1试车程序</w:t>
      </w:r>
    </w:p>
    <w:p w14:paraId="302364A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工程需要试车的，除专用合同条款另有约定外，试车内容应与承包人承包范围相一致，试车费用由承包人承担。工程试车应按如下程序进行：</w:t>
      </w:r>
    </w:p>
    <w:p w14:paraId="479AFAC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619E2F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745378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51A9A2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13.3.2 试车中的责任</w:t>
      </w:r>
    </w:p>
    <w:p w14:paraId="5ABFD31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2A884C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AF584A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13.3.3 投料试车</w:t>
      </w:r>
    </w:p>
    <w:p w14:paraId="5B60EA8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0F72C40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51F38A3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13.4提前交付单位工程的验收</w:t>
      </w:r>
    </w:p>
    <w:p w14:paraId="421B0C4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1DF66F2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4879C55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353A228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13.5 施工期运行</w:t>
      </w:r>
    </w:p>
    <w:p w14:paraId="19B6ACF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40DA1D3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13.5.2 在施工期运行中发现工程或工程设备损坏或存在缺陷的，由承包人按第15.2款〔缺陷责任期〕约定进行修复。</w:t>
      </w:r>
    </w:p>
    <w:p w14:paraId="14D11BF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13.6 竣工退场</w:t>
      </w:r>
    </w:p>
    <w:p w14:paraId="17F561E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13.6.1 竣工退场</w:t>
      </w:r>
    </w:p>
    <w:p w14:paraId="0D7D029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颁发工程接收证书后，承包人应按以下要求对施工现场进行清理：</w:t>
      </w:r>
    </w:p>
    <w:p w14:paraId="053A9DD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（1）施工现场内残留的垃圾已全部清除出场；</w:t>
      </w:r>
    </w:p>
    <w:p w14:paraId="6B2A957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（2）临时工程已拆除，场地已进行清理、平整或复原；</w:t>
      </w:r>
    </w:p>
    <w:p w14:paraId="1092E72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（3）按合同约定应撤离的人员、承包人施工设备和剩余的材料，包括废弃的施工设备和材料，已按计划撤离施工现场；</w:t>
      </w:r>
    </w:p>
    <w:p w14:paraId="4044973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（4）施工现场周边及其附近道路、河道的施工堆积物，已全部清理；</w:t>
      </w:r>
    </w:p>
    <w:p w14:paraId="671FA40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（5）施工现场其他场地清理工作已全部完成。</w:t>
      </w:r>
    </w:p>
    <w:p w14:paraId="19BCF4C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2B3EA7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13.6.2 地表还原</w:t>
      </w:r>
    </w:p>
    <w:p w14:paraId="1430288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77DC9F59">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89" w:name="_Toc9565"/>
      <w:bookmarkStart w:id="90" w:name="_Toc8722_WPSOffice_Level2"/>
      <w:bookmarkStart w:id="91" w:name="_Toc6690_WPSOffice_Level2"/>
      <w:bookmarkStart w:id="92" w:name="_Toc22884"/>
      <w:r>
        <w:rPr>
          <w:rFonts w:hint="eastAsia"/>
          <w:sz w:val="21"/>
          <w:szCs w:val="21"/>
          <w:highlight w:val="none"/>
        </w:rPr>
        <w:t>14. 竣工结算</w:t>
      </w:r>
      <w:bookmarkEnd w:id="89"/>
      <w:bookmarkEnd w:id="90"/>
      <w:bookmarkEnd w:id="91"/>
      <w:bookmarkEnd w:id="92"/>
    </w:p>
    <w:p w14:paraId="4929AA1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14.1 竣工结算申请</w:t>
      </w:r>
    </w:p>
    <w:p w14:paraId="58A0AF05">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除专用合同条款另有约定外，</w:t>
      </w:r>
      <w:r>
        <w:rPr>
          <w:rFonts w:hint="eastAsia" w:cs="宋体"/>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49B9631A">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除专用合同条款另有约定外，竣工结算申请单应包括以下内容：</w:t>
      </w:r>
    </w:p>
    <w:p w14:paraId="461D5CA4">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（1）竣工结算合同价格；</w:t>
      </w:r>
    </w:p>
    <w:p w14:paraId="59A79783">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（2）发包人已支付承包人的款项；</w:t>
      </w:r>
    </w:p>
    <w:p w14:paraId="3010451C">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 xml:space="preserve">（3）应扣留的质量保证金。已缴纳履约保证金的或提供其他工程质量担保方式的除外； </w:t>
      </w:r>
    </w:p>
    <w:p w14:paraId="382041A3">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（4）发包人应支付承包人的合同价款。</w:t>
      </w:r>
    </w:p>
    <w:p w14:paraId="44BF5F2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14.2 竣工结算审核</w:t>
      </w:r>
    </w:p>
    <w:p w14:paraId="785CF80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cs="宋体"/>
          <w:sz w:val="21"/>
          <w:szCs w:val="21"/>
          <w:highlight w:val="none"/>
        </w:rPr>
        <w:t>发包人对竣工</w:t>
      </w:r>
      <w:r>
        <w:rPr>
          <w:rFonts w:hint="eastAsia" w:cs="宋体"/>
          <w:kern w:val="0"/>
          <w:sz w:val="21"/>
          <w:szCs w:val="21"/>
          <w:highlight w:val="none"/>
        </w:rPr>
        <w:t>结算</w:t>
      </w:r>
      <w:r>
        <w:rPr>
          <w:rFonts w:hint="eastAsia" w:cs="宋体"/>
          <w:sz w:val="21"/>
          <w:szCs w:val="21"/>
          <w:highlight w:val="none"/>
        </w:rPr>
        <w:t>申请单有异议的，有权要求承包人进行修正和提供补充资料，承包人应提交修正后的竣工</w:t>
      </w:r>
      <w:r>
        <w:rPr>
          <w:rFonts w:hint="eastAsia" w:cs="宋体"/>
          <w:kern w:val="0"/>
          <w:sz w:val="21"/>
          <w:szCs w:val="21"/>
          <w:highlight w:val="none"/>
        </w:rPr>
        <w:t>结算</w:t>
      </w:r>
      <w:r>
        <w:rPr>
          <w:rFonts w:hint="eastAsia" w:cs="宋体"/>
          <w:sz w:val="21"/>
          <w:szCs w:val="21"/>
          <w:highlight w:val="none"/>
        </w:rPr>
        <w:t>申请单。</w:t>
      </w:r>
    </w:p>
    <w:p w14:paraId="166F722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F22EB8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60F663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E97A5B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14.3 甩项竣工协议</w:t>
      </w:r>
    </w:p>
    <w:p w14:paraId="04306766">
      <w:pPr>
        <w:pageBreakBefore w:val="0"/>
        <w:kinsoku/>
        <w:overflowPunct/>
        <w:autoSpaceDE w:val="0"/>
        <w:autoSpaceDN w:val="0"/>
        <w:bidi w:val="0"/>
        <w:adjustRightInd w:val="0"/>
        <w:spacing w:after="0" w:afterLines="0" w:line="360" w:lineRule="auto"/>
        <w:ind w:firstLine="411" w:firstLineChars="196"/>
        <w:textAlignment w:val="auto"/>
        <w:rPr>
          <w:rFonts w:hint="eastAsia" w:cs="宋体"/>
          <w:kern w:val="0"/>
          <w:sz w:val="21"/>
          <w:szCs w:val="21"/>
          <w:highlight w:val="none"/>
        </w:rPr>
      </w:pPr>
      <w:r>
        <w:rPr>
          <w:rFonts w:hint="eastAsia"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65E60E1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14.4 最终结清</w:t>
      </w:r>
    </w:p>
    <w:p w14:paraId="08DEBDC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14.4.1 最终结清申请单</w:t>
      </w:r>
    </w:p>
    <w:p w14:paraId="01EE5C5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5F70B3C8">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w:t>
      </w:r>
      <w:r>
        <w:rPr>
          <w:rFonts w:hint="eastAsia" w:cs="宋体"/>
          <w:kern w:val="0"/>
          <w:sz w:val="21"/>
          <w:szCs w:val="21"/>
          <w:highlight w:val="none"/>
        </w:rPr>
        <w:t>最终结清申请单</w:t>
      </w:r>
      <w:r>
        <w:rPr>
          <w:rFonts w:hint="eastAsia" w:cs="宋体"/>
          <w:sz w:val="21"/>
          <w:szCs w:val="21"/>
          <w:highlight w:val="none"/>
        </w:rPr>
        <w:t>应列明质量保证金、应扣除的质量保证金、缺陷责任期内发生的增减费用。</w:t>
      </w:r>
    </w:p>
    <w:p w14:paraId="60062D8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（2）发包人对最终结清申请单内容有异议的，有权要求承包人进行修正和提供补充资料，承包人应向发包人提交修正后的最终结清申请单。</w:t>
      </w:r>
    </w:p>
    <w:p w14:paraId="6E3704F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14.4.2 最终结清证书和支付</w:t>
      </w:r>
    </w:p>
    <w:p w14:paraId="4DC738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3450CC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2D701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（3）承包人对发包人颁发的最终结清证书有异议的，按第20条〔争议解决〕的约定办理。</w:t>
      </w:r>
    </w:p>
    <w:p w14:paraId="0C00F7BE">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93" w:name="_Toc7601"/>
      <w:bookmarkStart w:id="94" w:name="_Toc1434_WPSOffice_Level2"/>
      <w:bookmarkStart w:id="95" w:name="_Toc31779_WPSOffice_Level2"/>
      <w:bookmarkStart w:id="96" w:name="_Toc30693"/>
      <w:r>
        <w:rPr>
          <w:rFonts w:hint="eastAsia"/>
          <w:sz w:val="21"/>
          <w:szCs w:val="21"/>
          <w:highlight w:val="none"/>
        </w:rPr>
        <w:t>15. 缺陷责任与保修</w:t>
      </w:r>
      <w:bookmarkEnd w:id="93"/>
      <w:bookmarkEnd w:id="94"/>
      <w:bookmarkEnd w:id="95"/>
      <w:bookmarkEnd w:id="96"/>
    </w:p>
    <w:p w14:paraId="6B9CCCA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15.1 工程保修的原则</w:t>
      </w:r>
    </w:p>
    <w:p w14:paraId="4438E3F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736F249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15.2 缺陷责任期</w:t>
      </w:r>
    </w:p>
    <w:p w14:paraId="73059AD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15.2.1 缺陷责任期从工程通过竣工验收之日起计算，合同当事人应在专用合同条款约定缺陷责任期的具体期限，但该期限最长不超过24个月。</w:t>
      </w:r>
    </w:p>
    <w:p w14:paraId="263F673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73C4F56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cs="宋体"/>
          <w:bCs/>
          <w:sz w:val="21"/>
          <w:szCs w:val="21"/>
          <w:highlight w:val="none"/>
        </w:rPr>
        <w:t>包人延长缺陷责任期，</w:t>
      </w:r>
      <w:r>
        <w:rPr>
          <w:rFonts w:hint="eastAsia" w:cs="宋体"/>
          <w:kern w:val="0"/>
          <w:sz w:val="21"/>
          <w:szCs w:val="21"/>
          <w:highlight w:val="none"/>
        </w:rPr>
        <w:t>并应在原缺陷责任期届满前发出延长通知。</w:t>
      </w:r>
      <w:r>
        <w:rPr>
          <w:rFonts w:hint="eastAsia" w:cs="宋体"/>
          <w:bCs/>
          <w:sz w:val="21"/>
          <w:szCs w:val="21"/>
          <w:highlight w:val="none"/>
        </w:rPr>
        <w:t>但缺陷责任期（含延长部分）最长</w:t>
      </w:r>
      <w:r>
        <w:rPr>
          <w:rFonts w:hint="eastAsia" w:cs="宋体"/>
          <w:kern w:val="0"/>
          <w:sz w:val="21"/>
          <w:szCs w:val="21"/>
          <w:highlight w:val="none"/>
        </w:rPr>
        <w:t>不能超过24个月。</w:t>
      </w:r>
    </w:p>
    <w:p w14:paraId="7A90027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由他人原因造成的缺陷，发包人负责组织维修，承包人不承担费用，且发包人不得从保证金中扣除费用。</w:t>
      </w:r>
    </w:p>
    <w:p w14:paraId="2418D9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45A6A4E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E2024B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15.3 质量保证金</w:t>
      </w:r>
    </w:p>
    <w:p w14:paraId="169D595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经合同当事人协商一致扣留质量保证金的，应在专用合同条款中予以明确。</w:t>
      </w:r>
    </w:p>
    <w:p w14:paraId="5448F2B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在工程项目竣工前，承包人已经提供履约担保的，发包人不得同时预留工程质量保证金。</w:t>
      </w:r>
    </w:p>
    <w:p w14:paraId="7CD5BCA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15.3.1 承包人提供质量保证金的方式</w:t>
      </w:r>
    </w:p>
    <w:p w14:paraId="61F040C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承包人提供质量保证金有以下三种方式：</w:t>
      </w:r>
    </w:p>
    <w:p w14:paraId="24AB5BB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（1）质量保证金保函； </w:t>
      </w:r>
    </w:p>
    <w:p w14:paraId="495910A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（2）相应比例的工程款；</w:t>
      </w:r>
    </w:p>
    <w:p w14:paraId="341BC19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（3）双方约定的其他方式。</w:t>
      </w:r>
    </w:p>
    <w:p w14:paraId="0E62B46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除专用合同条款另有约定外，质量保证金原则上采用上述第（1）种方式。</w:t>
      </w:r>
    </w:p>
    <w:p w14:paraId="487139B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15.3.2 质量保证金的扣留</w:t>
      </w:r>
    </w:p>
    <w:p w14:paraId="702B879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质量保证金的扣留有以下三种方式：</w:t>
      </w:r>
    </w:p>
    <w:p w14:paraId="1BCE96D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（1）在支付工程进度款时逐次扣留，在此情形下，质量保证金的计算基数不包括预付款的支付、扣回以及价格调整的金额；</w:t>
      </w:r>
    </w:p>
    <w:p w14:paraId="7641DF4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（2）工程竣工结算时一次性扣留质量保证金；</w:t>
      </w:r>
    </w:p>
    <w:p w14:paraId="095B8A0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（3）双方约定的其他扣留方式。</w:t>
      </w:r>
    </w:p>
    <w:p w14:paraId="1ADB8E5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除专用合同条款另有约定外，质量保证金的扣留原则上采用上述第（1）种方式。</w:t>
      </w:r>
    </w:p>
    <w:p w14:paraId="0ED3A1D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062A08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发包人在退还质量保证金的同时按照中国人民银行发布的同期同类贷款基准利率支付利息。</w:t>
      </w:r>
    </w:p>
    <w:p w14:paraId="33B6B97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15.3.3 </w:t>
      </w:r>
      <w:r>
        <w:rPr>
          <w:rFonts w:hint="eastAsia" w:cs="宋体"/>
          <w:sz w:val="21"/>
          <w:szCs w:val="21"/>
          <w:highlight w:val="none"/>
        </w:rPr>
        <w:t>质量保证金</w:t>
      </w:r>
      <w:r>
        <w:rPr>
          <w:rFonts w:hint="eastAsia" w:cs="宋体"/>
          <w:kern w:val="0"/>
          <w:sz w:val="21"/>
          <w:szCs w:val="21"/>
          <w:highlight w:val="none"/>
        </w:rPr>
        <w:t>的退还</w:t>
      </w:r>
    </w:p>
    <w:p w14:paraId="011039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缺陷责任期内，承包人认真履行合同约定的责任，到期后，承包人可向发包人申请返还保证金。</w:t>
      </w:r>
    </w:p>
    <w:p w14:paraId="52EAFA9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E8D7B8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发包人和承包人对保证金预留、返还以及工程维修质量、费用有争议的，按本合同第20条约定的争议和纠纷解决程序处理。</w:t>
      </w:r>
    </w:p>
    <w:p w14:paraId="2A89FC7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15.4 保修</w:t>
      </w:r>
    </w:p>
    <w:p w14:paraId="792D267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15.4.1保修责任</w:t>
      </w:r>
    </w:p>
    <w:p w14:paraId="2088AEA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6412221">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发包人未经竣工验收擅自使用工程的，保修期自</w:t>
      </w:r>
      <w:r>
        <w:rPr>
          <w:rFonts w:hint="eastAsia" w:cs="宋体"/>
          <w:kern w:val="0"/>
          <w:sz w:val="21"/>
          <w:szCs w:val="21"/>
          <w:highlight w:val="none"/>
        </w:rPr>
        <w:t>转移占有之日起算</w:t>
      </w:r>
      <w:r>
        <w:rPr>
          <w:rFonts w:hint="eastAsia" w:cs="宋体"/>
          <w:sz w:val="21"/>
          <w:szCs w:val="21"/>
          <w:highlight w:val="none"/>
        </w:rPr>
        <w:t>。</w:t>
      </w:r>
    </w:p>
    <w:p w14:paraId="698D88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15.4.2 修复费用</w:t>
      </w:r>
    </w:p>
    <w:p w14:paraId="4AE875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保修期内，修复的费用按照以下约定处理：</w:t>
      </w:r>
    </w:p>
    <w:p w14:paraId="7830082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（1）保修期内，因承包人原因造成工程的缺陷、损坏，承包人应负责修复，并承担修复的费用以及因工程的缺陷、损坏造成的人身伤害和财产损失；</w:t>
      </w:r>
    </w:p>
    <w:p w14:paraId="7B4F09D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（2）保修期内，因发包人使用不当造成工程的缺陷、损坏，可以委托承包人修复，但发包人应承担修复的费用，并支付承包人合理利润；</w:t>
      </w:r>
    </w:p>
    <w:p w14:paraId="2AD2151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6DACE65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15.4.3 修复通知</w:t>
      </w:r>
    </w:p>
    <w:p w14:paraId="0B30ECB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1D70C6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15.4.4 未能修复</w:t>
      </w:r>
    </w:p>
    <w:p w14:paraId="588BAEE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78C151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15.4.5 承包人出入权</w:t>
      </w:r>
    </w:p>
    <w:p w14:paraId="172AC14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011894E">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97" w:name="_Toc16079_WPSOffice_Level2"/>
      <w:bookmarkStart w:id="98" w:name="_Toc8599_WPSOffice_Level2"/>
      <w:bookmarkStart w:id="99" w:name="_Toc22765"/>
      <w:bookmarkStart w:id="100" w:name="_Toc20689"/>
      <w:r>
        <w:rPr>
          <w:rFonts w:hint="eastAsia"/>
          <w:sz w:val="21"/>
          <w:szCs w:val="21"/>
          <w:highlight w:val="none"/>
        </w:rPr>
        <w:t>16. 违约</w:t>
      </w:r>
      <w:bookmarkEnd w:id="97"/>
      <w:bookmarkEnd w:id="98"/>
      <w:bookmarkEnd w:id="99"/>
      <w:bookmarkEnd w:id="100"/>
    </w:p>
    <w:p w14:paraId="5E16975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16.1 发包人违约</w:t>
      </w:r>
    </w:p>
    <w:p w14:paraId="1A2B7FE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16.1.1 发包人违约的情形</w:t>
      </w:r>
    </w:p>
    <w:p w14:paraId="7E66A85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在合同履行过程中发生的下列情形，属于发包人违约：</w:t>
      </w:r>
    </w:p>
    <w:p w14:paraId="29884F3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（1）因发包人原因未能在计划开工日期前7天内下达开工通知的；</w:t>
      </w:r>
    </w:p>
    <w:p w14:paraId="5D3C27F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（2）因发包人原因未能按合同约定支付合同价款的；</w:t>
      </w:r>
    </w:p>
    <w:p w14:paraId="7B48543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（3）发包人违反第10.1款〔变更的范围〕第（2）项约定，自行实施被取消的工作或转由他人实施的；</w:t>
      </w:r>
    </w:p>
    <w:p w14:paraId="1F323F0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（4）发包人提供的材料、工程设备的规格、数量或质量不符合合同约定，或因发包人原因导致交货日期延误或交货地点变更等情况的；</w:t>
      </w:r>
    </w:p>
    <w:p w14:paraId="45B259D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（5）因发包人违反合同约定造成暂停施工的；</w:t>
      </w:r>
    </w:p>
    <w:p w14:paraId="66DCB9C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（6）发包人无正当理由没有在约定期限内发出复工指示，导致承包人无法复工的；</w:t>
      </w:r>
    </w:p>
    <w:p w14:paraId="51C30F1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（7）发包人明确表示或者以其行为表明不履行合同主要义务的；</w:t>
      </w:r>
    </w:p>
    <w:p w14:paraId="663B6CB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（8）发包人未能按照合同约定履行其他义务的。</w:t>
      </w:r>
    </w:p>
    <w:p w14:paraId="6A7A597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7203618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16.1.2 发包人违约的责任</w:t>
      </w:r>
    </w:p>
    <w:p w14:paraId="1DF389D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4D51F73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16.1.3 因发包人违约解除合同</w:t>
      </w:r>
    </w:p>
    <w:p w14:paraId="4F85D60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596A575">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16.1.4 因发包人违约解除合同后的付款</w:t>
      </w:r>
    </w:p>
    <w:p w14:paraId="14C3AEB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承包人按照本款约定解除合同的，发包人应在解除合同后28天内支付下列款项，并解除履约担保：</w:t>
      </w:r>
    </w:p>
    <w:p w14:paraId="44C368F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（1）合同解除前所完成工作的价款；</w:t>
      </w:r>
    </w:p>
    <w:p w14:paraId="2063634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（2）承包人为工程施工订购并已付款的材料、工程设备和其他物品的价款；</w:t>
      </w:r>
    </w:p>
    <w:p w14:paraId="11E80BA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（3）承包人撤离施工现场以及遣散承包人人员的款项；</w:t>
      </w:r>
    </w:p>
    <w:p w14:paraId="051ED23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（4）按照合同约定在合同解除前应支付的违约金；</w:t>
      </w:r>
    </w:p>
    <w:p w14:paraId="26E2EB6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（5）按照合同约定应当支付给承包人的其他款项；</w:t>
      </w:r>
    </w:p>
    <w:p w14:paraId="6647722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（6）按照合同约定应退还的质量保证金；</w:t>
      </w:r>
    </w:p>
    <w:p w14:paraId="662C825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（7）因解除合同给承包人造成的损失。</w:t>
      </w:r>
    </w:p>
    <w:p w14:paraId="7CCC834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合同当事人未能就解除合同后的结清达成一致的，按照第20条〔争议解决〕的约定处理。</w:t>
      </w:r>
    </w:p>
    <w:p w14:paraId="2948C3F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6A4D83D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16.2 承包人违约</w:t>
      </w:r>
    </w:p>
    <w:p w14:paraId="2A34DF3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16.2.1 承包人违约的情形</w:t>
      </w:r>
    </w:p>
    <w:p w14:paraId="0E7DC6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在合同履行过程中发生的下列情形，属于承包人违约：</w:t>
      </w:r>
    </w:p>
    <w:p w14:paraId="4E33172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（1）承包人违反合同约定进行转包或违法分包的；</w:t>
      </w:r>
    </w:p>
    <w:p w14:paraId="06CF819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（2）承包人违反合同约定采购和使用不合格的材料和工程设备的；</w:t>
      </w:r>
    </w:p>
    <w:p w14:paraId="472A148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（3）因承包人原因导致工程质量不符合合同要求的； </w:t>
      </w:r>
    </w:p>
    <w:p w14:paraId="12056A5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（4）承包人违反第8.9款〔材料与设备专用要求〕的约定，未经批准，私自将已按照合同约定进入施工现场的材料或设备撤离施工现场的；</w:t>
      </w:r>
    </w:p>
    <w:p w14:paraId="295C8F6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（5）承包人未能按施工进度计划及时完成合同约定的工作，造成工期延误的；</w:t>
      </w:r>
    </w:p>
    <w:p w14:paraId="3AA9533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（6）承包人在缺陷责任期及保修期内，未能在合理期限对工程缺陷进行修复，或拒绝按发包人要求进行修复的；</w:t>
      </w:r>
    </w:p>
    <w:p w14:paraId="19DC15D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（7）承包人明确表示或者以其行为表明不履行合同主要义务的；</w:t>
      </w:r>
    </w:p>
    <w:p w14:paraId="6F4CD99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（8）承包人未能按照合同约定履行其他义务的。</w:t>
      </w:r>
    </w:p>
    <w:p w14:paraId="3A547C1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承包人发生除本项第（7）目约定以外的其他违约情况时，监理人可向承包人发出整改通知，要求其在指定的期限内改正。</w:t>
      </w:r>
    </w:p>
    <w:p w14:paraId="6E5AB67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16.2.2 承包人违约的责任</w:t>
      </w:r>
    </w:p>
    <w:p w14:paraId="5727C0D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承包人应承担因其违约行为而增加的费用和（或）延误的工期。此外，合同当事人可在专用合同条款中另行约定承包人违约责任的承担方式和计算方法。</w:t>
      </w:r>
    </w:p>
    <w:p w14:paraId="5E777C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16.2.3 因承包人违约解除合同</w:t>
      </w:r>
    </w:p>
    <w:p w14:paraId="63E158D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314735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16.2.4因承包人违约解除合同后的处理</w:t>
      </w:r>
    </w:p>
    <w:p w14:paraId="2E4F03C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因承包人原因导致合同解除的，则合同当事人应在合同解除后28天内完成估价、付款和清算，并按以下约定执行：</w:t>
      </w:r>
    </w:p>
    <w:p w14:paraId="12F2745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（1）合同解除后，按第4.4款〔商定或确定〕商定或确定承包人实际完成工作对应的合同价款，以及承包人已提供的材料、工程设备、施工设备和临时工程等的价值；</w:t>
      </w:r>
    </w:p>
    <w:p w14:paraId="784CD2A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（2）合同解除后，承包人应支付的违约金；</w:t>
      </w:r>
    </w:p>
    <w:p w14:paraId="6E2AC99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（3）合同解除后，因解除合同给发包人造成的损失；</w:t>
      </w:r>
    </w:p>
    <w:p w14:paraId="0FF1498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（4）合同解除后，承包人应按照发包人要求和监理人的指示完成现场的清理和撤离；</w:t>
      </w:r>
    </w:p>
    <w:p w14:paraId="0AAEBB1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（5）发包人和承包人应在合同解除后进行清算，出具最终结清付款证书，结清全部款项。</w:t>
      </w:r>
    </w:p>
    <w:p w14:paraId="793D2B6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43C3D01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16.2.5采购合同权益转让</w:t>
      </w:r>
    </w:p>
    <w:p w14:paraId="011090D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F8DD49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16.3 第三人造成的违约</w:t>
      </w:r>
    </w:p>
    <w:p w14:paraId="2F13D68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0B898D68">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01" w:name="_Toc15411"/>
      <w:bookmarkStart w:id="102" w:name="_Toc355_WPSOffice_Level2"/>
      <w:bookmarkStart w:id="103" w:name="_Toc29564"/>
      <w:bookmarkStart w:id="104" w:name="_Toc24358_WPSOffice_Level2"/>
      <w:r>
        <w:rPr>
          <w:rFonts w:hint="eastAsia"/>
          <w:sz w:val="21"/>
          <w:szCs w:val="21"/>
          <w:highlight w:val="none"/>
        </w:rPr>
        <w:t>17. 不可抗力</w:t>
      </w:r>
      <w:bookmarkEnd w:id="101"/>
      <w:bookmarkEnd w:id="102"/>
      <w:bookmarkEnd w:id="103"/>
      <w:bookmarkEnd w:id="104"/>
      <w:r>
        <w:rPr>
          <w:rFonts w:hint="eastAsia"/>
          <w:sz w:val="21"/>
          <w:szCs w:val="21"/>
          <w:highlight w:val="none"/>
        </w:rPr>
        <w:t xml:space="preserve"> </w:t>
      </w:r>
    </w:p>
    <w:p w14:paraId="045995A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17.1 不可抗力的确认</w:t>
      </w:r>
    </w:p>
    <w:p w14:paraId="40E890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2A068E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760AAC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17.2 不可抗力的通知</w:t>
      </w:r>
    </w:p>
    <w:p w14:paraId="27497FF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7125A1E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095EE74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17.3 不可抗力后果的承担</w:t>
      </w:r>
    </w:p>
    <w:p w14:paraId="5C34F78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17.3.1 不可抗力引起的后果及造成的损失由合同当事人按照法律规定及合同约定各自承担。不可抗力发生前已完成的工程应当按照合同约定进行计量支付。</w:t>
      </w:r>
    </w:p>
    <w:p w14:paraId="3ACCF17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17.3.2 不可抗力导致的人员伤亡、财产损失、费用增加和（或）工期延误等后果，由合同当事人按以下原则承担：</w:t>
      </w:r>
    </w:p>
    <w:p w14:paraId="7A0DB4F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（1）永久工程、已运至施工现场的材料和工程设备的损坏，以及因工程损坏造成的第三人人员伤亡和财产损失由发包人承担；</w:t>
      </w:r>
    </w:p>
    <w:p w14:paraId="1FF1701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（2）承包人施工设备的损坏由承包人承担；</w:t>
      </w:r>
    </w:p>
    <w:p w14:paraId="789B76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（3）发包人和承包人承担各自人员伤亡和财产的损失；</w:t>
      </w:r>
    </w:p>
    <w:p w14:paraId="7EA5BAB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0BE364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（5）因不可抗力引起或将引起工期延误，发包人要求赶工的，由此增加的赶工费用由发包人承担；</w:t>
      </w:r>
    </w:p>
    <w:p w14:paraId="3B79E0A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（6）承包人在停工期间按照发包人要求照管、清理和修复工程的费用由发包人承担。</w:t>
      </w:r>
    </w:p>
    <w:p w14:paraId="574F562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不可抗力发生后，合同当事人均应采取措施尽量避免和减少损失的扩大，任何一方当事人没有采取有效措施导致损失扩大的，应对扩大的损失承担责任。</w:t>
      </w:r>
    </w:p>
    <w:p w14:paraId="5F60E3A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因合同一方迟延履行合同义务，在迟延履行期间遭遇不可抗力的，不免除其违约责任。</w:t>
      </w:r>
    </w:p>
    <w:p w14:paraId="38CFDD5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17.4 因不可抗力解除合同</w:t>
      </w:r>
    </w:p>
    <w:p w14:paraId="248EB5C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01BDB26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（1）合同解除前承包人已完成工作的价款；</w:t>
      </w:r>
    </w:p>
    <w:p w14:paraId="2F74798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（2）承包人为工程订购的并已交付给承包人，或承包人有责任接受交付的材料、工程设备和其他物品的价款；</w:t>
      </w:r>
    </w:p>
    <w:p w14:paraId="4FEA183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（3）发包人要求承包人退货或解除订货合同而产生的费用，或因不能退货或解除合同而产生的损失；</w:t>
      </w:r>
    </w:p>
    <w:p w14:paraId="5791C22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（4）承包人撤离施工现场以及遣散承包人人员的费用；</w:t>
      </w:r>
    </w:p>
    <w:p w14:paraId="7F4D186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（5）按照合同约定在合同解除前应支付给承包人的其他款项；</w:t>
      </w:r>
    </w:p>
    <w:p w14:paraId="6BD5B72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（6）扣减承包人按照合同约定应向发包人支付的款项；</w:t>
      </w:r>
    </w:p>
    <w:p w14:paraId="7371C27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（7）双方商定或确定的其他款项。</w:t>
      </w:r>
    </w:p>
    <w:p w14:paraId="4480B3D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除专用合同条款另有约定外，合同解除后，发包人应在商定或确定上述款项后28天内完成上述款项的支付。</w:t>
      </w:r>
    </w:p>
    <w:p w14:paraId="0FC859DA">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05" w:name="_Toc25168_WPSOffice_Level2"/>
      <w:bookmarkStart w:id="106" w:name="_Toc7501"/>
      <w:bookmarkStart w:id="107" w:name="_Toc21557"/>
      <w:bookmarkStart w:id="108" w:name="_Toc11223_WPSOffice_Level2"/>
      <w:r>
        <w:rPr>
          <w:rFonts w:hint="eastAsia"/>
          <w:sz w:val="21"/>
          <w:szCs w:val="21"/>
          <w:highlight w:val="none"/>
        </w:rPr>
        <w:t>18. 保险</w:t>
      </w:r>
      <w:bookmarkEnd w:id="105"/>
      <w:bookmarkEnd w:id="106"/>
      <w:bookmarkEnd w:id="107"/>
      <w:bookmarkEnd w:id="108"/>
    </w:p>
    <w:p w14:paraId="3C3DC41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18.1 工程保险</w:t>
      </w:r>
    </w:p>
    <w:p w14:paraId="0D0BC80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26AB227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18.2 工伤保险</w:t>
      </w:r>
    </w:p>
    <w:p w14:paraId="218D2C4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2994591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79945A6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18.3其他保险</w:t>
      </w:r>
    </w:p>
    <w:p w14:paraId="6769F14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71AA72B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除专用合同条款另有约定外，承包人应为其施工设备等办理财产保险。</w:t>
      </w:r>
    </w:p>
    <w:p w14:paraId="74AEB1E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18.4持续保险</w:t>
      </w:r>
    </w:p>
    <w:p w14:paraId="6A8D9E02">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合同当事人应与保险人保持联系，使保险人能够随时了解工程实施中的变动，并确保按保险合同条款要求持续保险。</w:t>
      </w:r>
    </w:p>
    <w:p w14:paraId="038D2B4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18.5 保险凭证</w:t>
      </w:r>
    </w:p>
    <w:p w14:paraId="24F96E5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合同当事人应及时向另一方当事人提交其已投保的各项保险的凭证和保险单复印件。</w:t>
      </w:r>
    </w:p>
    <w:p w14:paraId="213022A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18.6 未按约定投保的补救</w:t>
      </w:r>
    </w:p>
    <w:p w14:paraId="52A53CD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4723412D">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0357C56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18.7 通知义务</w:t>
      </w:r>
    </w:p>
    <w:p w14:paraId="33A78CDA">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0B8F7ED5">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保险事故发生时，投保人应按照保险合同规定的条件和期限及时向保险人报告。发包人和承包人应当在知道保险事故发生后及时通知对方。</w:t>
      </w:r>
    </w:p>
    <w:p w14:paraId="28E81F21">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09" w:name="_Toc16176"/>
      <w:bookmarkStart w:id="110" w:name="_Toc18392_WPSOffice_Level2"/>
      <w:bookmarkStart w:id="111" w:name="_Toc8522"/>
      <w:bookmarkStart w:id="112" w:name="_Toc11324_WPSOffice_Level2"/>
      <w:r>
        <w:rPr>
          <w:rFonts w:hint="eastAsia"/>
          <w:sz w:val="21"/>
          <w:szCs w:val="21"/>
          <w:highlight w:val="none"/>
        </w:rPr>
        <w:t>19. 索赔</w:t>
      </w:r>
      <w:bookmarkEnd w:id="109"/>
      <w:bookmarkEnd w:id="110"/>
      <w:bookmarkEnd w:id="111"/>
      <w:bookmarkEnd w:id="112"/>
    </w:p>
    <w:p w14:paraId="3FE4D9E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19.1承包人的索赔</w:t>
      </w:r>
    </w:p>
    <w:p w14:paraId="672A5E0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根据合同约定，承包人认为有权得到追加付款和（或）延长工期的，应按以下程序向发包人提出索赔：</w:t>
      </w:r>
    </w:p>
    <w:p w14:paraId="5DB652B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2F11C3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16955F2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5DD6AD5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（4）在索赔事件影响结束后28天内，承包人应向监理人递交最终索赔报告，说明最终要求索赔的追加付款金额和（或）延长的工期，并附必要的记录和证明材料。</w:t>
      </w:r>
    </w:p>
    <w:p w14:paraId="52179CF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19.2 对承包人索赔的处理</w:t>
      </w:r>
    </w:p>
    <w:p w14:paraId="671BA94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对承包人索赔的处理如下：</w:t>
      </w:r>
    </w:p>
    <w:p w14:paraId="3D3B06A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（1）监理人应在收到索赔报告后14天内完成审查并报送发包人。监理人对索赔报告存在异议的，有权要求承包人提交全部原始记录副本；</w:t>
      </w:r>
    </w:p>
    <w:p w14:paraId="3676B83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572BDB8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（3）承包人接受索赔处理结果的，索赔款项在当期进度款中进行支付；承包人不接受索赔处理结果的，按照第20条〔争议解决〕约定处理。</w:t>
      </w:r>
    </w:p>
    <w:p w14:paraId="59C67EA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19.3发包人的索赔</w:t>
      </w:r>
    </w:p>
    <w:p w14:paraId="22B56D2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根据合同约定，发包人认为有权得到赔付金额和（或）延长缺陷责任期的，监理人应向承包人发出通知并附有详细的证明。</w:t>
      </w:r>
    </w:p>
    <w:p w14:paraId="0BF2840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224885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19.4 对发包人索赔的处理</w:t>
      </w:r>
    </w:p>
    <w:p w14:paraId="39D4784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对发包人索赔的处理如下：</w:t>
      </w:r>
    </w:p>
    <w:p w14:paraId="6BFC74B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（1）承包人收到发包人提交的索赔报告后，应及时审查索赔报告的内容、查验发包人证明材料；</w:t>
      </w:r>
    </w:p>
    <w:p w14:paraId="645CE13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45A7A2D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20D0973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19.5 提出索赔的期限</w:t>
      </w:r>
    </w:p>
    <w:p w14:paraId="0348D27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（1）承包人按第14.2款〔竣工结算审核〕约定接收竣工付款证书后，应被视为已无权再提出在工程接收证书颁发前所发生的任何索赔。</w:t>
      </w:r>
    </w:p>
    <w:p w14:paraId="5BC1E0F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（2）承包人按第14.4款〔最终结清〕提交的最终结清申请单中，只限于提出工程接收证书颁发后发生的索赔。提出索赔的期限自接受最终结清证书时终止。</w:t>
      </w:r>
    </w:p>
    <w:p w14:paraId="27108945">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13" w:name="_Toc11004"/>
      <w:bookmarkStart w:id="114" w:name="_Toc30474_WPSOffice_Level2"/>
      <w:bookmarkStart w:id="115" w:name="_Toc15646"/>
      <w:bookmarkStart w:id="116" w:name="_Toc5201_WPSOffice_Level2"/>
      <w:r>
        <w:rPr>
          <w:rFonts w:hint="eastAsia"/>
          <w:sz w:val="21"/>
          <w:szCs w:val="21"/>
          <w:highlight w:val="none"/>
        </w:rPr>
        <w:t>20. 争议解决</w:t>
      </w:r>
      <w:bookmarkEnd w:id="113"/>
      <w:bookmarkEnd w:id="114"/>
      <w:bookmarkEnd w:id="115"/>
      <w:bookmarkEnd w:id="116"/>
    </w:p>
    <w:p w14:paraId="2181C6A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20.1和解</w:t>
      </w:r>
    </w:p>
    <w:p w14:paraId="489672B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合同当事人可以就争议自行和解，自行和解达成协议的经双方签字并盖章后作为合同补充文件，双方均应遵照执行。</w:t>
      </w:r>
    </w:p>
    <w:p w14:paraId="1444FD7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20.2调解</w:t>
      </w:r>
    </w:p>
    <w:p w14:paraId="53064611">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1B7FC47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20.3争议评审</w:t>
      </w:r>
    </w:p>
    <w:p w14:paraId="5493C051">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 xml:space="preserve">合同当事人在专用合同条款中约定采取争议评审方式解决争议以及评审规则，并按下列约定执行： </w:t>
      </w:r>
    </w:p>
    <w:p w14:paraId="4032BD09">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20.3.1 争议评审小组的确定</w:t>
      </w:r>
    </w:p>
    <w:p w14:paraId="7D3293F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56C8D8C0">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2290F8A">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除专用合同条款另有约定外，评审员报酬由发包人和承包人各承担一半。</w:t>
      </w:r>
    </w:p>
    <w:p w14:paraId="730C0AF6">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20.3.2 争议评审小组的决定</w:t>
      </w:r>
    </w:p>
    <w:p w14:paraId="779E2232">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D7867E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20.3.3 争议评审小组决定的效力</w:t>
      </w:r>
    </w:p>
    <w:p w14:paraId="186C5E7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争议评审小组作出的书面决定经合同当事人签字确认后，对双方具有约束力，双方应遵照执行。</w:t>
      </w:r>
    </w:p>
    <w:p w14:paraId="7856B052">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任何一方当事人不接受争议评审小组决定或不履行争议评审小组决定的，双方可选择采用其他争议解决方式。</w:t>
      </w:r>
    </w:p>
    <w:p w14:paraId="3035C35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20.4仲裁或诉讼</w:t>
      </w:r>
    </w:p>
    <w:p w14:paraId="19CA1818">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因合同及合同有关事项产生的争议，合同当事人可以在专用合同条款中约定以下一种方式解决争议：</w:t>
      </w:r>
    </w:p>
    <w:p w14:paraId="69AAFAD2">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（1）向约定的仲裁委员会申请仲裁；</w:t>
      </w:r>
    </w:p>
    <w:p w14:paraId="65EE6A71">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（2）向有管辖权的人民法院起诉。</w:t>
      </w:r>
    </w:p>
    <w:p w14:paraId="155069B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20.5争议解决条款效力</w:t>
      </w:r>
    </w:p>
    <w:p w14:paraId="41153C64">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 xml:space="preserve">合同有关争议解决的条款独立存在，合同的变更、解除、终止、无效或者被撤销均不影响其效力。 </w:t>
      </w:r>
    </w:p>
    <w:p w14:paraId="1BA4CE63">
      <w:pPr>
        <w:pStyle w:val="4"/>
        <w:pageBreakBefore w:val="0"/>
        <w:kinsoku/>
        <w:overflowPunct/>
        <w:bidi w:val="0"/>
        <w:spacing w:after="0" w:afterLines="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br w:type="page"/>
      </w:r>
      <w:bookmarkEnd w:id="28"/>
      <w:bookmarkEnd w:id="30"/>
      <w:bookmarkEnd w:id="31"/>
      <w:bookmarkStart w:id="117" w:name="_Toc21186"/>
      <w:bookmarkStart w:id="118" w:name="_Toc54862331"/>
      <w:bookmarkStart w:id="119" w:name="_Toc31016"/>
      <w:r>
        <w:rPr>
          <w:rFonts w:hint="eastAsia" w:ascii="宋体" w:hAnsi="宋体" w:eastAsia="宋体" w:cs="宋体"/>
          <w:color w:val="auto"/>
          <w:sz w:val="21"/>
          <w:szCs w:val="21"/>
        </w:rPr>
        <w:t xml:space="preserve">第三部分 </w:t>
      </w:r>
      <w:bookmarkEnd w:id="117"/>
      <w:bookmarkEnd w:id="118"/>
      <w:bookmarkStart w:id="120" w:name="_Toc2470"/>
      <w:bookmarkStart w:id="121" w:name="_Toc18679"/>
      <w:bookmarkStart w:id="122" w:name="_Toc31807"/>
      <w:bookmarkStart w:id="123" w:name="_Toc22693"/>
      <w:bookmarkStart w:id="124" w:name="_Toc10367"/>
      <w:bookmarkStart w:id="125" w:name="_Toc20813"/>
      <w:bookmarkStart w:id="126" w:name="_Toc54862351"/>
      <w:r>
        <w:rPr>
          <w:rFonts w:hint="eastAsia" w:ascii="宋体" w:hAnsi="宋体" w:eastAsia="宋体" w:cs="宋体"/>
          <w:color w:val="auto"/>
          <w:sz w:val="21"/>
          <w:szCs w:val="21"/>
          <w:highlight w:val="none"/>
        </w:rPr>
        <w:t>专用合同条款</w:t>
      </w:r>
      <w:bookmarkEnd w:id="119"/>
      <w:bookmarkEnd w:id="120"/>
      <w:bookmarkEnd w:id="121"/>
      <w:bookmarkEnd w:id="122"/>
      <w:bookmarkEnd w:id="123"/>
      <w:bookmarkEnd w:id="124"/>
    </w:p>
    <w:p w14:paraId="480976A0">
      <w:pPr>
        <w:pageBreakBefore w:val="0"/>
        <w:widowControl w:val="0"/>
        <w:kinsoku/>
        <w:wordWrap/>
        <w:overflowPunct/>
        <w:topLinePunct w:val="0"/>
        <w:autoSpaceDE/>
        <w:autoSpaceDN/>
        <w:bidi w:val="0"/>
        <w:adjustRightInd/>
        <w:snapToGrid/>
        <w:spacing w:after="0" w:afterLines="0" w:line="360" w:lineRule="auto"/>
        <w:textAlignment w:val="auto"/>
        <w:outlineLvl w:val="1"/>
        <w:rPr>
          <w:rFonts w:hint="eastAsia" w:ascii="宋体" w:hAnsi="宋体" w:eastAsia="宋体" w:cs="宋体"/>
          <w:color w:val="auto"/>
          <w:sz w:val="21"/>
          <w:szCs w:val="21"/>
          <w:highlight w:val="none"/>
          <w:lang w:val="en-US"/>
        </w:rPr>
      </w:pPr>
      <w:bookmarkStart w:id="127" w:name="_Toc25246"/>
      <w:bookmarkStart w:id="128" w:name="_Toc30797"/>
      <w:bookmarkStart w:id="129" w:name="_Toc54768804"/>
      <w:bookmarkStart w:id="130" w:name="_Toc51829099"/>
      <w:bookmarkStart w:id="131" w:name="_Toc21260"/>
      <w:bookmarkStart w:id="132" w:name="_Toc16751"/>
      <w:bookmarkStart w:id="133" w:name="_Toc263"/>
      <w:r>
        <w:rPr>
          <w:rFonts w:hint="eastAsia" w:ascii="宋体" w:hAnsi="宋体" w:eastAsia="宋体" w:cs="宋体"/>
          <w:color w:val="auto"/>
          <w:sz w:val="21"/>
          <w:szCs w:val="21"/>
          <w:highlight w:val="none"/>
          <w:lang w:val="en-US"/>
        </w:rPr>
        <w:t xml:space="preserve">1. </w:t>
      </w:r>
      <w:r>
        <w:rPr>
          <w:rFonts w:hint="eastAsia" w:ascii="宋体" w:hAnsi="宋体" w:eastAsia="宋体" w:cs="宋体"/>
          <w:color w:val="auto"/>
          <w:sz w:val="21"/>
          <w:szCs w:val="21"/>
          <w:highlight w:val="none"/>
          <w:lang w:eastAsia="zh-CN"/>
        </w:rPr>
        <w:t>一般约定</w:t>
      </w:r>
      <w:bookmarkEnd w:id="127"/>
      <w:bookmarkEnd w:id="128"/>
      <w:bookmarkEnd w:id="129"/>
      <w:bookmarkEnd w:id="130"/>
      <w:bookmarkEnd w:id="131"/>
      <w:bookmarkEnd w:id="132"/>
      <w:bookmarkEnd w:id="133"/>
    </w:p>
    <w:p w14:paraId="3BA7998C">
      <w:pPr>
        <w:pageBreakBefore w:val="0"/>
        <w:widowControl w:val="0"/>
        <w:kinsoku/>
        <w:wordWrap/>
        <w:overflowPunct/>
        <w:topLinePunct w:val="0"/>
        <w:autoSpaceDE/>
        <w:autoSpaceDN/>
        <w:bidi w:val="0"/>
        <w:adjustRightInd/>
        <w:snapToGrid/>
        <w:spacing w:after="0" w:afterLines="0" w:line="360" w:lineRule="auto"/>
        <w:ind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1.1 词语定义</w:t>
      </w:r>
    </w:p>
    <w:p w14:paraId="496C59DB">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1.1.1合同</w:t>
      </w:r>
    </w:p>
    <w:p w14:paraId="7ECC39DF">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其他合同文件包括：</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09E58F78">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25464830">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监理人：</w:t>
      </w:r>
    </w:p>
    <w:p w14:paraId="5EE1361B">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7F930370">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w:t>
      </w:r>
    </w:p>
    <w:p w14:paraId="6320B37B">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w:t>
      </w:r>
    </w:p>
    <w:p w14:paraId="7B452DF9">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w:t>
      </w:r>
    </w:p>
    <w:p w14:paraId="47A91159">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w:t>
      </w:r>
    </w:p>
    <w:p w14:paraId="7B650E32">
      <w:pPr>
        <w:pageBreakBefore w:val="0"/>
        <w:widowControl w:val="0"/>
        <w:kinsoku/>
        <w:wordWrap/>
        <w:overflowPunct/>
        <w:topLinePunct w:val="0"/>
        <w:autoSpaceDE/>
        <w:autoSpaceDN/>
        <w:bidi w:val="0"/>
        <w:adjustRightInd/>
        <w:snapToGrid/>
        <w:spacing w:after="0" w:afterLines="0" w:line="360" w:lineRule="auto"/>
        <w:ind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1.3</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法律</w:t>
      </w:r>
    </w:p>
    <w:p w14:paraId="08E0A0CF">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适用于合同的其他规范性文件：项目建设过程中发包人制订的相关制度、管理规定。</w:t>
      </w:r>
    </w:p>
    <w:p w14:paraId="530A2372">
      <w:pPr>
        <w:pageBreakBefore w:val="0"/>
        <w:widowControl w:val="0"/>
        <w:kinsoku/>
        <w:wordWrap/>
        <w:overflowPunct/>
        <w:topLinePunct w:val="0"/>
        <w:autoSpaceDE/>
        <w:autoSpaceDN/>
        <w:bidi w:val="0"/>
        <w:adjustRightInd/>
        <w:snapToGrid/>
        <w:spacing w:after="0" w:afterLines="0" w:line="360" w:lineRule="auto"/>
        <w:ind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w:t>
      </w:r>
      <w:r>
        <w:rPr>
          <w:rFonts w:hint="eastAsia" w:ascii="宋体" w:hAnsi="宋体" w:eastAsia="宋体" w:cs="宋体"/>
          <w:b w:val="0"/>
          <w:bCs w:val="0"/>
          <w:color w:val="auto"/>
          <w:sz w:val="21"/>
          <w:szCs w:val="21"/>
          <w:highlight w:val="none"/>
          <w:lang w:val="en-US" w:eastAsia="zh-CN"/>
        </w:rPr>
        <w:t xml:space="preserve">5 </w:t>
      </w:r>
      <w:r>
        <w:rPr>
          <w:rFonts w:hint="eastAsia" w:ascii="宋体" w:hAnsi="宋体" w:eastAsia="宋体" w:cs="宋体"/>
          <w:b w:val="0"/>
          <w:bCs w:val="0"/>
          <w:color w:val="auto"/>
          <w:sz w:val="21"/>
          <w:szCs w:val="21"/>
          <w:highlight w:val="none"/>
        </w:rPr>
        <w:t>合同文件的优先顺序</w:t>
      </w:r>
    </w:p>
    <w:p w14:paraId="11F79A5B">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r>
        <w:rPr>
          <w:rFonts w:hint="eastAsia" w:ascii="宋体" w:hAnsi="宋体" w:eastAsia="宋体" w:cs="宋体"/>
          <w:color w:val="auto"/>
          <w:sz w:val="21"/>
          <w:szCs w:val="21"/>
          <w:highlight w:val="none"/>
          <w:u w:val="single"/>
        </w:rPr>
        <w:t>以本合同协议书约定为准</w:t>
      </w:r>
      <w:r>
        <w:rPr>
          <w:rFonts w:hint="eastAsia" w:ascii="宋体" w:hAnsi="宋体" w:eastAsia="宋体" w:cs="宋体"/>
          <w:color w:val="auto"/>
          <w:sz w:val="21"/>
          <w:szCs w:val="21"/>
          <w:highlight w:val="none"/>
        </w:rPr>
        <w:t>。</w:t>
      </w:r>
    </w:p>
    <w:p w14:paraId="2723209F">
      <w:pPr>
        <w:pStyle w:val="5"/>
        <w:keepNext/>
        <w:keepLines/>
        <w:pageBreakBefore w:val="0"/>
        <w:widowControl w:val="0"/>
        <w:kinsoku/>
        <w:wordWrap/>
        <w:overflowPunct/>
        <w:topLinePunct w:val="0"/>
        <w:autoSpaceDE/>
        <w:autoSpaceDN/>
        <w:bidi w:val="0"/>
        <w:adjustRightInd/>
        <w:snapToGrid/>
        <w:spacing w:after="0" w:afterLines="0" w:line="360" w:lineRule="auto"/>
        <w:ind w:left="0" w:leftChars="0" w:firstLine="210" w:firstLineChars="100"/>
        <w:textAlignment w:val="auto"/>
        <w:rPr>
          <w:rFonts w:hint="eastAsia" w:ascii="宋体" w:hAnsi="宋体" w:eastAsia="宋体" w:cs="宋体"/>
          <w:b w:val="0"/>
          <w:bCs/>
          <w:color w:val="auto"/>
          <w:kern w:val="2"/>
          <w:sz w:val="21"/>
          <w:szCs w:val="21"/>
          <w:highlight w:val="none"/>
          <w:lang w:val="en-US" w:eastAsia="zh-CN" w:bidi="ar-SA"/>
        </w:rPr>
      </w:pPr>
      <w:bookmarkStart w:id="134" w:name="_Toc29354"/>
      <w:bookmarkStart w:id="135" w:name="_Toc13570"/>
      <w:r>
        <w:rPr>
          <w:rFonts w:hint="eastAsia" w:ascii="宋体" w:hAnsi="宋体" w:eastAsia="宋体" w:cs="宋体"/>
          <w:b w:val="0"/>
          <w:bCs/>
          <w:color w:val="auto"/>
          <w:kern w:val="2"/>
          <w:sz w:val="21"/>
          <w:szCs w:val="21"/>
          <w:highlight w:val="none"/>
          <w:lang w:val="en-US" w:eastAsia="zh-CN" w:bidi="ar-SA"/>
        </w:rPr>
        <w:t>1.6 图纸和承包人文件</w:t>
      </w:r>
      <w:bookmarkEnd w:id="134"/>
      <w:bookmarkEnd w:id="135"/>
    </w:p>
    <w:p w14:paraId="18C8CFFF">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承包人文件</w:t>
      </w:r>
    </w:p>
    <w:p w14:paraId="35D5CD75">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承包人应按下表要求提交相应文件（以下时间节点只作为发包人把控进度的时间安排，承包人须自行安排承包范围内各项工作交叉时间，且必须保证合同总工期）：</w:t>
      </w:r>
    </w:p>
    <w:tbl>
      <w:tblPr>
        <w:tblStyle w:val="35"/>
        <w:tblW w:w="8977"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618"/>
        <w:gridCol w:w="1698"/>
        <w:gridCol w:w="2723"/>
        <w:gridCol w:w="1211"/>
      </w:tblGrid>
      <w:tr w14:paraId="76A4D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top"/>
          </w:tcPr>
          <w:p w14:paraId="09C99058">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618" w:type="dxa"/>
            <w:noWrap w:val="0"/>
            <w:vAlign w:val="top"/>
          </w:tcPr>
          <w:p w14:paraId="12FB6D73">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资料及文件名称</w:t>
            </w:r>
          </w:p>
        </w:tc>
        <w:tc>
          <w:tcPr>
            <w:tcW w:w="1698" w:type="dxa"/>
            <w:noWrap w:val="0"/>
            <w:vAlign w:val="top"/>
          </w:tcPr>
          <w:p w14:paraId="750CF1EB">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份数</w:t>
            </w:r>
          </w:p>
        </w:tc>
        <w:tc>
          <w:tcPr>
            <w:tcW w:w="2723" w:type="dxa"/>
            <w:noWrap w:val="0"/>
            <w:vAlign w:val="top"/>
          </w:tcPr>
          <w:p w14:paraId="17FD2518">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提交日期</w:t>
            </w:r>
          </w:p>
        </w:tc>
        <w:tc>
          <w:tcPr>
            <w:tcW w:w="1211" w:type="dxa"/>
            <w:noWrap w:val="0"/>
            <w:vAlign w:val="top"/>
          </w:tcPr>
          <w:p w14:paraId="5BFAAF27">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有关事宜</w:t>
            </w:r>
          </w:p>
        </w:tc>
      </w:tr>
      <w:tr w14:paraId="771C3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center"/>
          </w:tcPr>
          <w:p w14:paraId="273D95D6">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p>
        </w:tc>
        <w:tc>
          <w:tcPr>
            <w:tcW w:w="2618" w:type="dxa"/>
            <w:noWrap w:val="0"/>
            <w:vAlign w:val="center"/>
          </w:tcPr>
          <w:p w14:paraId="1A8B0CF2">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施工组织设计</w:t>
            </w:r>
          </w:p>
        </w:tc>
        <w:tc>
          <w:tcPr>
            <w:tcW w:w="1698" w:type="dxa"/>
            <w:vMerge w:val="restart"/>
            <w:noWrap w:val="0"/>
            <w:vAlign w:val="center"/>
          </w:tcPr>
          <w:p w14:paraId="405B7BAA">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723" w:type="dxa"/>
            <w:noWrap w:val="0"/>
            <w:vAlign w:val="center"/>
          </w:tcPr>
          <w:p w14:paraId="01CB75C4">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施工图图审通过后10个日历日</w:t>
            </w:r>
          </w:p>
        </w:tc>
        <w:tc>
          <w:tcPr>
            <w:tcW w:w="1211" w:type="dxa"/>
            <w:vMerge w:val="restart"/>
            <w:noWrap w:val="0"/>
            <w:vAlign w:val="top"/>
          </w:tcPr>
          <w:p w14:paraId="25BE3291">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4034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center"/>
          </w:tcPr>
          <w:p w14:paraId="2B9DEECD">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2618" w:type="dxa"/>
            <w:noWrap w:val="0"/>
            <w:vAlign w:val="center"/>
          </w:tcPr>
          <w:p w14:paraId="316C552F">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材料</w:t>
            </w:r>
            <w:r>
              <w:rPr>
                <w:rFonts w:hint="eastAsia" w:ascii="宋体" w:hAnsi="宋体" w:eastAsia="宋体" w:cs="宋体"/>
                <w:color w:val="auto"/>
                <w:sz w:val="21"/>
                <w:szCs w:val="21"/>
                <w:highlight w:val="none"/>
              </w:rPr>
              <w:t>采购方案</w:t>
            </w:r>
            <w:r>
              <w:rPr>
                <w:rFonts w:hint="eastAsia" w:ascii="宋体" w:hAnsi="宋体" w:eastAsia="宋体" w:cs="宋体"/>
                <w:color w:val="auto"/>
                <w:sz w:val="21"/>
                <w:szCs w:val="21"/>
                <w:highlight w:val="none"/>
                <w:lang w:val="en-US" w:eastAsia="zh-CN"/>
              </w:rPr>
              <w:t>或计划</w:t>
            </w:r>
          </w:p>
        </w:tc>
        <w:tc>
          <w:tcPr>
            <w:tcW w:w="1698" w:type="dxa"/>
            <w:vMerge w:val="continue"/>
            <w:noWrap w:val="0"/>
            <w:vAlign w:val="center"/>
          </w:tcPr>
          <w:p w14:paraId="590F7843">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3E1DE71A">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施工图图审通过后10个日历日</w:t>
            </w:r>
          </w:p>
        </w:tc>
        <w:tc>
          <w:tcPr>
            <w:tcW w:w="1211" w:type="dxa"/>
            <w:vMerge w:val="continue"/>
            <w:noWrap w:val="0"/>
            <w:vAlign w:val="top"/>
          </w:tcPr>
          <w:p w14:paraId="2F674E20">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3924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center"/>
          </w:tcPr>
          <w:p w14:paraId="6DA17143">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p>
        </w:tc>
        <w:tc>
          <w:tcPr>
            <w:tcW w:w="2618" w:type="dxa"/>
            <w:noWrap w:val="0"/>
            <w:vAlign w:val="center"/>
          </w:tcPr>
          <w:p w14:paraId="48CEA67E">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专项施工方案</w:t>
            </w:r>
          </w:p>
        </w:tc>
        <w:tc>
          <w:tcPr>
            <w:tcW w:w="1698" w:type="dxa"/>
            <w:vMerge w:val="continue"/>
            <w:noWrap w:val="0"/>
            <w:vAlign w:val="center"/>
          </w:tcPr>
          <w:p w14:paraId="50A8DC28">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04CE4BC0">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专项工程施工前5个日历日</w:t>
            </w:r>
          </w:p>
        </w:tc>
        <w:tc>
          <w:tcPr>
            <w:tcW w:w="1211" w:type="dxa"/>
            <w:vMerge w:val="continue"/>
            <w:noWrap w:val="0"/>
            <w:vAlign w:val="top"/>
          </w:tcPr>
          <w:p w14:paraId="32797B22">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6CAC4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61F7A529">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2618" w:type="dxa"/>
            <w:noWrap w:val="0"/>
            <w:vAlign w:val="center"/>
          </w:tcPr>
          <w:p w14:paraId="1336D0E1">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月度工程统计报表及次月计划报表</w:t>
            </w:r>
          </w:p>
        </w:tc>
        <w:tc>
          <w:tcPr>
            <w:tcW w:w="1698" w:type="dxa"/>
            <w:vMerge w:val="continue"/>
            <w:noWrap w:val="0"/>
            <w:vAlign w:val="center"/>
          </w:tcPr>
          <w:p w14:paraId="3BECD508">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66F8A595">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每月25日前提交</w:t>
            </w:r>
          </w:p>
        </w:tc>
        <w:tc>
          <w:tcPr>
            <w:tcW w:w="1211" w:type="dxa"/>
            <w:vMerge w:val="continue"/>
            <w:noWrap w:val="0"/>
            <w:vAlign w:val="top"/>
          </w:tcPr>
          <w:p w14:paraId="4AD43725">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36A75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0281283D">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2618" w:type="dxa"/>
            <w:noWrap w:val="0"/>
            <w:vAlign w:val="center"/>
          </w:tcPr>
          <w:p w14:paraId="18631C4F">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材料、设备进场报验材料</w:t>
            </w:r>
          </w:p>
        </w:tc>
        <w:tc>
          <w:tcPr>
            <w:tcW w:w="1698" w:type="dxa"/>
            <w:vMerge w:val="restart"/>
            <w:noWrap w:val="0"/>
            <w:vAlign w:val="center"/>
          </w:tcPr>
          <w:p w14:paraId="1C869359">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纸质版一式两套，电子版一份</w:t>
            </w:r>
          </w:p>
        </w:tc>
        <w:tc>
          <w:tcPr>
            <w:tcW w:w="2723" w:type="dxa"/>
            <w:noWrap w:val="0"/>
            <w:vAlign w:val="center"/>
          </w:tcPr>
          <w:p w14:paraId="39102672">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材料进场使用前</w:t>
            </w:r>
          </w:p>
        </w:tc>
        <w:tc>
          <w:tcPr>
            <w:tcW w:w="1211" w:type="dxa"/>
            <w:vMerge w:val="continue"/>
            <w:noWrap w:val="0"/>
            <w:vAlign w:val="top"/>
          </w:tcPr>
          <w:p w14:paraId="3BB71BDC">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69BCB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3B1FF849">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p>
        </w:tc>
        <w:tc>
          <w:tcPr>
            <w:tcW w:w="2618" w:type="dxa"/>
            <w:noWrap w:val="0"/>
            <w:vAlign w:val="center"/>
          </w:tcPr>
          <w:p w14:paraId="47276780">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检验检测报告、备案审查文件</w:t>
            </w:r>
          </w:p>
        </w:tc>
        <w:tc>
          <w:tcPr>
            <w:tcW w:w="1698" w:type="dxa"/>
            <w:vMerge w:val="continue"/>
            <w:noWrap w:val="0"/>
            <w:vAlign w:val="center"/>
          </w:tcPr>
          <w:p w14:paraId="6D21F535">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1699918B">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检验检测或备案审查后5个日历日</w:t>
            </w:r>
          </w:p>
        </w:tc>
        <w:tc>
          <w:tcPr>
            <w:tcW w:w="1211" w:type="dxa"/>
            <w:vMerge w:val="continue"/>
            <w:noWrap w:val="0"/>
            <w:vAlign w:val="top"/>
          </w:tcPr>
          <w:p w14:paraId="1A077887">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1CC41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67196DB0">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2618" w:type="dxa"/>
            <w:noWrap w:val="0"/>
            <w:vAlign w:val="center"/>
          </w:tcPr>
          <w:p w14:paraId="2118417F">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工程竣工验收备案资料</w:t>
            </w:r>
          </w:p>
        </w:tc>
        <w:tc>
          <w:tcPr>
            <w:tcW w:w="1698" w:type="dxa"/>
            <w:noWrap w:val="0"/>
            <w:vAlign w:val="center"/>
          </w:tcPr>
          <w:p w14:paraId="447946A5">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纸质版一式四套，可编辑电子版一份</w:t>
            </w:r>
          </w:p>
        </w:tc>
        <w:tc>
          <w:tcPr>
            <w:tcW w:w="2723" w:type="dxa"/>
            <w:noWrap w:val="0"/>
            <w:vAlign w:val="center"/>
          </w:tcPr>
          <w:p w14:paraId="7FE84BFC">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验收合格后30个日历日</w:t>
            </w:r>
          </w:p>
        </w:tc>
        <w:tc>
          <w:tcPr>
            <w:tcW w:w="1211" w:type="dxa"/>
            <w:vMerge w:val="continue"/>
            <w:noWrap w:val="0"/>
            <w:vAlign w:val="top"/>
          </w:tcPr>
          <w:p w14:paraId="04C6FFD8">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bl>
    <w:p w14:paraId="0EC9C511">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现场图纸准备</w:t>
      </w:r>
    </w:p>
    <w:p w14:paraId="124AD1B6">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 xml:space="preserve">承包人负责向发包人提供三套施工图，含电子版及CAD图纸 </w:t>
      </w:r>
      <w:r>
        <w:rPr>
          <w:rFonts w:hint="eastAsia" w:ascii="宋体" w:hAnsi="宋体" w:eastAsia="宋体" w:cs="宋体"/>
          <w:color w:val="auto"/>
          <w:sz w:val="21"/>
          <w:szCs w:val="21"/>
          <w:highlight w:val="none"/>
        </w:rPr>
        <w:t>。</w:t>
      </w:r>
    </w:p>
    <w:p w14:paraId="0A98F8E3">
      <w:pPr>
        <w:pStyle w:val="5"/>
        <w:keepNext/>
        <w:keepLines/>
        <w:pageBreakBefore w:val="0"/>
        <w:widowControl w:val="0"/>
        <w:kinsoku/>
        <w:wordWrap/>
        <w:overflowPunct/>
        <w:topLinePunct w:val="0"/>
        <w:autoSpaceDE/>
        <w:autoSpaceDN/>
        <w:bidi w:val="0"/>
        <w:adjustRightInd/>
        <w:snapToGrid/>
        <w:spacing w:after="0" w:afterLines="0" w:line="360" w:lineRule="auto"/>
        <w:ind w:left="0" w:leftChars="0" w:firstLine="210" w:firstLineChars="100"/>
        <w:textAlignment w:val="auto"/>
        <w:rPr>
          <w:rFonts w:hint="eastAsia" w:ascii="宋体" w:hAnsi="宋体" w:eastAsia="宋体" w:cs="宋体"/>
          <w:b w:val="0"/>
          <w:bCs/>
          <w:color w:val="auto"/>
          <w:kern w:val="2"/>
          <w:sz w:val="21"/>
          <w:szCs w:val="21"/>
          <w:highlight w:val="none"/>
          <w:lang w:val="en-US" w:eastAsia="zh-CN" w:bidi="ar-SA"/>
        </w:rPr>
      </w:pPr>
      <w:bookmarkStart w:id="136" w:name="_Toc21700"/>
      <w:bookmarkStart w:id="137" w:name="_Toc25319"/>
      <w:r>
        <w:rPr>
          <w:rFonts w:hint="eastAsia" w:ascii="宋体" w:hAnsi="宋体" w:eastAsia="宋体" w:cs="宋体"/>
          <w:b w:val="0"/>
          <w:bCs/>
          <w:color w:val="auto"/>
          <w:kern w:val="2"/>
          <w:sz w:val="21"/>
          <w:szCs w:val="21"/>
          <w:highlight w:val="none"/>
          <w:lang w:val="en-US" w:eastAsia="zh-CN" w:bidi="ar-SA"/>
        </w:rPr>
        <w:t>1.7 联络</w:t>
      </w:r>
      <w:bookmarkEnd w:id="136"/>
      <w:bookmarkEnd w:id="137"/>
    </w:p>
    <w:p w14:paraId="7116D1A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1.7.1发包人和承包人应当在事件发生后</w:t>
      </w:r>
      <w:r>
        <w:rPr>
          <w:rFonts w:hint="eastAsia" w:ascii="宋体" w:hAnsi="宋体" w:eastAsia="宋体" w:cs="宋体"/>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lang w:val="en-US" w:eastAsia="zh-CN" w:bidi="ar"/>
        </w:rPr>
        <w:t>天内将与合同有关的通知、批准、证明、证书、指示、指令、要求、请求、同意、意见、确定和决定等书面函件送达对方当事人。</w:t>
      </w:r>
    </w:p>
    <w:p w14:paraId="339E34D5">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发包人接收文件的地点：</w:t>
      </w:r>
      <w:r>
        <w:rPr>
          <w:rFonts w:hint="eastAsia" w:ascii="宋体" w:hAnsi="宋体" w:eastAsia="宋体" w:cs="宋体"/>
          <w:color w:val="auto"/>
          <w:sz w:val="21"/>
          <w:szCs w:val="21"/>
          <w:highlight w:val="none"/>
          <w:u w:val="single"/>
        </w:rPr>
        <w:t xml:space="preserve">   项目所在地发包人</w:t>
      </w:r>
      <w:r>
        <w:rPr>
          <w:rFonts w:hint="eastAsia" w:ascii="宋体" w:hAnsi="宋体" w:eastAsia="宋体" w:cs="宋体"/>
          <w:color w:val="auto"/>
          <w:sz w:val="21"/>
          <w:szCs w:val="21"/>
          <w:highlight w:val="none"/>
          <w:u w:val="single"/>
          <w:lang w:val="en-US" w:eastAsia="zh-CN"/>
        </w:rPr>
        <w:t>办公地点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5EDC4A7A">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发包人指定的接收人为：</w:t>
      </w:r>
      <w:r>
        <w:rPr>
          <w:rFonts w:hint="eastAsia" w:ascii="宋体" w:hAnsi="宋体" w:eastAsia="宋体" w:cs="宋体"/>
          <w:color w:val="auto"/>
          <w:kern w:val="0"/>
          <w:sz w:val="21"/>
          <w:szCs w:val="21"/>
          <w:highlight w:val="none"/>
          <w:u w:val="single"/>
        </w:rPr>
        <w:t xml:space="preserve">    发包人项目经理    </w:t>
      </w:r>
      <w:r>
        <w:rPr>
          <w:rFonts w:hint="eastAsia" w:ascii="宋体" w:hAnsi="宋体" w:eastAsia="宋体" w:cs="宋体"/>
          <w:color w:val="auto"/>
          <w:kern w:val="0"/>
          <w:sz w:val="21"/>
          <w:szCs w:val="21"/>
          <w:highlight w:val="none"/>
        </w:rPr>
        <w:t>。</w:t>
      </w:r>
    </w:p>
    <w:p w14:paraId="3D8AA639">
      <w:pPr>
        <w:pageBreakBefore w:val="0"/>
        <w:kinsoku/>
        <w:wordWrap/>
        <w:overflowPunct/>
        <w:topLinePunct w:val="0"/>
        <w:bidi w:val="0"/>
        <w:snapToGrid/>
        <w:spacing w:after="0" w:afterLines="0"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承包人接收文件的地点：</w:t>
      </w:r>
      <w:r>
        <w:rPr>
          <w:rFonts w:hint="eastAsia" w:ascii="宋体" w:hAnsi="宋体" w:eastAsia="宋体" w:cs="宋体"/>
          <w:color w:val="auto"/>
          <w:sz w:val="21"/>
          <w:szCs w:val="21"/>
          <w:highlight w:val="none"/>
          <w:u w:val="single"/>
        </w:rPr>
        <w:t xml:space="preserve">    项目所在地承包人项目部   </w:t>
      </w:r>
      <w:r>
        <w:rPr>
          <w:rFonts w:hint="eastAsia" w:ascii="宋体" w:hAnsi="宋体" w:eastAsia="宋体" w:cs="宋体"/>
          <w:color w:val="auto"/>
          <w:kern w:val="0"/>
          <w:sz w:val="21"/>
          <w:szCs w:val="21"/>
          <w:highlight w:val="none"/>
        </w:rPr>
        <w:t>。</w:t>
      </w:r>
    </w:p>
    <w:p w14:paraId="57BD5B3C">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承包人指定的接收人为：</w:t>
      </w:r>
      <w:r>
        <w:rPr>
          <w:rFonts w:hint="eastAsia" w:ascii="宋体" w:hAnsi="宋体" w:eastAsia="宋体" w:cs="宋体"/>
          <w:color w:val="auto"/>
          <w:kern w:val="0"/>
          <w:sz w:val="21"/>
          <w:szCs w:val="21"/>
          <w:highlight w:val="none"/>
          <w:u w:val="single"/>
        </w:rPr>
        <w:t xml:space="preserve">    承包人项目经理或项目经理授权代表 </w:t>
      </w:r>
      <w:r>
        <w:rPr>
          <w:rFonts w:hint="eastAsia" w:ascii="宋体" w:hAnsi="宋体" w:eastAsia="宋体" w:cs="宋体"/>
          <w:color w:val="auto"/>
          <w:kern w:val="0"/>
          <w:sz w:val="21"/>
          <w:szCs w:val="21"/>
          <w:highlight w:val="none"/>
        </w:rPr>
        <w:t>。</w:t>
      </w:r>
    </w:p>
    <w:p w14:paraId="7859DE40">
      <w:pPr>
        <w:pageBreakBefore w:val="0"/>
        <w:kinsoku/>
        <w:wordWrap/>
        <w:overflowPunct/>
        <w:topLinePunct w:val="0"/>
        <w:bidi w:val="0"/>
        <w:snapToGrid/>
        <w:spacing w:after="0" w:afterLines="0"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监理人接收文件的地点：</w:t>
      </w:r>
      <w:r>
        <w:rPr>
          <w:rFonts w:hint="eastAsia" w:ascii="宋体" w:hAnsi="宋体" w:eastAsia="宋体" w:cs="宋体"/>
          <w:color w:val="auto"/>
          <w:sz w:val="21"/>
          <w:szCs w:val="21"/>
          <w:highlight w:val="none"/>
          <w:u w:val="single"/>
        </w:rPr>
        <w:t xml:space="preserve">    项目所在地监理人办公</w:t>
      </w:r>
      <w:r>
        <w:rPr>
          <w:rFonts w:hint="eastAsia" w:ascii="宋体" w:hAnsi="宋体" w:eastAsia="宋体" w:cs="宋体"/>
          <w:color w:val="auto"/>
          <w:sz w:val="21"/>
          <w:szCs w:val="21"/>
          <w:highlight w:val="none"/>
          <w:u w:val="single"/>
          <w:lang w:val="en-US" w:eastAsia="zh-CN"/>
        </w:rPr>
        <w:t>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3EF01F4C">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监理人指定的接收人为：</w:t>
      </w:r>
      <w:r>
        <w:rPr>
          <w:rFonts w:hint="eastAsia" w:ascii="宋体" w:hAnsi="宋体" w:eastAsia="宋体" w:cs="宋体"/>
          <w:color w:val="auto"/>
          <w:kern w:val="0"/>
          <w:sz w:val="21"/>
          <w:szCs w:val="21"/>
          <w:highlight w:val="none"/>
          <w:u w:val="single"/>
        </w:rPr>
        <w:t xml:space="preserve">    项目总监理工程师 </w:t>
      </w:r>
      <w:r>
        <w:rPr>
          <w:rFonts w:hint="eastAsia" w:ascii="宋体" w:hAnsi="宋体" w:eastAsia="宋体" w:cs="宋体"/>
          <w:color w:val="auto"/>
          <w:kern w:val="0"/>
          <w:sz w:val="21"/>
          <w:szCs w:val="21"/>
          <w:highlight w:val="none"/>
        </w:rPr>
        <w:t>。</w:t>
      </w:r>
    </w:p>
    <w:p w14:paraId="2260EFA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38" w:name="_Toc25432"/>
      <w:bookmarkStart w:id="139" w:name="_Toc51829104"/>
      <w:bookmarkStart w:id="140" w:name="_Toc14939"/>
      <w:r>
        <w:rPr>
          <w:rFonts w:hint="eastAsia" w:ascii="宋体" w:hAnsi="宋体" w:eastAsia="宋体" w:cs="宋体"/>
          <w:bCs w:val="0"/>
          <w:color w:val="auto"/>
          <w:kern w:val="2"/>
          <w:sz w:val="21"/>
          <w:szCs w:val="21"/>
          <w:highlight w:val="none"/>
          <w:lang w:val="en-US" w:eastAsia="zh-CN" w:bidi="ar-SA"/>
        </w:rPr>
        <w:t>1.10 交通运输</w:t>
      </w:r>
      <w:bookmarkEnd w:id="138"/>
      <w:bookmarkEnd w:id="139"/>
      <w:bookmarkEnd w:id="140"/>
    </w:p>
    <w:p w14:paraId="7FF323E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1.10.1 出入现场的权利</w:t>
      </w:r>
    </w:p>
    <w:p w14:paraId="0B8B37B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关于出入现场的权利的约定：</w:t>
      </w:r>
      <w:r>
        <w:rPr>
          <w:rFonts w:hint="eastAsia" w:ascii="宋体" w:hAnsi="宋体" w:eastAsia="宋体" w:cs="宋体"/>
          <w:color w:val="auto"/>
          <w:kern w:val="2"/>
          <w:sz w:val="21"/>
          <w:szCs w:val="21"/>
          <w:highlight w:val="none"/>
          <w:u w:val="single"/>
          <w:lang w:val="en-US" w:eastAsia="zh-CN" w:bidi="ar"/>
        </w:rPr>
        <w:t xml:space="preserve">承包人应根据施工需要，负责取得出入施工现场所需的批准手续和全部权利  </w:t>
      </w:r>
      <w:r>
        <w:rPr>
          <w:rFonts w:hint="eastAsia" w:ascii="宋体" w:hAnsi="宋体" w:eastAsia="宋体" w:cs="宋体"/>
          <w:color w:val="auto"/>
          <w:kern w:val="2"/>
          <w:sz w:val="21"/>
          <w:szCs w:val="21"/>
          <w:highlight w:val="none"/>
          <w:lang w:val="en-US" w:eastAsia="zh-CN" w:bidi="ar"/>
        </w:rPr>
        <w:t>。</w:t>
      </w:r>
    </w:p>
    <w:p w14:paraId="4EB366F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1.10.3 场内交通</w:t>
      </w:r>
    </w:p>
    <w:p w14:paraId="5DD5D42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关于场外交通和场内交通的边界的约定：</w:t>
      </w:r>
      <w:r>
        <w:rPr>
          <w:rFonts w:hint="eastAsia" w:ascii="宋体" w:hAnsi="宋体" w:eastAsia="宋体" w:cs="宋体"/>
          <w:color w:val="auto"/>
          <w:kern w:val="2"/>
          <w:sz w:val="21"/>
          <w:szCs w:val="21"/>
          <w:highlight w:val="none"/>
          <w:u w:val="single"/>
          <w:lang w:val="en-US" w:eastAsia="zh-CN" w:bidi="ar"/>
        </w:rPr>
        <w:t>承包范围用地红线</w:t>
      </w:r>
      <w:r>
        <w:rPr>
          <w:rFonts w:hint="eastAsia" w:ascii="宋体" w:hAnsi="宋体" w:eastAsia="宋体" w:cs="宋体"/>
          <w:color w:val="auto"/>
          <w:kern w:val="2"/>
          <w:sz w:val="21"/>
          <w:szCs w:val="21"/>
          <w:highlight w:val="none"/>
          <w:lang w:val="en-US" w:eastAsia="zh-CN" w:bidi="ar"/>
        </w:rPr>
        <w:t>。</w:t>
      </w:r>
    </w:p>
    <w:p w14:paraId="63B0F1C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关于发包人向承包人免费提供满足工程施工需要的场内道路和交通设施的约定：</w:t>
      </w:r>
      <w:r>
        <w:rPr>
          <w:rFonts w:hint="eastAsia" w:ascii="宋体" w:hAnsi="宋体" w:eastAsia="宋体" w:cs="宋体"/>
          <w:color w:val="auto"/>
          <w:kern w:val="2"/>
          <w:sz w:val="21"/>
          <w:szCs w:val="21"/>
          <w:highlight w:val="none"/>
          <w:u w:val="single"/>
          <w:lang w:val="en-US" w:eastAsia="zh-CN" w:bidi="ar"/>
        </w:rPr>
        <w:t>不提供</w:t>
      </w:r>
      <w:r>
        <w:rPr>
          <w:rFonts w:hint="eastAsia" w:ascii="宋体" w:hAnsi="宋体" w:eastAsia="宋体" w:cs="宋体"/>
          <w:color w:val="auto"/>
          <w:kern w:val="2"/>
          <w:sz w:val="21"/>
          <w:szCs w:val="21"/>
          <w:highlight w:val="none"/>
          <w:lang w:val="en-US" w:eastAsia="zh-CN" w:bidi="ar"/>
        </w:rPr>
        <w:t xml:space="preserve">。  </w:t>
      </w:r>
    </w:p>
    <w:p w14:paraId="60C8427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1.10.4超大件和超重件的运输</w:t>
      </w:r>
    </w:p>
    <w:p w14:paraId="2E804C2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运输超大件或超重件所需的道路和桥梁临时加固改造费用和其他有关费用由</w:t>
      </w:r>
      <w:r>
        <w:rPr>
          <w:rFonts w:hint="eastAsia" w:ascii="宋体" w:hAnsi="宋体" w:eastAsia="宋体" w:cs="宋体"/>
          <w:color w:val="auto"/>
          <w:kern w:val="2"/>
          <w:sz w:val="21"/>
          <w:szCs w:val="21"/>
          <w:highlight w:val="none"/>
          <w:u w:val="single"/>
          <w:lang w:val="en-US" w:eastAsia="zh-CN" w:bidi="ar"/>
        </w:rPr>
        <w:t>承包人</w:t>
      </w:r>
      <w:r>
        <w:rPr>
          <w:rFonts w:hint="eastAsia" w:ascii="宋体" w:hAnsi="宋体" w:eastAsia="宋体" w:cs="宋体"/>
          <w:color w:val="auto"/>
          <w:kern w:val="2"/>
          <w:sz w:val="21"/>
          <w:szCs w:val="21"/>
          <w:highlight w:val="none"/>
          <w:lang w:val="en-US" w:eastAsia="zh-CN" w:bidi="ar"/>
        </w:rPr>
        <w:t>承担。</w:t>
      </w:r>
    </w:p>
    <w:p w14:paraId="20461BD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41" w:name="_Toc24487"/>
      <w:bookmarkStart w:id="142" w:name="_Toc51829105"/>
      <w:bookmarkStart w:id="143" w:name="_Toc4997"/>
      <w:r>
        <w:rPr>
          <w:rFonts w:hint="eastAsia" w:ascii="宋体" w:hAnsi="宋体" w:eastAsia="宋体" w:cs="宋体"/>
          <w:bCs w:val="0"/>
          <w:color w:val="auto"/>
          <w:kern w:val="2"/>
          <w:sz w:val="21"/>
          <w:szCs w:val="21"/>
          <w:highlight w:val="none"/>
          <w:lang w:val="en-US" w:eastAsia="zh-CN" w:bidi="ar-SA"/>
        </w:rPr>
        <w:t>1.11 知识产权</w:t>
      </w:r>
      <w:bookmarkEnd w:id="141"/>
      <w:bookmarkEnd w:id="142"/>
      <w:bookmarkEnd w:id="143"/>
    </w:p>
    <w:p w14:paraId="28BCE67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kern w:val="2"/>
          <w:sz w:val="21"/>
          <w:szCs w:val="21"/>
          <w:highlight w:val="none"/>
          <w:u w:val="single"/>
          <w:lang w:val="en-US" w:eastAsia="zh-CN" w:bidi="ar"/>
        </w:rPr>
        <w:t xml:space="preserve">归发包人所有  </w:t>
      </w:r>
      <w:r>
        <w:rPr>
          <w:rFonts w:hint="eastAsia" w:ascii="宋体" w:hAnsi="宋体" w:eastAsia="宋体" w:cs="宋体"/>
          <w:color w:val="auto"/>
          <w:kern w:val="2"/>
          <w:sz w:val="21"/>
          <w:szCs w:val="21"/>
          <w:highlight w:val="none"/>
          <w:lang w:val="en-US" w:eastAsia="zh-CN" w:bidi="ar"/>
        </w:rPr>
        <w:t>。</w:t>
      </w:r>
    </w:p>
    <w:p w14:paraId="732EE2A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关于发包人提供的上述文件的使用限制的要求：</w:t>
      </w:r>
      <w:r>
        <w:rPr>
          <w:rFonts w:hint="eastAsia" w:ascii="宋体" w:hAnsi="宋体" w:eastAsia="宋体" w:cs="宋体"/>
          <w:color w:val="auto"/>
          <w:kern w:val="2"/>
          <w:sz w:val="21"/>
          <w:szCs w:val="21"/>
          <w:highlight w:val="none"/>
          <w:u w:val="single"/>
          <w:lang w:val="en-US" w:eastAsia="zh-CN" w:bidi="ar"/>
        </w:rPr>
        <w:t>仅限于本项目</w:t>
      </w:r>
      <w:r>
        <w:rPr>
          <w:rFonts w:hint="eastAsia" w:ascii="宋体" w:hAnsi="宋体" w:eastAsia="宋体" w:cs="宋体"/>
          <w:color w:val="auto"/>
          <w:kern w:val="2"/>
          <w:sz w:val="21"/>
          <w:szCs w:val="21"/>
          <w:highlight w:val="none"/>
          <w:lang w:val="en-US" w:eastAsia="zh-CN" w:bidi="ar"/>
        </w:rPr>
        <w:t>。</w:t>
      </w:r>
    </w:p>
    <w:p w14:paraId="1FB3C8E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17" w:leftChars="7" w:right="0" w:firstLine="405" w:firstLineChars="193"/>
        <w:jc w:val="both"/>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1.11.2 关于承包人为实施工程所编制文件的著作权的归属：</w:t>
      </w:r>
      <w:r>
        <w:rPr>
          <w:rFonts w:hint="eastAsia" w:ascii="宋体" w:hAnsi="宋体" w:eastAsia="宋体" w:cs="宋体"/>
          <w:color w:val="auto"/>
          <w:kern w:val="2"/>
          <w:sz w:val="21"/>
          <w:szCs w:val="21"/>
          <w:highlight w:val="none"/>
          <w:u w:val="single"/>
          <w:lang w:val="en-US" w:eastAsia="zh-CN" w:bidi="ar"/>
        </w:rPr>
        <w:t>按通用条款执行</w:t>
      </w:r>
      <w:r>
        <w:rPr>
          <w:rFonts w:hint="eastAsia" w:ascii="宋体" w:hAnsi="宋体" w:eastAsia="宋体" w:cs="宋体"/>
          <w:color w:val="auto"/>
          <w:kern w:val="2"/>
          <w:sz w:val="21"/>
          <w:szCs w:val="21"/>
          <w:highlight w:val="none"/>
          <w:lang w:val="en-US" w:eastAsia="zh-CN" w:bidi="ar"/>
        </w:rPr>
        <w:t>。</w:t>
      </w:r>
    </w:p>
    <w:p w14:paraId="00E084B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关于承包人提供的上述文件的使用限制的要求：</w:t>
      </w:r>
      <w:r>
        <w:rPr>
          <w:rFonts w:hint="eastAsia" w:ascii="宋体" w:hAnsi="宋体" w:eastAsia="宋体" w:cs="宋体"/>
          <w:color w:val="auto"/>
          <w:kern w:val="2"/>
          <w:sz w:val="21"/>
          <w:szCs w:val="21"/>
          <w:highlight w:val="none"/>
          <w:u w:val="single"/>
          <w:lang w:val="en-US" w:eastAsia="zh-CN" w:bidi="ar"/>
        </w:rPr>
        <w:t>按通用条款执行</w:t>
      </w:r>
      <w:r>
        <w:rPr>
          <w:rFonts w:hint="eastAsia" w:ascii="宋体" w:hAnsi="宋体" w:eastAsia="宋体" w:cs="宋体"/>
          <w:color w:val="auto"/>
          <w:kern w:val="2"/>
          <w:sz w:val="21"/>
          <w:szCs w:val="21"/>
          <w:highlight w:val="none"/>
          <w:lang w:val="en-US" w:eastAsia="zh-CN" w:bidi="ar"/>
        </w:rPr>
        <w:t>。</w:t>
      </w:r>
    </w:p>
    <w:p w14:paraId="1BE9BBD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1.11.4 承包人在施工过程中所采用的专利、专有技术、技术秘密的使用费的承担方式：</w:t>
      </w:r>
      <w:r>
        <w:rPr>
          <w:rFonts w:hint="eastAsia" w:ascii="宋体" w:hAnsi="宋体" w:eastAsia="宋体" w:cs="宋体"/>
          <w:color w:val="auto"/>
          <w:kern w:val="2"/>
          <w:sz w:val="21"/>
          <w:szCs w:val="21"/>
          <w:highlight w:val="none"/>
          <w:u w:val="single"/>
          <w:lang w:val="en-US" w:eastAsia="zh-CN" w:bidi="ar"/>
        </w:rPr>
        <w:t>由承包人承担</w:t>
      </w:r>
      <w:r>
        <w:rPr>
          <w:rFonts w:hint="eastAsia" w:ascii="宋体" w:hAnsi="宋体" w:eastAsia="宋体" w:cs="宋体"/>
          <w:color w:val="auto"/>
          <w:kern w:val="2"/>
          <w:sz w:val="21"/>
          <w:szCs w:val="21"/>
          <w:highlight w:val="none"/>
          <w:lang w:val="en-US" w:eastAsia="zh-CN" w:bidi="ar"/>
        </w:rPr>
        <w:t>。</w:t>
      </w:r>
    </w:p>
    <w:p w14:paraId="4BBDB40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44" w:name="_Toc24202"/>
      <w:bookmarkStart w:id="145" w:name="_Toc51829106"/>
      <w:bookmarkStart w:id="146" w:name="_Toc8361"/>
      <w:r>
        <w:rPr>
          <w:rFonts w:hint="eastAsia" w:ascii="宋体" w:hAnsi="宋体" w:eastAsia="宋体" w:cs="宋体"/>
          <w:bCs w:val="0"/>
          <w:color w:val="auto"/>
          <w:kern w:val="2"/>
          <w:sz w:val="21"/>
          <w:szCs w:val="21"/>
          <w:highlight w:val="none"/>
          <w:lang w:val="en-US" w:eastAsia="zh-CN" w:bidi="ar-SA"/>
        </w:rPr>
        <w:t>1.13 工程量清单错误的修正</w:t>
      </w:r>
      <w:bookmarkEnd w:id="144"/>
      <w:bookmarkEnd w:id="145"/>
      <w:bookmarkEnd w:id="146"/>
    </w:p>
    <w:p w14:paraId="7E8EFC9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出现工程量清单错误时，是否调整合同价格：</w:t>
      </w:r>
      <w:r>
        <w:rPr>
          <w:rFonts w:hint="eastAsia" w:ascii="宋体" w:hAnsi="宋体" w:eastAsia="宋体" w:cs="宋体"/>
          <w:color w:val="auto"/>
          <w:kern w:val="2"/>
          <w:sz w:val="21"/>
          <w:szCs w:val="21"/>
          <w:highlight w:val="none"/>
          <w:u w:val="single"/>
          <w:lang w:val="en-US" w:eastAsia="zh-CN" w:bidi="ar"/>
        </w:rPr>
        <w:t xml:space="preserve">按专用合同条款第10条及第11条相关约定执行 </w:t>
      </w:r>
      <w:r>
        <w:rPr>
          <w:rFonts w:hint="eastAsia" w:ascii="宋体" w:hAnsi="宋体" w:eastAsia="宋体" w:cs="宋体"/>
          <w:color w:val="auto"/>
          <w:kern w:val="0"/>
          <w:sz w:val="21"/>
          <w:szCs w:val="21"/>
          <w:highlight w:val="none"/>
          <w:lang w:val="en-US" w:eastAsia="zh-CN" w:bidi="ar"/>
        </w:rPr>
        <w:t>。</w:t>
      </w:r>
    </w:p>
    <w:p w14:paraId="640F577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允许调整合同价格的工程量偏差范围：</w:t>
      </w:r>
      <w:r>
        <w:rPr>
          <w:rFonts w:hint="eastAsia" w:ascii="宋体" w:hAnsi="宋体" w:eastAsia="宋体" w:cs="宋体"/>
          <w:color w:val="auto"/>
          <w:kern w:val="2"/>
          <w:sz w:val="21"/>
          <w:szCs w:val="21"/>
          <w:highlight w:val="none"/>
          <w:u w:val="single"/>
          <w:lang w:val="en-US" w:eastAsia="zh-CN" w:bidi="ar"/>
        </w:rPr>
        <w:t xml:space="preserve">按专用合同条款第10条及第11条相关约定执行 </w:t>
      </w:r>
      <w:r>
        <w:rPr>
          <w:rFonts w:hint="eastAsia" w:ascii="宋体" w:hAnsi="宋体" w:eastAsia="宋体" w:cs="宋体"/>
          <w:color w:val="auto"/>
          <w:kern w:val="0"/>
          <w:sz w:val="21"/>
          <w:szCs w:val="21"/>
          <w:highlight w:val="none"/>
          <w:lang w:val="en-US" w:eastAsia="zh-CN" w:bidi="ar"/>
        </w:rPr>
        <w:t>。</w:t>
      </w:r>
    </w:p>
    <w:p w14:paraId="72A0481B">
      <w:pPr>
        <w:pageBreakBefore w:val="0"/>
        <w:widowControl w:val="0"/>
        <w:numPr>
          <w:ilvl w:val="0"/>
          <w:numId w:val="14"/>
        </w:numPr>
        <w:kinsoku/>
        <w:wordWrap/>
        <w:overflowPunct/>
        <w:topLinePunct w:val="0"/>
        <w:autoSpaceDE/>
        <w:autoSpaceDN/>
        <w:bidi w:val="0"/>
        <w:adjustRightInd/>
        <w:snapToGrid/>
        <w:spacing w:after="0" w:afterLines="0" w:line="360" w:lineRule="auto"/>
        <w:textAlignment w:val="auto"/>
        <w:outlineLvl w:val="1"/>
        <w:rPr>
          <w:rFonts w:hint="eastAsia" w:ascii="宋体" w:hAnsi="宋体" w:eastAsia="宋体" w:cs="宋体"/>
          <w:color w:val="auto"/>
          <w:sz w:val="21"/>
          <w:szCs w:val="21"/>
          <w:highlight w:val="none"/>
          <w:lang w:val="en-US"/>
        </w:rPr>
      </w:pPr>
      <w:bookmarkStart w:id="147" w:name="_Toc304"/>
      <w:bookmarkStart w:id="148" w:name="_Toc30717"/>
      <w:bookmarkStart w:id="149" w:name="_Toc29201"/>
      <w:bookmarkStart w:id="150" w:name="_Toc18504"/>
      <w:bookmarkStart w:id="151" w:name="_Toc54768805"/>
      <w:bookmarkStart w:id="152" w:name="_Toc51829107"/>
      <w:bookmarkStart w:id="153" w:name="_Toc668"/>
      <w:r>
        <w:rPr>
          <w:rFonts w:hint="eastAsia" w:ascii="宋体" w:hAnsi="宋体" w:eastAsia="宋体" w:cs="宋体"/>
          <w:color w:val="auto"/>
          <w:sz w:val="21"/>
          <w:szCs w:val="21"/>
          <w:highlight w:val="none"/>
          <w:lang w:val="en-US" w:eastAsia="zh-CN"/>
        </w:rPr>
        <w:t>发包人</w:t>
      </w:r>
      <w:bookmarkEnd w:id="147"/>
      <w:bookmarkEnd w:id="148"/>
      <w:bookmarkEnd w:id="149"/>
      <w:bookmarkEnd w:id="150"/>
      <w:bookmarkEnd w:id="151"/>
      <w:bookmarkEnd w:id="152"/>
      <w:bookmarkEnd w:id="153"/>
    </w:p>
    <w:p w14:paraId="58E3AE6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54" w:name="_Toc32674"/>
      <w:bookmarkStart w:id="155" w:name="_Toc18882"/>
      <w:bookmarkStart w:id="156" w:name="_Toc51829108"/>
      <w:r>
        <w:rPr>
          <w:rFonts w:hint="eastAsia" w:ascii="宋体" w:hAnsi="宋体" w:eastAsia="宋体" w:cs="宋体"/>
          <w:bCs w:val="0"/>
          <w:color w:val="auto"/>
          <w:kern w:val="2"/>
          <w:sz w:val="21"/>
          <w:szCs w:val="21"/>
          <w:highlight w:val="none"/>
          <w:lang w:val="en-US" w:eastAsia="zh-CN" w:bidi="ar-SA"/>
        </w:rPr>
        <w:t>2.2 发包人代表</w:t>
      </w:r>
      <w:bookmarkEnd w:id="154"/>
      <w:bookmarkEnd w:id="155"/>
      <w:bookmarkEnd w:id="156"/>
    </w:p>
    <w:p w14:paraId="1EB9866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发包人代表：</w:t>
      </w:r>
    </w:p>
    <w:p w14:paraId="20A3865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姓    名：</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37CC857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身份证号：</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2991488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职    务：</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74547A3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联系电话：</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701494C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电子信箱：</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04B0F3C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通信地址：</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75D5DE8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b/>
          <w:bCs w:val="0"/>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发包人对发包人代表的授权范围如下：</w:t>
      </w:r>
      <w:r>
        <w:rPr>
          <w:rFonts w:hint="eastAsia" w:ascii="宋体" w:hAnsi="宋体" w:eastAsia="宋体" w:cs="宋体"/>
          <w:color w:val="auto"/>
          <w:kern w:val="2"/>
          <w:sz w:val="21"/>
          <w:szCs w:val="21"/>
          <w:highlight w:val="none"/>
          <w:u w:val="single"/>
          <w:lang w:val="en-US" w:eastAsia="zh-CN" w:bidi="ar"/>
        </w:rPr>
        <w:t>负责工程建设的内外部关系协调，管理工程质量、进度和安全文明施工以及协调解决存在的问题。承包人须确知“发包人代表没有修改本合同任何内容的权利，仅有发包人代表签署但未经发包人内部审核或审批程序确认的文件均无效，包括但不限于增加或减少合同中任何工作、合同款项支付、设计变更、工程签证、合同价款调整等”。</w:t>
      </w:r>
    </w:p>
    <w:p w14:paraId="6C9EC30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57" w:name="_Toc51829109"/>
      <w:bookmarkStart w:id="158" w:name="_Toc10893"/>
      <w:bookmarkStart w:id="159" w:name="_Toc19864"/>
      <w:r>
        <w:rPr>
          <w:rFonts w:hint="eastAsia" w:ascii="宋体" w:hAnsi="宋体" w:eastAsia="宋体" w:cs="宋体"/>
          <w:bCs w:val="0"/>
          <w:color w:val="auto"/>
          <w:kern w:val="2"/>
          <w:sz w:val="21"/>
          <w:szCs w:val="21"/>
          <w:highlight w:val="none"/>
          <w:lang w:val="en-US" w:eastAsia="zh-CN" w:bidi="ar-SA"/>
        </w:rPr>
        <w:t>2.4 施工现场、施工条件和基础资料的提供</w:t>
      </w:r>
      <w:bookmarkEnd w:id="157"/>
      <w:bookmarkEnd w:id="158"/>
      <w:bookmarkEnd w:id="159"/>
    </w:p>
    <w:p w14:paraId="0ECEDF8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2.4.1 提供施工现场</w:t>
      </w:r>
    </w:p>
    <w:p w14:paraId="260D6D7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关于发包人移交施工现场的期限要求：</w:t>
      </w:r>
      <w:r>
        <w:rPr>
          <w:rFonts w:hint="eastAsia" w:ascii="宋体" w:hAnsi="宋体" w:eastAsia="宋体" w:cs="宋体"/>
          <w:color w:val="auto"/>
          <w:kern w:val="2"/>
          <w:sz w:val="21"/>
          <w:szCs w:val="21"/>
          <w:highlight w:val="none"/>
          <w:u w:val="single"/>
          <w:lang w:val="en-US" w:eastAsia="zh-CN" w:bidi="ar"/>
        </w:rPr>
        <w:t xml:space="preserve"> 正式开工前 </w:t>
      </w:r>
      <w:r>
        <w:rPr>
          <w:rFonts w:hint="eastAsia" w:ascii="宋体" w:hAnsi="宋体" w:eastAsia="宋体" w:cs="宋体"/>
          <w:color w:val="auto"/>
          <w:kern w:val="2"/>
          <w:sz w:val="21"/>
          <w:szCs w:val="21"/>
          <w:highlight w:val="none"/>
          <w:lang w:val="en-US" w:eastAsia="zh-CN" w:bidi="ar"/>
        </w:rPr>
        <w:t>。</w:t>
      </w:r>
    </w:p>
    <w:p w14:paraId="5611A14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2.4.2 提供施工条件</w:t>
      </w:r>
    </w:p>
    <w:p w14:paraId="0965011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u w:val="single"/>
          <w:lang w:val="en-US" w:eastAsia="zh-CN" w:bidi="ar"/>
        </w:rPr>
      </w:pPr>
      <w:r>
        <w:rPr>
          <w:rFonts w:hint="eastAsia" w:ascii="宋体" w:hAnsi="宋体" w:eastAsia="宋体" w:cs="宋体"/>
          <w:color w:val="auto"/>
          <w:kern w:val="2"/>
          <w:sz w:val="21"/>
          <w:szCs w:val="21"/>
          <w:highlight w:val="none"/>
          <w:lang w:val="en-US" w:eastAsia="zh-CN" w:bidi="ar"/>
        </w:rPr>
        <w:t>关于发包人应负责提供施工所需要的条件，包括：</w:t>
      </w:r>
      <w:r>
        <w:rPr>
          <w:rFonts w:hint="eastAsia" w:ascii="宋体" w:hAnsi="宋体" w:eastAsia="宋体" w:cs="宋体"/>
          <w:color w:val="auto"/>
          <w:kern w:val="2"/>
          <w:sz w:val="21"/>
          <w:szCs w:val="21"/>
          <w:highlight w:val="none"/>
          <w:u w:val="single"/>
          <w:lang w:val="en-US" w:eastAsia="zh-CN" w:bidi="ar"/>
        </w:rPr>
        <w:t>发包人将临时用电用水接至项目用地红线周边。承包人负责将临时用电用水由接入点接至施工现场，费用由承包人自行承担，费用已包含在承包人的签约合同价中。其他均由承包人自行承担，相关费用已包含在承包人的签约合同价中。</w:t>
      </w:r>
    </w:p>
    <w:p w14:paraId="6C4D1B6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60" w:name="_Toc12958"/>
      <w:bookmarkStart w:id="161" w:name="_Toc51829110"/>
      <w:bookmarkStart w:id="162" w:name="_Toc27333"/>
      <w:r>
        <w:rPr>
          <w:rFonts w:hint="eastAsia" w:ascii="宋体" w:hAnsi="宋体" w:eastAsia="宋体" w:cs="宋体"/>
          <w:bCs w:val="0"/>
          <w:color w:val="auto"/>
          <w:kern w:val="2"/>
          <w:sz w:val="21"/>
          <w:szCs w:val="21"/>
          <w:highlight w:val="none"/>
          <w:lang w:val="en-US" w:eastAsia="zh-CN" w:bidi="ar-SA"/>
        </w:rPr>
        <w:t>2.5 资金来源证明及支付担保</w:t>
      </w:r>
      <w:bookmarkEnd w:id="160"/>
      <w:bookmarkEnd w:id="161"/>
      <w:bookmarkEnd w:id="162"/>
    </w:p>
    <w:p w14:paraId="525A2CA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发包人提供资金来源证明的期限要求：</w:t>
      </w:r>
      <w:r>
        <w:rPr>
          <w:rFonts w:hint="eastAsia" w:ascii="宋体" w:hAnsi="宋体" w:eastAsia="宋体" w:cs="宋体"/>
          <w:color w:val="auto"/>
          <w:kern w:val="2"/>
          <w:sz w:val="21"/>
          <w:szCs w:val="21"/>
          <w:highlight w:val="none"/>
          <w:u w:val="single"/>
          <w:lang w:val="en-US" w:eastAsia="zh-CN" w:bidi="ar"/>
        </w:rPr>
        <w:t xml:space="preserve"> / </w:t>
      </w:r>
      <w:r>
        <w:rPr>
          <w:rFonts w:hint="eastAsia" w:ascii="宋体" w:hAnsi="宋体" w:eastAsia="宋体" w:cs="宋体"/>
          <w:color w:val="auto"/>
          <w:kern w:val="2"/>
          <w:sz w:val="21"/>
          <w:szCs w:val="21"/>
          <w:highlight w:val="none"/>
          <w:lang w:val="en-US" w:eastAsia="zh-CN" w:bidi="ar"/>
        </w:rPr>
        <w:t>。</w:t>
      </w:r>
    </w:p>
    <w:p w14:paraId="0B01FD3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发包人是否提供支付担保：</w:t>
      </w:r>
      <w:r>
        <w:rPr>
          <w:rFonts w:hint="eastAsia" w:ascii="宋体" w:hAnsi="宋体" w:eastAsia="宋体" w:cs="宋体"/>
          <w:color w:val="auto"/>
          <w:kern w:val="2"/>
          <w:sz w:val="21"/>
          <w:szCs w:val="21"/>
          <w:highlight w:val="none"/>
          <w:u w:val="single"/>
          <w:lang w:val="en-US" w:eastAsia="zh-CN" w:bidi="ar"/>
        </w:rPr>
        <w:t>      否</w:t>
      </w:r>
      <w:r>
        <w:rPr>
          <w:rFonts w:hint="eastAsia" w:ascii="宋体" w:hAnsi="宋体" w:eastAsia="宋体" w:cs="宋体"/>
          <w:color w:val="auto"/>
          <w:kern w:val="2"/>
          <w:sz w:val="21"/>
          <w:szCs w:val="21"/>
          <w:highlight w:val="none"/>
          <w:lang w:val="en-US" w:eastAsia="zh-CN" w:bidi="ar"/>
        </w:rPr>
        <w:t>。</w:t>
      </w:r>
    </w:p>
    <w:p w14:paraId="3BD34AF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发包人提供支付担保的形式：</w:t>
      </w:r>
      <w:r>
        <w:rPr>
          <w:rFonts w:hint="eastAsia" w:ascii="宋体" w:hAnsi="宋体" w:eastAsia="宋体" w:cs="宋体"/>
          <w:color w:val="auto"/>
          <w:kern w:val="2"/>
          <w:sz w:val="21"/>
          <w:szCs w:val="21"/>
          <w:highlight w:val="none"/>
          <w:u w:val="single"/>
          <w:lang w:val="en-US" w:eastAsia="zh-CN" w:bidi="ar"/>
        </w:rPr>
        <w:t xml:space="preserve">  /        </w:t>
      </w:r>
      <w:r>
        <w:rPr>
          <w:rFonts w:hint="eastAsia" w:ascii="宋体" w:hAnsi="宋体" w:eastAsia="宋体" w:cs="宋体"/>
          <w:color w:val="auto"/>
          <w:kern w:val="2"/>
          <w:sz w:val="21"/>
          <w:szCs w:val="21"/>
          <w:highlight w:val="none"/>
          <w:lang w:val="en-US" w:eastAsia="zh-CN" w:bidi="ar"/>
        </w:rPr>
        <w:t>。</w:t>
      </w:r>
    </w:p>
    <w:p w14:paraId="40986F0C">
      <w:pPr>
        <w:pStyle w:val="4"/>
        <w:pageBreakBefore w:val="0"/>
        <w:widowControl/>
        <w:numPr>
          <w:ilvl w:val="0"/>
          <w:numId w:val="14"/>
        </w:numPr>
        <w:kinsoku/>
        <w:wordWrap/>
        <w:overflowPunct/>
        <w:topLinePunct w:val="0"/>
        <w:bidi w:val="0"/>
        <w:snapToGrid/>
        <w:spacing w:after="0" w:afterLines="0" w:line="360" w:lineRule="auto"/>
        <w:ind w:left="0" w:leftChars="0" w:firstLine="0" w:firstLineChars="0"/>
        <w:textAlignment w:val="auto"/>
        <w:rPr>
          <w:rFonts w:hint="eastAsia" w:ascii="宋体" w:hAnsi="宋体" w:eastAsia="宋体" w:cs="宋体"/>
          <w:b w:val="0"/>
          <w:bCs w:val="0"/>
          <w:color w:val="auto"/>
          <w:kern w:val="2"/>
          <w:sz w:val="21"/>
          <w:szCs w:val="21"/>
          <w:highlight w:val="none"/>
          <w:lang w:val="en-US" w:eastAsia="zh-CN" w:bidi="ar-SA"/>
        </w:rPr>
      </w:pPr>
      <w:bookmarkStart w:id="163" w:name="_Toc54768806"/>
      <w:bookmarkStart w:id="164" w:name="_Toc12898"/>
      <w:bookmarkStart w:id="165" w:name="_Toc12410"/>
      <w:bookmarkStart w:id="166" w:name="_Toc3423"/>
      <w:bookmarkStart w:id="167" w:name="_Toc10278"/>
      <w:bookmarkStart w:id="168" w:name="_Toc2813"/>
      <w:bookmarkStart w:id="169" w:name="_Toc4679"/>
      <w:bookmarkStart w:id="170" w:name="_Toc51829111"/>
      <w:r>
        <w:rPr>
          <w:rFonts w:hint="eastAsia" w:ascii="宋体" w:hAnsi="宋体" w:eastAsia="宋体" w:cs="宋体"/>
          <w:b w:val="0"/>
          <w:bCs w:val="0"/>
          <w:color w:val="auto"/>
          <w:kern w:val="2"/>
          <w:sz w:val="21"/>
          <w:szCs w:val="21"/>
          <w:highlight w:val="none"/>
          <w:lang w:val="en-US" w:eastAsia="zh-CN" w:bidi="ar-SA"/>
        </w:rPr>
        <w:t>承包人</w:t>
      </w:r>
      <w:bookmarkEnd w:id="163"/>
      <w:bookmarkEnd w:id="164"/>
      <w:bookmarkEnd w:id="165"/>
      <w:bookmarkEnd w:id="166"/>
      <w:bookmarkEnd w:id="167"/>
      <w:bookmarkEnd w:id="168"/>
      <w:bookmarkEnd w:id="169"/>
      <w:bookmarkEnd w:id="170"/>
    </w:p>
    <w:p w14:paraId="165D23E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71" w:name="_Toc51829112"/>
      <w:bookmarkStart w:id="172" w:name="_Toc14133"/>
      <w:bookmarkStart w:id="173" w:name="_Toc8494"/>
      <w:r>
        <w:rPr>
          <w:rFonts w:hint="eastAsia" w:ascii="宋体" w:hAnsi="宋体" w:eastAsia="宋体" w:cs="宋体"/>
          <w:bCs w:val="0"/>
          <w:color w:val="auto"/>
          <w:kern w:val="2"/>
          <w:sz w:val="21"/>
          <w:szCs w:val="21"/>
          <w:highlight w:val="none"/>
          <w:lang w:val="en-US" w:eastAsia="zh-CN" w:bidi="ar-SA"/>
        </w:rPr>
        <w:t>3.1 承包人的一般义务</w:t>
      </w:r>
      <w:bookmarkEnd w:id="171"/>
      <w:bookmarkEnd w:id="172"/>
      <w:bookmarkEnd w:id="173"/>
    </w:p>
    <w:p w14:paraId="54B015A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（9）</w:t>
      </w:r>
      <w:r>
        <w:rPr>
          <w:rFonts w:hint="eastAsia" w:ascii="宋体" w:hAnsi="宋体" w:eastAsia="宋体" w:cs="宋体"/>
          <w:color w:val="auto"/>
          <w:kern w:val="2"/>
          <w:sz w:val="21"/>
          <w:szCs w:val="21"/>
          <w:highlight w:val="none"/>
          <w:lang w:val="en-US" w:eastAsia="zh-CN" w:bidi="ar"/>
        </w:rPr>
        <w:t>承包人提交的竣工资料的内容：</w:t>
      </w:r>
      <w:r>
        <w:rPr>
          <w:rFonts w:hint="eastAsia" w:ascii="宋体" w:hAnsi="宋体" w:eastAsia="宋体" w:cs="宋体"/>
          <w:color w:val="auto"/>
          <w:kern w:val="2"/>
          <w:sz w:val="21"/>
          <w:szCs w:val="21"/>
          <w:highlight w:val="none"/>
          <w:u w:val="single"/>
          <w:lang w:val="en-US" w:eastAsia="zh-CN" w:bidi="ar"/>
        </w:rPr>
        <w:t>按建设行政档案管理部门及发包人要求（包括但不限于：工程施工技术资料、工程资料、工程检验评定资料、竣工图、设计变更单、签证单、竣工结算书等，按照项目所属省、地方的相关竣工资料内容格式及要求进行整理）</w:t>
      </w:r>
      <w:r>
        <w:rPr>
          <w:rFonts w:hint="eastAsia" w:ascii="宋体" w:hAnsi="宋体" w:eastAsia="宋体" w:cs="宋体"/>
          <w:color w:val="auto"/>
          <w:kern w:val="2"/>
          <w:sz w:val="21"/>
          <w:szCs w:val="21"/>
          <w:highlight w:val="none"/>
          <w:lang w:val="en-US" w:eastAsia="zh-CN" w:bidi="ar"/>
        </w:rPr>
        <w:t>。</w:t>
      </w:r>
    </w:p>
    <w:p w14:paraId="3B1AEFC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承包人需要提交的竣工资料套数：</w:t>
      </w:r>
      <w:r>
        <w:rPr>
          <w:rFonts w:hint="eastAsia" w:ascii="宋体" w:hAnsi="宋体" w:eastAsia="宋体" w:cs="宋体"/>
          <w:color w:val="auto"/>
          <w:kern w:val="2"/>
          <w:sz w:val="21"/>
          <w:szCs w:val="21"/>
          <w:highlight w:val="none"/>
          <w:u w:val="single"/>
          <w:lang w:val="en-US" w:eastAsia="zh-CN" w:bidi="ar"/>
        </w:rPr>
        <w:t>向发包人提供一式肆套，并另按档案部门要求将其档案资料向档案馆移交备案（如另需增加套数，由承包人免费提供）</w:t>
      </w:r>
      <w:r>
        <w:rPr>
          <w:rFonts w:hint="eastAsia" w:ascii="宋体" w:hAnsi="宋体" w:eastAsia="宋体" w:cs="宋体"/>
          <w:color w:val="auto"/>
          <w:kern w:val="2"/>
          <w:sz w:val="21"/>
          <w:szCs w:val="21"/>
          <w:highlight w:val="none"/>
          <w:lang w:val="en-US" w:eastAsia="zh-CN" w:bidi="ar"/>
        </w:rPr>
        <w:t>。</w:t>
      </w:r>
    </w:p>
    <w:p w14:paraId="2292E2E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承包人提交的竣工资料的费用承担：</w:t>
      </w:r>
      <w:r>
        <w:rPr>
          <w:rFonts w:hint="eastAsia" w:ascii="宋体" w:hAnsi="宋体" w:eastAsia="宋体" w:cs="宋体"/>
          <w:color w:val="auto"/>
          <w:kern w:val="2"/>
          <w:sz w:val="21"/>
          <w:szCs w:val="21"/>
          <w:highlight w:val="none"/>
          <w:u w:val="single"/>
          <w:lang w:val="en-US" w:eastAsia="zh-CN" w:bidi="ar"/>
        </w:rPr>
        <w:t xml:space="preserve">承包人自行承担 </w:t>
      </w:r>
      <w:r>
        <w:rPr>
          <w:rFonts w:hint="eastAsia" w:ascii="宋体" w:hAnsi="宋体" w:eastAsia="宋体" w:cs="宋体"/>
          <w:color w:val="auto"/>
          <w:kern w:val="2"/>
          <w:sz w:val="21"/>
          <w:szCs w:val="21"/>
          <w:highlight w:val="none"/>
          <w:lang w:val="en-US" w:eastAsia="zh-CN" w:bidi="ar"/>
        </w:rPr>
        <w:t>。</w:t>
      </w:r>
    </w:p>
    <w:p w14:paraId="4F09CE1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承包人提交的竣工资料移交时间：</w:t>
      </w:r>
      <w:r>
        <w:rPr>
          <w:rFonts w:hint="eastAsia" w:ascii="宋体" w:hAnsi="宋体" w:eastAsia="宋体" w:cs="宋体"/>
          <w:color w:val="auto"/>
          <w:kern w:val="2"/>
          <w:sz w:val="21"/>
          <w:szCs w:val="21"/>
          <w:highlight w:val="none"/>
          <w:u w:val="single"/>
          <w:lang w:val="en-US" w:eastAsia="zh-CN" w:bidi="ar"/>
        </w:rPr>
        <w:t>竣工验收合格之日起30天内</w:t>
      </w:r>
      <w:r>
        <w:rPr>
          <w:rFonts w:hint="eastAsia" w:ascii="宋体" w:hAnsi="宋体" w:eastAsia="宋体" w:cs="宋体"/>
          <w:color w:val="auto"/>
          <w:kern w:val="2"/>
          <w:sz w:val="21"/>
          <w:szCs w:val="21"/>
          <w:highlight w:val="none"/>
          <w:lang w:val="en-US" w:eastAsia="zh-CN" w:bidi="ar"/>
        </w:rPr>
        <w:t>。</w:t>
      </w:r>
    </w:p>
    <w:p w14:paraId="082FD20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承包人提交的竣工资料形式要求：</w:t>
      </w:r>
      <w:r>
        <w:rPr>
          <w:rFonts w:hint="eastAsia" w:ascii="宋体" w:hAnsi="宋体" w:eastAsia="宋体" w:cs="宋体"/>
          <w:color w:val="auto"/>
          <w:kern w:val="2"/>
          <w:sz w:val="21"/>
          <w:szCs w:val="21"/>
          <w:highlight w:val="none"/>
          <w:u w:val="single"/>
          <w:lang w:val="en-US" w:eastAsia="zh-CN" w:bidi="ar"/>
        </w:rPr>
        <w:t>按建设行政档案管理部门及发包人要求按时提供装订成册的纸质材料以及电子文档等（费用已在承包人的签约合同价中，发包人不另行支付）</w:t>
      </w:r>
      <w:r>
        <w:rPr>
          <w:rFonts w:hint="eastAsia" w:ascii="宋体" w:hAnsi="宋体" w:eastAsia="宋体" w:cs="宋体"/>
          <w:color w:val="auto"/>
          <w:kern w:val="2"/>
          <w:sz w:val="21"/>
          <w:szCs w:val="21"/>
          <w:highlight w:val="none"/>
          <w:lang w:val="en-US" w:eastAsia="zh-CN" w:bidi="ar"/>
        </w:rPr>
        <w:t>。</w:t>
      </w:r>
    </w:p>
    <w:p w14:paraId="3099782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（10）承包人应履行的其他义务：</w:t>
      </w:r>
    </w:p>
    <w:p w14:paraId="51146404">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承包人应完成的各项承包工作包括但不仅限于以下内容：</w:t>
      </w:r>
    </w:p>
    <w:p w14:paraId="7E9A6D92">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①</w:t>
      </w:r>
      <w:r>
        <w:rPr>
          <w:rFonts w:hint="eastAsia" w:ascii="宋体" w:hAnsi="宋体" w:eastAsia="宋体" w:cs="宋体"/>
          <w:color w:val="auto"/>
          <w:sz w:val="21"/>
          <w:szCs w:val="21"/>
          <w:highlight w:val="none"/>
        </w:rPr>
        <w:t>根据项目总体实施方案中的进度计划，按时按质完成设计、采购、施工各项承包工作。</w:t>
      </w:r>
    </w:p>
    <w:p w14:paraId="3ACF4078">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②</w:t>
      </w:r>
      <w:r>
        <w:rPr>
          <w:rFonts w:hint="eastAsia" w:ascii="宋体" w:hAnsi="宋体" w:eastAsia="宋体" w:cs="宋体"/>
          <w:color w:val="auto"/>
          <w:sz w:val="21"/>
          <w:szCs w:val="21"/>
          <w:highlight w:val="none"/>
        </w:rPr>
        <w:t>每月25日提供当月工程统计报表及下月计划报表。</w:t>
      </w:r>
    </w:p>
    <w:p w14:paraId="26390570">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③</w:t>
      </w:r>
      <w:r>
        <w:rPr>
          <w:rFonts w:hint="eastAsia" w:ascii="宋体" w:hAnsi="宋体" w:eastAsia="宋体" w:cs="宋体"/>
          <w:color w:val="auto"/>
          <w:sz w:val="21"/>
          <w:szCs w:val="21"/>
          <w:highlight w:val="none"/>
        </w:rPr>
        <w:t>承包人应按法律规定和合同约定完成工程，并在保修期内承担保修义务：如果承包人不按合同约定或监理工程师依据合同发出的指令组织施工，且在监理工程师书面整改要求后的7个工作日内仍未采取补救措施的，则发包人可自行或者指派第三方进行补救，因此发生的费用和损失由承包人承担。该笔款项经监理工程师核实后，由发包人从应付或将付给承包人的款项中扣除。</w:t>
      </w:r>
    </w:p>
    <w:p w14:paraId="67ED8B7F">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④</w:t>
      </w:r>
      <w:r>
        <w:rPr>
          <w:rFonts w:hint="eastAsia" w:ascii="宋体" w:hAnsi="宋体" w:eastAsia="宋体" w:cs="宋体"/>
          <w:color w:val="auto"/>
          <w:sz w:val="21"/>
          <w:szCs w:val="21"/>
          <w:highlight w:val="none"/>
        </w:rPr>
        <w:t>提供和维修夜间及非夜间施工照明、围栏设施，负责安全保卫工作，并采取相关措施保护所有入场施工材料及设备安全，承担因该部分工作不力而引起的相关责任。</w:t>
      </w:r>
    </w:p>
    <w:p w14:paraId="6B70BD8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⑤</w:t>
      </w:r>
      <w:r>
        <w:rPr>
          <w:rFonts w:hint="eastAsia" w:ascii="宋体" w:hAnsi="宋体" w:eastAsia="宋体" w:cs="宋体"/>
          <w:color w:val="auto"/>
          <w:sz w:val="21"/>
          <w:szCs w:val="21"/>
          <w:highlight w:val="none"/>
        </w:rPr>
        <w:t>负责办理有关施工场地交通、环卫和施工噪音管理等手续并自行承担相关费用。</w:t>
      </w:r>
    </w:p>
    <w:p w14:paraId="6FFB2E13">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⑥</w:t>
      </w:r>
      <w:r>
        <w:rPr>
          <w:rFonts w:hint="eastAsia" w:ascii="宋体" w:hAnsi="宋体" w:eastAsia="宋体" w:cs="宋体"/>
          <w:color w:val="auto"/>
          <w:sz w:val="21"/>
          <w:szCs w:val="21"/>
          <w:highlight w:val="none"/>
        </w:rPr>
        <w:t>保证施工场地清洁卫生符合当地有关政府部门规定。</w:t>
      </w:r>
    </w:p>
    <w:p w14:paraId="05729DF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⑦</w:t>
      </w:r>
      <w:r>
        <w:rPr>
          <w:rFonts w:hint="eastAsia" w:ascii="宋体" w:hAnsi="宋体" w:eastAsia="宋体" w:cs="宋体"/>
          <w:color w:val="auto"/>
          <w:sz w:val="21"/>
          <w:szCs w:val="21"/>
          <w:highlight w:val="none"/>
        </w:rPr>
        <w:t>在工程办理正式移交手续移交发包人之前已完工工程成品保护由承包人负责，在工程办理正式移交时必须进行清洁清理，并自行承担相关费用。</w:t>
      </w:r>
    </w:p>
    <w:p w14:paraId="6E40F208">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⑧</w:t>
      </w:r>
      <w:r>
        <w:rPr>
          <w:rFonts w:hint="eastAsia" w:ascii="宋体" w:hAnsi="宋体" w:eastAsia="宋体" w:cs="宋体"/>
          <w:color w:val="auto"/>
          <w:sz w:val="21"/>
          <w:szCs w:val="21"/>
          <w:highlight w:val="none"/>
        </w:rPr>
        <w:t>施工及生活垃圾应按发包人及监理人要求，定点集中堆放并及时清运出场，自行承担相关费用。</w:t>
      </w:r>
    </w:p>
    <w:p w14:paraId="5A0F7928">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⑨</w:t>
      </w:r>
      <w:r>
        <w:rPr>
          <w:rFonts w:hint="eastAsia" w:ascii="宋体" w:hAnsi="宋体" w:eastAsia="宋体" w:cs="宋体"/>
          <w:color w:val="auto"/>
          <w:sz w:val="21"/>
          <w:szCs w:val="21"/>
          <w:highlight w:val="none"/>
        </w:rPr>
        <w:t>承包人知道（或应该知道）监理人指示有误应及时采取防止和减少发包人损失的措施，并应立刻通知监理人和发包人；承包人在知道（或应该知道）监理人指示有误的情况下不采取防止和减少发包人损失的措施所导致的全部损失应由承包人负责。承包人未能履行各项义务，造成发包人及/或第三方损失的，该等损失（包括直接损失和间接损失）均由承包人负责赔偿，并且发包人有权直接从保证金或工程款中抵扣。</w:t>
      </w:r>
    </w:p>
    <w:p w14:paraId="6EFD5116">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lang w:val="en-US" w:eastAsia="zh-CN"/>
        </w:rPr>
        <w:t>⑩</w:t>
      </w:r>
      <w:r>
        <w:rPr>
          <w:rFonts w:hint="eastAsia" w:cs="宋体"/>
          <w:color w:val="auto"/>
          <w:sz w:val="21"/>
          <w:szCs w:val="21"/>
          <w:highlight w:val="none"/>
          <w:u w:val="single"/>
        </w:rPr>
        <w:t>承包人应协助发包人委托的相关方踏勘项目施工现场，勘察因征地拆迁遗留的垃圾、房屋地基、清表、水塘、平整等及场外周边道路、雨污口等施工条件、调查项目所在地环境保护、水文、气象、地质条件；</w:t>
      </w:r>
    </w:p>
    <w:p w14:paraId="7FB4DDCA">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11</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承包人应积极主动对其分包进行管理，承担对分包管理不利的连带责任；</w:t>
      </w:r>
    </w:p>
    <w:p w14:paraId="36D19CEC">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12</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承包人应认真核查图纸和技术资料，当图纸和技术资料出现明显错漏、与现场施工条件不符、各专业之间互相矛盾时应及时报告发包人代表，故意瞒而不报或盲目施工引起的损失由承包人承担；</w:t>
      </w:r>
    </w:p>
    <w:p w14:paraId="1D88A789">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13</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承包人应确保安全文明施工措施费的使用，安全文明施工、规范管理、认真进行环境保护，树立良好的形象；</w:t>
      </w:r>
    </w:p>
    <w:p w14:paraId="732F0457">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14</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承包人应负责出具工程承包范围内需深化设计的专业工程设计方案及图纸，并报发包人审核通过后进行施工；深化设计及出图费用由承包人承担，图纸套数以发包人要求为准。</w:t>
      </w:r>
    </w:p>
    <w:p w14:paraId="47B02E94">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15</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承包人应配合发包人委托的桩基检测及结构检测等检测单位，完成相应的检测工作。</w:t>
      </w:r>
    </w:p>
    <w:p w14:paraId="146D8929">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16</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发包人按合同约定支付承包人的各项价款应专用于合同工程。承包人须在发包人指定的银行开户，并与发包人、银行共同签订《工程资金监管协议》，接受发包人对资金的监管。承包人应向发包人授权进行本合同工程开户银行工程资金的查询。发包人支付的工程进度款系本工程的专款专用资金，承包人不得转移或用于其他工程。发包人支付的工程进度款项将转入在该银行所设的专门账户，发包人及上级主管部门有权定期对承包人工程资金使用情况进行检查，发现问题时承包人应在发包人要求的期限内改正，否则发包人有权停止支付工程进度款，直至承包人完成整改为止。具体权利义务以三方签订的《工程资金监管协议》约定内容为准。</w:t>
      </w:r>
    </w:p>
    <w:p w14:paraId="5D648B4A">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17</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承包人应以人为本，打造和谐农民工劳动环境。应建立农民工工资发放的制度保障；建立农民工身体健康的卫生保障；建立维护农民工权益的组织保障。</w:t>
      </w:r>
    </w:p>
    <w:p w14:paraId="36934C75">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1）承包人应当按照有关规定开设农民工工资专用账户，专项用于支付该工程建设项目农民工工资。承包人应当保障农民工工资按时足额支付，人工费用拨付周期按照《保障农民工工资支付条例》（国令第724号）的相关规定执行。</w:t>
      </w:r>
    </w:p>
    <w:p w14:paraId="214D1E3F">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2）承包人或劳务分包人必须与农民工依法签订合同，并将合同报监理人备案。承包人和劳务分包人必须按照有关法律、法规规定落实各项劳动保护措施。</w:t>
      </w:r>
    </w:p>
    <w:p w14:paraId="427D711C">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3）发包人和监理人有权监督承包人使用农民工的管理，对不签订合同、非法使用农民工的，或者拖延和克扣农民工工资的，及时予以纠正。若因上述原因造成农民工上访、纠纷等情况，承包人须承担一切经济和法律责任。</w:t>
      </w:r>
    </w:p>
    <w:p w14:paraId="021F9F52">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18</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承包人应当按照有关规定存储工资保证金，专项用于支付为所承包工程提供劳动的农民工被拖欠的工资。</w:t>
      </w:r>
    </w:p>
    <w:p w14:paraId="068CAEA6">
      <w:pPr>
        <w:pStyle w:val="2"/>
        <w:pageBreakBefore w:val="0"/>
        <w:kinsoku/>
        <w:overflowPunct/>
        <w:bidi w:val="0"/>
        <w:spacing w:after="0" w:afterLines="0" w:line="360" w:lineRule="auto"/>
        <w:textAlignment w:val="auto"/>
        <w:rPr>
          <w:rFonts w:hint="eastAsia"/>
          <w:color w:val="auto"/>
          <w:sz w:val="21"/>
          <w:szCs w:val="21"/>
          <w:highlight w:val="none"/>
        </w:rPr>
      </w:pPr>
      <w:r>
        <w:rPr>
          <w:rFonts w:hint="eastAsia" w:ascii="宋体" w:hAnsi="宋体"/>
          <w:color w:val="auto"/>
          <w:sz w:val="21"/>
          <w:szCs w:val="21"/>
          <w:highlight w:val="none"/>
          <w:u w:val="single" w:color="000000"/>
        </w:rPr>
        <w:fldChar w:fldCharType="begin"/>
      </w:r>
      <w:r>
        <w:rPr>
          <w:rFonts w:hint="eastAsia" w:ascii="宋体" w:hAnsi="宋体"/>
          <w:color w:val="auto"/>
          <w:sz w:val="21"/>
          <w:szCs w:val="21"/>
          <w:highlight w:val="none"/>
          <w:u w:val="single" w:color="000000"/>
        </w:rPr>
        <w:instrText xml:space="preserve"> EQ \o\ac(</w:instrText>
      </w:r>
      <w:r>
        <w:rPr>
          <w:rFonts w:hint="eastAsia" w:ascii="宋体" w:hAnsi="宋体"/>
          <w:color w:val="auto"/>
          <w:position w:val="-4"/>
          <w:sz w:val="31"/>
          <w:szCs w:val="21"/>
          <w:highlight w:val="none"/>
          <w:u w:val="single" w:color="000000"/>
        </w:rPr>
        <w:instrText xml:space="preserve">○</w:instrText>
      </w:r>
      <w:r>
        <w:rPr>
          <w:rFonts w:hint="eastAsia" w:ascii="宋体" w:hAnsi="宋体"/>
          <w:color w:val="auto"/>
          <w:sz w:val="21"/>
          <w:szCs w:val="21"/>
          <w:highlight w:val="none"/>
          <w:u w:val="single" w:color="000000"/>
        </w:rPr>
        <w:instrText xml:space="preserve">,</w:instrText>
      </w:r>
      <w:r>
        <w:rPr>
          <w:rFonts w:hint="eastAsia" w:ascii="宋体" w:hAnsi="宋体"/>
          <w:color w:val="auto"/>
          <w:position w:val="0"/>
          <w:sz w:val="21"/>
          <w:szCs w:val="21"/>
          <w:highlight w:val="none"/>
          <w:u w:val="single" w:color="000000"/>
        </w:rPr>
        <w:instrText xml:space="preserve">19</w:instrText>
      </w:r>
      <w:r>
        <w:rPr>
          <w:rFonts w:hint="eastAsia" w:ascii="宋体" w:hAnsi="宋体"/>
          <w:color w:val="auto"/>
          <w:sz w:val="21"/>
          <w:szCs w:val="21"/>
          <w:highlight w:val="none"/>
          <w:u w:val="single" w:color="000000"/>
        </w:rPr>
        <w:instrText xml:space="preserve">)</w:instrText>
      </w:r>
      <w:r>
        <w:rPr>
          <w:rFonts w:hint="eastAsia" w:ascii="宋体" w:hAnsi="宋体"/>
          <w:color w:val="auto"/>
          <w:sz w:val="21"/>
          <w:szCs w:val="21"/>
          <w:highlight w:val="none"/>
          <w:u w:val="single" w:color="000000"/>
        </w:rPr>
        <w:fldChar w:fldCharType="end"/>
      </w:r>
      <w:r>
        <w:rPr>
          <w:rFonts w:hint="eastAsia" w:ascii="宋体" w:hAnsi="宋体"/>
          <w:color w:val="auto"/>
          <w:sz w:val="21"/>
          <w:szCs w:val="21"/>
          <w:highlight w:val="none"/>
          <w:u w:val="single" w:color="000000"/>
        </w:rPr>
        <w:t>承包人应当</w:t>
      </w:r>
      <w:r>
        <w:rPr>
          <w:rFonts w:ascii="宋体" w:hAnsi="宋体"/>
          <w:color w:val="auto"/>
          <w:sz w:val="21"/>
          <w:szCs w:val="21"/>
          <w:highlight w:val="none"/>
          <w:u w:val="single" w:color="000000"/>
        </w:rPr>
        <w:t>执行海南省、</w:t>
      </w:r>
      <w:r>
        <w:rPr>
          <w:rFonts w:hint="eastAsia"/>
          <w:color w:val="auto"/>
          <w:sz w:val="21"/>
          <w:szCs w:val="21"/>
          <w:highlight w:val="none"/>
          <w:u w:val="single" w:color="000000"/>
          <w:lang w:eastAsia="zh-CN"/>
        </w:rPr>
        <w:t>三亚市</w:t>
      </w:r>
      <w:r>
        <w:rPr>
          <w:rFonts w:ascii="宋体" w:hAnsi="宋体"/>
          <w:color w:val="auto"/>
          <w:sz w:val="21"/>
          <w:szCs w:val="21"/>
          <w:highlight w:val="none"/>
          <w:u w:val="single" w:color="000000"/>
        </w:rPr>
        <w:t>关于本地农民工及贫困劳动力</w:t>
      </w:r>
      <w:r>
        <w:rPr>
          <w:rFonts w:hint="eastAsia" w:ascii="宋体" w:hAnsi="宋体"/>
          <w:color w:val="auto"/>
          <w:sz w:val="21"/>
          <w:szCs w:val="21"/>
          <w:highlight w:val="none"/>
          <w:u w:val="single" w:color="000000"/>
        </w:rPr>
        <w:t>务工</w:t>
      </w:r>
      <w:r>
        <w:rPr>
          <w:rFonts w:ascii="宋体" w:hAnsi="宋体"/>
          <w:color w:val="auto"/>
          <w:sz w:val="21"/>
          <w:szCs w:val="21"/>
          <w:highlight w:val="none"/>
          <w:u w:val="single" w:color="000000"/>
        </w:rPr>
        <w:t>要求的相关政策。</w:t>
      </w:r>
    </w:p>
    <w:p w14:paraId="01255F12">
      <w:pPr>
        <w:pStyle w:val="2"/>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20</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ascii="宋体" w:hAnsi="宋体" w:cs="宋体"/>
          <w:color w:val="auto"/>
          <w:sz w:val="21"/>
          <w:szCs w:val="21"/>
          <w:highlight w:val="none"/>
          <w:u w:val="single"/>
        </w:rPr>
        <w:t>在项目相关手续未完善前，承包人不得擅自进场施工。</w:t>
      </w:r>
    </w:p>
    <w:p w14:paraId="610FCF9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74" w:name="_Toc51829113"/>
      <w:bookmarkStart w:id="175" w:name="_Toc25284"/>
      <w:bookmarkStart w:id="176" w:name="_Toc10388"/>
      <w:r>
        <w:rPr>
          <w:rFonts w:hint="eastAsia" w:ascii="宋体" w:hAnsi="宋体" w:eastAsia="宋体" w:cs="宋体"/>
          <w:bCs w:val="0"/>
          <w:color w:val="auto"/>
          <w:kern w:val="2"/>
          <w:sz w:val="21"/>
          <w:szCs w:val="21"/>
          <w:highlight w:val="none"/>
          <w:lang w:val="en-US" w:eastAsia="zh-CN" w:bidi="ar-SA"/>
        </w:rPr>
        <w:t>3.2 项目经理</w:t>
      </w:r>
      <w:bookmarkEnd w:id="174"/>
      <w:bookmarkEnd w:id="175"/>
      <w:bookmarkEnd w:id="176"/>
    </w:p>
    <w:p w14:paraId="1AE10D3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 xml:space="preserve">3.2.1 </w:t>
      </w:r>
      <w:r>
        <w:rPr>
          <w:rFonts w:hint="eastAsia" w:ascii="宋体" w:hAnsi="宋体" w:eastAsia="宋体" w:cs="宋体"/>
          <w:color w:val="auto"/>
          <w:kern w:val="2"/>
          <w:sz w:val="21"/>
          <w:szCs w:val="21"/>
          <w:highlight w:val="none"/>
          <w:lang w:val="en-US" w:eastAsia="zh-CN" w:bidi="ar"/>
        </w:rPr>
        <w:t>项目经理：</w:t>
      </w:r>
    </w:p>
    <w:p w14:paraId="675E912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 工程</w:t>
      </w:r>
      <w:r>
        <w:rPr>
          <w:rFonts w:hint="eastAsia" w:eastAsia="宋体" w:cs="宋体"/>
          <w:color w:val="auto"/>
          <w:sz w:val="21"/>
          <w:szCs w:val="21"/>
          <w:lang w:eastAsia="zh-CN"/>
        </w:rPr>
        <w:t>施工</w:t>
      </w:r>
      <w:r>
        <w:rPr>
          <w:rFonts w:hint="eastAsia" w:ascii="宋体" w:hAnsi="宋体" w:eastAsia="宋体" w:cs="宋体"/>
          <w:color w:val="auto"/>
          <w:sz w:val="21"/>
          <w:szCs w:val="21"/>
        </w:rPr>
        <w:t>项目经理姓名：</w:t>
      </w:r>
      <w:r>
        <w:rPr>
          <w:rFonts w:hint="eastAsia" w:ascii="宋体" w:hAnsi="宋体" w:eastAsia="宋体" w:cs="宋体"/>
          <w:color w:val="auto"/>
          <w:sz w:val="21"/>
          <w:szCs w:val="21"/>
          <w:u w:val="single"/>
        </w:rPr>
        <w:t xml:space="preserve">        </w:t>
      </w:r>
      <w:r>
        <w:rPr>
          <w:rFonts w:hint="eastAsia"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539358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执业资格或职称类型：</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69B003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执业资格证或职称证号码：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7A1438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F8D7511">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电子邮箱：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DD76DA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1A1D8ED">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承包人对项目经理的授权范围如下：</w:t>
      </w:r>
      <w:r>
        <w:rPr>
          <w:rFonts w:hint="eastAsia" w:cs="宋体"/>
          <w:color w:val="auto"/>
          <w:sz w:val="21"/>
          <w:szCs w:val="21"/>
          <w:highlight w:val="none"/>
          <w:u w:val="single"/>
        </w:rPr>
        <w:t>负责处理合同履行过程中与发、承包双方有关的具体事宜</w:t>
      </w:r>
      <w:r>
        <w:rPr>
          <w:rFonts w:hint="eastAsia" w:cs="宋体"/>
          <w:color w:val="auto"/>
          <w:sz w:val="21"/>
          <w:szCs w:val="21"/>
          <w:highlight w:val="none"/>
        </w:rPr>
        <w:t>。</w:t>
      </w:r>
    </w:p>
    <w:p w14:paraId="524B0367">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kern w:val="0"/>
          <w:sz w:val="21"/>
          <w:szCs w:val="21"/>
          <w:highlight w:val="none"/>
        </w:rPr>
        <w:t>关于项目经理每月在施工现场的时间要求：</w:t>
      </w:r>
      <w:r>
        <w:rPr>
          <w:rFonts w:hint="eastAsia" w:cs="宋体"/>
          <w:color w:val="auto"/>
          <w:sz w:val="21"/>
          <w:szCs w:val="21"/>
          <w:highlight w:val="none"/>
          <w:u w:val="single"/>
        </w:rPr>
        <w:t>常驻施工现场不少于22日历天</w:t>
      </w:r>
      <w:r>
        <w:rPr>
          <w:rFonts w:hint="eastAsia" w:cs="宋体"/>
          <w:color w:val="auto"/>
          <w:sz w:val="21"/>
          <w:szCs w:val="21"/>
          <w:highlight w:val="none"/>
        </w:rPr>
        <w:t>。</w:t>
      </w:r>
    </w:p>
    <w:p w14:paraId="01DBF613">
      <w:pPr>
        <w:pageBreakBefore w:val="0"/>
        <w:kinsoku/>
        <w:overflowPunct/>
        <w:bidi w:val="0"/>
        <w:spacing w:after="0" w:afterLines="0" w:line="360" w:lineRule="auto"/>
        <w:ind w:firstLine="420" w:firstLineChars="200"/>
        <w:textAlignment w:val="auto"/>
        <w:rPr>
          <w:rFonts w:hint="eastAsia" w:cs="宋体"/>
          <w:color w:val="auto"/>
          <w:kern w:val="0"/>
          <w:sz w:val="21"/>
          <w:szCs w:val="21"/>
          <w:highlight w:val="none"/>
        </w:rPr>
      </w:pPr>
      <w:r>
        <w:rPr>
          <w:rFonts w:hint="eastAsia" w:cs="宋体"/>
          <w:color w:val="auto"/>
          <w:kern w:val="0"/>
          <w:sz w:val="21"/>
          <w:szCs w:val="21"/>
          <w:highlight w:val="none"/>
        </w:rPr>
        <w:t>承包人未提交劳动合同，以及没有为项目经理缴纳社会保险证明的违约责任：</w:t>
      </w:r>
      <w:r>
        <w:rPr>
          <w:rFonts w:hint="eastAsia" w:cs="宋体"/>
          <w:color w:val="auto"/>
          <w:sz w:val="21"/>
          <w:szCs w:val="21"/>
          <w:highlight w:val="none"/>
          <w:u w:val="single"/>
        </w:rPr>
        <w:t xml:space="preserve">  发包人有权要求更换项目经理，并由承包人向发包人支付2万元/人次的违约金，发包人有权从工程款中直接扣除  </w:t>
      </w:r>
      <w:r>
        <w:rPr>
          <w:rFonts w:hint="eastAsia" w:cs="宋体"/>
          <w:color w:val="auto"/>
          <w:sz w:val="21"/>
          <w:szCs w:val="21"/>
          <w:highlight w:val="none"/>
        </w:rPr>
        <w:t>。</w:t>
      </w:r>
    </w:p>
    <w:p w14:paraId="47D8DC04">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kern w:val="0"/>
          <w:sz w:val="21"/>
          <w:szCs w:val="21"/>
          <w:highlight w:val="none"/>
        </w:rPr>
        <w:t>项目经理未经批准，擅自离开施工现场的违约责任：</w:t>
      </w:r>
      <w:r>
        <w:rPr>
          <w:rFonts w:hint="eastAsia" w:cs="宋体"/>
          <w:color w:val="auto"/>
          <w:sz w:val="21"/>
          <w:szCs w:val="21"/>
          <w:highlight w:val="none"/>
          <w:u w:val="single"/>
        </w:rPr>
        <w:t>按每天次交纳2000元违约金，发包人有权从工程款中直接扣除；项目经理每月擅自离开施工现场累计超过5日历天的，发包人有权要求更换项目经理，并由承包人向发包人另支付2万元/人次的违约金，发包人有权从工程款中直接扣除。</w:t>
      </w:r>
    </w:p>
    <w:p w14:paraId="3B777C6C">
      <w:pPr>
        <w:pageBreakBefore w:val="0"/>
        <w:kinsoku/>
        <w:overflowPunct/>
        <w:bidi w:val="0"/>
        <w:spacing w:after="0" w:afterLines="0" w:line="360" w:lineRule="auto"/>
        <w:textAlignment w:val="auto"/>
        <w:rPr>
          <w:color w:val="auto"/>
          <w:sz w:val="21"/>
          <w:szCs w:val="21"/>
          <w:highlight w:val="none"/>
        </w:rPr>
      </w:pPr>
      <w:r>
        <w:rPr>
          <w:rFonts w:hint="eastAsia" w:cs="宋体"/>
          <w:color w:val="auto"/>
          <w:sz w:val="21"/>
          <w:szCs w:val="21"/>
          <w:highlight w:val="none"/>
        </w:rPr>
        <w:t>3.2.3 承包人擅自更换项目经理的违约责任：除符合</w:t>
      </w:r>
      <w:r>
        <w:rPr>
          <w:rFonts w:hint="eastAsia" w:cs="宋体"/>
          <w:b/>
          <w:bCs/>
          <w:color w:val="auto"/>
          <w:sz w:val="21"/>
          <w:szCs w:val="21"/>
          <w:highlight w:val="none"/>
        </w:rPr>
        <w:t>海南省住房和城乡建设厅关于印发《海南省建筑工程施工现场关键岗位人员配备和在岗履职管理办法》的通知（琼建管〔2021〕281号）</w:t>
      </w:r>
      <w:r>
        <w:rPr>
          <w:rFonts w:hint="eastAsia" w:cs="宋体"/>
          <w:color w:val="auto"/>
          <w:sz w:val="21"/>
          <w:szCs w:val="21"/>
          <w:highlight w:val="none"/>
        </w:rPr>
        <w:t>中允许承包人依法更换项目经理的情况并经发包人书面同意外，承包人擅自更换项目经理的，按每人次交纳2万元违约金，发包人有权从工程款中直接扣除。</w:t>
      </w:r>
    </w:p>
    <w:p w14:paraId="428694C9">
      <w:pPr>
        <w:pStyle w:val="2"/>
        <w:pageBreakBefore w:val="0"/>
        <w:kinsoku/>
        <w:overflowPunct/>
        <w:bidi w:val="0"/>
        <w:spacing w:after="0" w:afterLines="0" w:line="360" w:lineRule="auto"/>
        <w:textAlignment w:val="auto"/>
        <w:rPr>
          <w:rFonts w:hint="eastAsia"/>
          <w:color w:val="auto"/>
          <w:sz w:val="21"/>
          <w:szCs w:val="21"/>
          <w:highlight w:val="none"/>
        </w:rPr>
      </w:pPr>
      <w:r>
        <w:rPr>
          <w:rFonts w:hint="eastAsia"/>
          <w:color w:val="auto"/>
          <w:sz w:val="21"/>
          <w:szCs w:val="21"/>
          <w:highlight w:val="none"/>
        </w:rPr>
        <w:t>超出更换次数的违约责任：承包人在合同履行过程中，更换项目经理的次数不能超过1次，否则，无论是否符合专用条款第3.2.3款前述约定，更换次数每超出1次，向发包人另支付2万元/人次违约金。</w:t>
      </w:r>
    </w:p>
    <w:p w14:paraId="6D8E91C8">
      <w:pPr>
        <w:pageBreakBefore w:val="0"/>
        <w:kinsoku/>
        <w:overflowPunct/>
        <w:bidi w:val="0"/>
        <w:spacing w:after="0" w:afterLines="0" w:line="360" w:lineRule="auto"/>
        <w:ind w:firstLine="600"/>
        <w:textAlignment w:val="auto"/>
        <w:rPr>
          <w:rFonts w:hint="eastAsia" w:cs="宋体"/>
          <w:color w:val="auto"/>
          <w:kern w:val="0"/>
          <w:sz w:val="21"/>
          <w:szCs w:val="21"/>
          <w:highlight w:val="none"/>
        </w:rPr>
      </w:pPr>
      <w:r>
        <w:rPr>
          <w:rFonts w:hint="eastAsia" w:cs="宋体"/>
          <w:color w:val="auto"/>
          <w:sz w:val="21"/>
          <w:szCs w:val="21"/>
          <w:highlight w:val="none"/>
        </w:rPr>
        <w:t>3.2.4 如发包人发现担任本项目的项目经理存在行贿、受贿犯罪记录或其他不适该工程的管理工作的，发包人有权要求承包人更换项目经理。承包人无正当理由拒绝更换项目经理的违约责任：</w:t>
      </w:r>
      <w:r>
        <w:rPr>
          <w:rFonts w:hint="eastAsia" w:cs="宋体"/>
          <w:color w:val="auto"/>
          <w:sz w:val="21"/>
          <w:szCs w:val="21"/>
          <w:highlight w:val="none"/>
          <w:u w:val="single"/>
        </w:rPr>
        <w:t xml:space="preserve">  在通知规定期限内承包人不进行更换的，每逾期1天按天交纳2000元违约金，逾期天数计算至承包人更换项目经理之日止，发包人有权从工程款直接扣除。逾期超过30天仍拒不更换的，发包人有权单方面解除合同，由此造成的损失由承包人承担</w:t>
      </w:r>
      <w:r>
        <w:rPr>
          <w:rFonts w:hint="eastAsia" w:cs="宋体"/>
          <w:color w:val="auto"/>
          <w:sz w:val="21"/>
          <w:szCs w:val="21"/>
          <w:highlight w:val="none"/>
        </w:rPr>
        <w:t>。</w:t>
      </w:r>
    </w:p>
    <w:p w14:paraId="204D6142">
      <w:pPr>
        <w:pStyle w:val="8"/>
        <w:pageBreakBefore w:val="0"/>
        <w:kinsoku/>
        <w:overflowPunct/>
        <w:bidi w:val="0"/>
        <w:spacing w:before="0" w:after="0" w:afterLines="0" w:line="360" w:lineRule="auto"/>
        <w:ind w:left="0" w:firstLine="422" w:firstLineChars="200"/>
        <w:textAlignment w:val="auto"/>
        <w:rPr>
          <w:rFonts w:hint="eastAsia"/>
          <w:color w:val="auto"/>
          <w:sz w:val="21"/>
          <w:szCs w:val="21"/>
          <w:highlight w:val="none"/>
        </w:rPr>
      </w:pPr>
      <w:r>
        <w:rPr>
          <w:rFonts w:hint="eastAsia"/>
          <w:color w:val="auto"/>
          <w:sz w:val="21"/>
          <w:szCs w:val="21"/>
          <w:highlight w:val="none"/>
        </w:rPr>
        <w:t>3.3 承包人人员</w:t>
      </w:r>
    </w:p>
    <w:p w14:paraId="57F97DB5">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rPr>
        <w:t xml:space="preserve"> 正式开工前7天内   </w:t>
      </w:r>
      <w:r>
        <w:rPr>
          <w:rFonts w:hint="eastAsia" w:cs="宋体"/>
          <w:color w:val="auto"/>
          <w:sz w:val="21"/>
          <w:szCs w:val="21"/>
          <w:highlight w:val="none"/>
        </w:rPr>
        <w:t>。</w:t>
      </w:r>
    </w:p>
    <w:p w14:paraId="38A0DCE1">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3.3.3 承包人无正当理由拒绝撤换主要施工管理人员的违约责任：（1）</w:t>
      </w:r>
      <w:r>
        <w:rPr>
          <w:rFonts w:hint="eastAsia" w:cs="宋体"/>
          <w:color w:val="auto"/>
          <w:sz w:val="21"/>
          <w:szCs w:val="21"/>
          <w:highlight w:val="none"/>
          <w:u w:val="single"/>
        </w:rPr>
        <w:t xml:space="preserve">在通知规定期限内承包人不进行更换项目经理的，每逾期1天按天交纳2000元违约金；（2）在通知规定期限内承包人不进行更换技术负责人的，每逾期1天按天交纳1000元违约金；（3）在通知规定期限内承包人不进行更换其他施工管理人员的：每逾期1天按天交纳500元违约金。逾期天数计算至承包人撤换主要施工管理人员之日止，发包人有权从工程款直接扣除。逾期超过30天仍拒不更换的，发包人有权要求撤换承包人项目经理及单方面解除合同，由此造成的损失由承包人承担 </w:t>
      </w:r>
      <w:r>
        <w:rPr>
          <w:rFonts w:hint="eastAsia" w:cs="宋体"/>
          <w:color w:val="auto"/>
          <w:sz w:val="21"/>
          <w:szCs w:val="21"/>
          <w:highlight w:val="none"/>
        </w:rPr>
        <w:t>。</w:t>
      </w:r>
    </w:p>
    <w:p w14:paraId="347D77EE">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rPr>
        <w:t>3.3.4 承包人主要施工管理人员离开施工现场的批准要求</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2B7F1CAA">
      <w:pPr>
        <w:pageBreakBefore w:val="0"/>
        <w:kinsoku/>
        <w:overflowPunct/>
        <w:bidi w:val="0"/>
        <w:spacing w:after="0" w:afterLines="0" w:line="360" w:lineRule="auto"/>
        <w:ind w:firstLine="420" w:firstLineChars="200"/>
        <w:textAlignment w:val="auto"/>
        <w:rPr>
          <w:color w:val="auto"/>
          <w:sz w:val="21"/>
          <w:szCs w:val="21"/>
          <w:highlight w:val="none"/>
        </w:rPr>
      </w:pPr>
      <w:r>
        <w:rPr>
          <w:rFonts w:hint="eastAsia" w:cs="宋体"/>
          <w:color w:val="auto"/>
          <w:sz w:val="21"/>
          <w:szCs w:val="21"/>
          <w:highlight w:val="none"/>
        </w:rPr>
        <w:t>3.3.5承包人擅自更换主要施工管理人员的违约责任：</w:t>
      </w:r>
      <w:r>
        <w:rPr>
          <w:rFonts w:hint="eastAsia" w:cs="宋体"/>
          <w:color w:val="auto"/>
          <w:sz w:val="21"/>
          <w:szCs w:val="21"/>
          <w:highlight w:val="none"/>
          <w:u w:val="single"/>
        </w:rPr>
        <w:t>除</w:t>
      </w:r>
      <w:r>
        <w:rPr>
          <w:rFonts w:hint="eastAsia" w:cs="宋体"/>
          <w:color w:val="auto"/>
          <w:sz w:val="21"/>
          <w:szCs w:val="21"/>
          <w:highlight w:val="none"/>
        </w:rPr>
        <w:t>符合</w:t>
      </w:r>
      <w:r>
        <w:rPr>
          <w:rFonts w:hint="eastAsia" w:cs="宋体"/>
          <w:b/>
          <w:bCs/>
          <w:color w:val="auto"/>
          <w:sz w:val="21"/>
          <w:szCs w:val="21"/>
          <w:highlight w:val="none"/>
        </w:rPr>
        <w:t>海南省住房和城乡建设厅关于印发《海南省建筑工程施工现场关键岗位人员配备和在岗履职管理办法》的通知（琼建管〔2021〕281号）</w:t>
      </w:r>
      <w:r>
        <w:rPr>
          <w:rFonts w:hint="eastAsia" w:cs="宋体"/>
          <w:color w:val="auto"/>
          <w:sz w:val="21"/>
          <w:szCs w:val="21"/>
          <w:highlight w:val="none"/>
        </w:rPr>
        <w:t>中允许承包人依法更换</w:t>
      </w:r>
      <w:r>
        <w:rPr>
          <w:rFonts w:hint="eastAsia" w:cs="宋体"/>
          <w:color w:val="auto"/>
          <w:sz w:val="21"/>
          <w:szCs w:val="21"/>
          <w:highlight w:val="none"/>
          <w:u w:val="single"/>
        </w:rPr>
        <w:t>主要施工管理人员（不含项目经理）</w:t>
      </w:r>
      <w:r>
        <w:rPr>
          <w:rFonts w:hint="eastAsia" w:cs="宋体"/>
          <w:color w:val="auto"/>
          <w:sz w:val="21"/>
          <w:szCs w:val="21"/>
          <w:highlight w:val="none"/>
        </w:rPr>
        <w:t>的情况并经发包人书面同意外</w:t>
      </w:r>
      <w:r>
        <w:rPr>
          <w:rFonts w:hint="eastAsia" w:cs="宋体"/>
          <w:color w:val="auto"/>
          <w:sz w:val="21"/>
          <w:szCs w:val="21"/>
          <w:highlight w:val="none"/>
          <w:u w:val="single"/>
        </w:rPr>
        <w:t>，承包人擅自更换主要施工管理人员（不含项目经理），按每人次交纳5000元违约金，发包人有权从工程款中直接扣除</w:t>
      </w:r>
      <w:r>
        <w:rPr>
          <w:rFonts w:hint="eastAsia" w:cs="宋体"/>
          <w:color w:val="auto"/>
          <w:sz w:val="21"/>
          <w:szCs w:val="21"/>
          <w:highlight w:val="none"/>
        </w:rPr>
        <w:t>。</w:t>
      </w:r>
    </w:p>
    <w:p w14:paraId="129AF798">
      <w:pPr>
        <w:pStyle w:val="2"/>
        <w:pageBreakBefore w:val="0"/>
        <w:kinsoku/>
        <w:overflowPunct/>
        <w:bidi w:val="0"/>
        <w:spacing w:after="0" w:afterLines="0" w:line="360" w:lineRule="auto"/>
        <w:textAlignment w:val="auto"/>
        <w:rPr>
          <w:rFonts w:hint="eastAsia"/>
          <w:color w:val="auto"/>
          <w:sz w:val="21"/>
          <w:szCs w:val="21"/>
          <w:highlight w:val="none"/>
        </w:rPr>
      </w:pPr>
      <w:r>
        <w:rPr>
          <w:rFonts w:hint="eastAsia"/>
          <w:color w:val="auto"/>
          <w:sz w:val="21"/>
          <w:szCs w:val="21"/>
          <w:highlight w:val="none"/>
        </w:rPr>
        <w:t>超出更换次数的违约责任：承包人在合同履行过程中，更换主要施工管理人员（不含项目经理）的次数不能超过1次，否则，无论是否符合专用条款第3.3.5款的前述约定，更换次数每超出一人次，向发包人另支付5000元/人次违约金。</w:t>
      </w:r>
    </w:p>
    <w:p w14:paraId="3CD2B480">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承包人主要施工管理人员擅自离开施工现场的违约责任：</w:t>
      </w:r>
      <w:r>
        <w:rPr>
          <w:rFonts w:hint="eastAsia" w:cs="宋体"/>
          <w:color w:val="auto"/>
          <w:sz w:val="21"/>
          <w:szCs w:val="21"/>
          <w:highlight w:val="none"/>
          <w:u w:val="single"/>
        </w:rPr>
        <w:t>承包人主要施工管理人员（不含项目经理）未经发包人书面同意，擅自离开施工现场，按每天次交纳1000元违约金，发包人有权从工程款中直接扣除</w:t>
      </w:r>
      <w:r>
        <w:rPr>
          <w:rFonts w:hint="eastAsia" w:cs="宋体"/>
          <w:color w:val="auto"/>
          <w:sz w:val="21"/>
          <w:szCs w:val="21"/>
          <w:highlight w:val="none"/>
        </w:rPr>
        <w:t>。</w:t>
      </w:r>
    </w:p>
    <w:p w14:paraId="5297AD3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none"/>
        </w:rPr>
      </w:pPr>
      <w:r>
        <w:rPr>
          <w:rFonts w:hint="eastAsia" w:ascii="宋体" w:hAnsi="宋体" w:cs="宋体"/>
          <w:color w:val="auto"/>
          <w:sz w:val="21"/>
          <w:szCs w:val="21"/>
          <w:highlight w:val="none"/>
        </w:rPr>
        <w:t>因承包人行为违反本合同约定，承包人承担人员履约不到位违约金的上限为：总额不超过签约合同价的10% ，发包人有权从结算款扣除或兑付履约保函。</w:t>
      </w:r>
      <w:bookmarkStart w:id="177" w:name="_Toc51829115"/>
      <w:bookmarkStart w:id="178" w:name="_Toc5044"/>
      <w:bookmarkStart w:id="179" w:name="_Toc28263"/>
    </w:p>
    <w:p w14:paraId="5B9D623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3.5 分包</w:t>
      </w:r>
      <w:bookmarkEnd w:id="177"/>
      <w:bookmarkEnd w:id="178"/>
      <w:bookmarkEnd w:id="179"/>
    </w:p>
    <w:p w14:paraId="2DE6C8F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3.5.1 分包的一般约定</w:t>
      </w:r>
    </w:p>
    <w:p w14:paraId="5F7D66B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禁止分包的工程包括：</w:t>
      </w:r>
      <w:r>
        <w:rPr>
          <w:rFonts w:hint="eastAsia" w:ascii="宋体" w:hAnsi="宋体" w:eastAsia="宋体" w:cs="宋体"/>
          <w:color w:val="auto"/>
          <w:kern w:val="2"/>
          <w:sz w:val="21"/>
          <w:szCs w:val="21"/>
          <w:highlight w:val="none"/>
          <w:u w:val="single"/>
          <w:lang w:val="en-US" w:eastAsia="zh-CN" w:bidi="ar"/>
        </w:rPr>
        <w:t xml:space="preserve">国家规定禁止分包的工程  </w:t>
      </w:r>
      <w:r>
        <w:rPr>
          <w:rFonts w:hint="eastAsia" w:ascii="宋体" w:hAnsi="宋体" w:eastAsia="宋体" w:cs="宋体"/>
          <w:color w:val="auto"/>
          <w:kern w:val="2"/>
          <w:sz w:val="21"/>
          <w:szCs w:val="21"/>
          <w:highlight w:val="none"/>
          <w:lang w:val="en-US" w:eastAsia="zh-CN" w:bidi="ar"/>
        </w:rPr>
        <w:t>。</w:t>
      </w:r>
    </w:p>
    <w:p w14:paraId="14FDB32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jc w:val="left"/>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主体结构、关键性工作的范围：</w:t>
      </w:r>
      <w:r>
        <w:rPr>
          <w:rFonts w:hint="eastAsia" w:ascii="宋体" w:hAnsi="宋体" w:eastAsia="宋体" w:cs="宋体"/>
          <w:color w:val="auto"/>
          <w:kern w:val="2"/>
          <w:sz w:val="21"/>
          <w:szCs w:val="21"/>
          <w:highlight w:val="none"/>
          <w:u w:val="single"/>
          <w:lang w:val="en-US" w:eastAsia="zh-CN" w:bidi="ar"/>
        </w:rPr>
        <w:t>允许分包范围以外的工程</w:t>
      </w:r>
      <w:r>
        <w:rPr>
          <w:rFonts w:hint="eastAsia" w:ascii="宋体" w:hAnsi="宋体" w:eastAsia="宋体" w:cs="宋体"/>
          <w:color w:val="auto"/>
          <w:kern w:val="2"/>
          <w:sz w:val="21"/>
          <w:szCs w:val="21"/>
          <w:highlight w:val="none"/>
          <w:lang w:val="en-US" w:eastAsia="zh-CN" w:bidi="ar"/>
        </w:rPr>
        <w:t>。</w:t>
      </w:r>
    </w:p>
    <w:p w14:paraId="47E8FA5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 xml:space="preserve">    3.5.2分包的确定</w:t>
      </w:r>
    </w:p>
    <w:p w14:paraId="23E541B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允许分包的专业工程包括：</w:t>
      </w:r>
      <w:r>
        <w:rPr>
          <w:rFonts w:hint="eastAsia" w:ascii="宋体" w:hAnsi="宋体" w:eastAsia="宋体" w:cs="宋体"/>
          <w:color w:val="auto"/>
          <w:kern w:val="2"/>
          <w:sz w:val="21"/>
          <w:szCs w:val="21"/>
          <w:highlight w:val="none"/>
          <w:u w:val="single"/>
          <w:lang w:val="en-US" w:eastAsia="zh-CN" w:bidi="ar"/>
        </w:rPr>
        <w:t>国家规定允许分包的专业工程</w:t>
      </w:r>
      <w:r>
        <w:rPr>
          <w:rFonts w:hint="eastAsia" w:ascii="宋体" w:hAnsi="宋体" w:eastAsia="宋体" w:cs="宋体"/>
          <w:color w:val="auto"/>
          <w:kern w:val="2"/>
          <w:sz w:val="21"/>
          <w:szCs w:val="21"/>
          <w:highlight w:val="none"/>
          <w:lang w:val="en-US" w:eastAsia="zh-CN" w:bidi="ar"/>
        </w:rPr>
        <w:t>。</w:t>
      </w:r>
    </w:p>
    <w:p w14:paraId="688A1DF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 xml:space="preserve">    其他关于分包的约定：</w:t>
      </w:r>
      <w:r>
        <w:rPr>
          <w:rFonts w:hint="eastAsia" w:ascii="宋体" w:hAnsi="宋体" w:eastAsia="宋体" w:cs="宋体"/>
          <w:color w:val="auto"/>
          <w:kern w:val="2"/>
          <w:sz w:val="21"/>
          <w:szCs w:val="21"/>
          <w:highlight w:val="none"/>
          <w:u w:val="single"/>
          <w:lang w:val="en-US" w:eastAsia="zh-CN" w:bidi="ar"/>
        </w:rPr>
        <w:t>专业工程分包单位资质须满足专业分包要求。专业工程在分包前，承包人须报发包人审核批准。未经发包人批准擅自分包的，发包人有权要求拆除已施工的分包工程。由此产生的费用和造成延误的工期由承包人承担。</w:t>
      </w:r>
    </w:p>
    <w:p w14:paraId="40B4A735">
      <w:pPr>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highlight w:val="none"/>
          <w:lang w:val="en-US" w:eastAsia="zh-CN" w:bidi="ar"/>
        </w:rPr>
        <w:t xml:space="preserve">3.5.4 </w:t>
      </w:r>
      <w:r>
        <w:rPr>
          <w:rFonts w:hint="eastAsia" w:ascii="宋体" w:hAnsi="宋体" w:eastAsia="宋体" w:cs="宋体"/>
          <w:color w:val="auto"/>
          <w:sz w:val="21"/>
          <w:szCs w:val="21"/>
        </w:rPr>
        <w:t>分包合同价款支付</w:t>
      </w:r>
    </w:p>
    <w:p w14:paraId="36249E2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kern w:val="2"/>
          <w:sz w:val="21"/>
          <w:szCs w:val="21"/>
          <w:highlight w:val="none"/>
          <w:u w:val="single"/>
          <w:lang w:val="en-US" w:eastAsia="zh-CN" w:bidi="ar"/>
        </w:rPr>
      </w:pPr>
      <w:r>
        <w:rPr>
          <w:rFonts w:hint="eastAsia" w:ascii="宋体" w:hAnsi="宋体" w:eastAsia="宋体" w:cs="宋体"/>
          <w:color w:val="auto"/>
          <w:sz w:val="21"/>
          <w:szCs w:val="21"/>
        </w:rPr>
        <w:t>关于分包合同价款支付的约定：</w:t>
      </w:r>
      <w:r>
        <w:rPr>
          <w:rFonts w:hint="eastAsia" w:ascii="宋体" w:hAnsi="宋体" w:eastAsia="宋体" w:cs="宋体"/>
          <w:color w:val="auto"/>
          <w:sz w:val="21"/>
          <w:szCs w:val="21"/>
          <w:u w:val="single"/>
        </w:rPr>
        <w:t>发包人按合同约定价款向承包人支付分包工程款，发包人不直接向分包人支付，但承包人未及时向分包人支付工程款，造成分包工程延误或引起分包人投诉、起诉等情形，一经核实，每发生一次，承包人须向发包人支付违约金</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u w:val="single"/>
        </w:rPr>
        <w:t>万元，发包人有权从应支付给承包人的工程款中直接扣除。</w:t>
      </w:r>
    </w:p>
    <w:p w14:paraId="246D5EE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80" w:name="_Toc27604"/>
      <w:bookmarkStart w:id="181" w:name="_Toc19037"/>
      <w:bookmarkStart w:id="182" w:name="_Toc51829116"/>
      <w:r>
        <w:rPr>
          <w:rFonts w:hint="eastAsia" w:ascii="宋体" w:hAnsi="宋体" w:eastAsia="宋体" w:cs="宋体"/>
          <w:bCs w:val="0"/>
          <w:color w:val="auto"/>
          <w:kern w:val="2"/>
          <w:sz w:val="21"/>
          <w:szCs w:val="21"/>
          <w:highlight w:val="none"/>
          <w:lang w:val="en-US" w:eastAsia="zh-CN" w:bidi="ar-SA"/>
        </w:rPr>
        <w:t>3.6 工程照管与成品、半成品保护</w:t>
      </w:r>
      <w:bookmarkEnd w:id="180"/>
      <w:bookmarkEnd w:id="181"/>
      <w:bookmarkEnd w:id="182"/>
    </w:p>
    <w:p w14:paraId="4403315B">
      <w:pPr>
        <w:keepNext w:val="0"/>
        <w:keepLines w:val="0"/>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承包人负责照管工程及工程相关的材料、工程设备的起始时间：从设备人员进场至工程竣工验收，由承包人负责，费用由承包人承担。有其它特殊要求的，双方另行商定</w:t>
      </w:r>
      <w:r>
        <w:rPr>
          <w:rFonts w:hint="eastAsia" w:ascii="宋体" w:hAnsi="宋体" w:eastAsia="宋体" w:cs="宋体"/>
          <w:color w:val="auto"/>
          <w:kern w:val="2"/>
          <w:sz w:val="21"/>
          <w:szCs w:val="21"/>
          <w:highlight w:val="none"/>
          <w:u w:val="none"/>
          <w:lang w:val="en-US" w:eastAsia="zh-CN" w:bidi="ar"/>
        </w:rPr>
        <w:t>。</w:t>
      </w:r>
    </w:p>
    <w:p w14:paraId="6DA5338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83" w:name="_Toc26050"/>
      <w:bookmarkStart w:id="184" w:name="_Toc29974"/>
      <w:bookmarkStart w:id="185" w:name="_Toc51829117"/>
      <w:r>
        <w:rPr>
          <w:rFonts w:hint="eastAsia" w:ascii="宋体" w:hAnsi="宋体" w:eastAsia="宋体" w:cs="宋体"/>
          <w:bCs w:val="0"/>
          <w:color w:val="auto"/>
          <w:kern w:val="2"/>
          <w:sz w:val="21"/>
          <w:szCs w:val="21"/>
          <w:highlight w:val="none"/>
          <w:lang w:val="en-US" w:eastAsia="zh-CN" w:bidi="ar-SA"/>
        </w:rPr>
        <w:t>3.7 履约担保</w:t>
      </w:r>
      <w:bookmarkEnd w:id="183"/>
      <w:bookmarkEnd w:id="184"/>
      <w:bookmarkEnd w:id="185"/>
    </w:p>
    <w:p w14:paraId="13F8E05B">
      <w:pPr>
        <w:pageBreakBefore w:val="0"/>
        <w:kinsoku/>
        <w:overflowPunct/>
        <w:bidi w:val="0"/>
        <w:spacing w:after="0" w:afterLines="0" w:line="360" w:lineRule="auto"/>
        <w:ind w:firstLine="420" w:firstLineChars="200"/>
        <w:jc w:val="left"/>
        <w:textAlignment w:val="auto"/>
        <w:rPr>
          <w:rFonts w:hint="eastAsia" w:cs="宋体"/>
          <w:sz w:val="21"/>
          <w:szCs w:val="21"/>
          <w:highlight w:val="none"/>
        </w:rPr>
      </w:pPr>
      <w:r>
        <w:rPr>
          <w:rFonts w:hint="eastAsia" w:cs="宋体"/>
          <w:sz w:val="21"/>
          <w:szCs w:val="21"/>
          <w:highlight w:val="none"/>
        </w:rPr>
        <w:t>承包人是否提供履约担保：</w:t>
      </w:r>
      <w:r>
        <w:rPr>
          <w:rFonts w:hint="eastAsia" w:cs="宋体"/>
          <w:sz w:val="21"/>
          <w:szCs w:val="21"/>
          <w:highlight w:val="none"/>
          <w:u w:val="single"/>
        </w:rPr>
        <w:t xml:space="preserve">         是          </w:t>
      </w:r>
      <w:r>
        <w:rPr>
          <w:rFonts w:hint="eastAsia" w:cs="宋体"/>
          <w:sz w:val="21"/>
          <w:szCs w:val="21"/>
          <w:highlight w:val="none"/>
        </w:rPr>
        <w:t>。</w:t>
      </w:r>
    </w:p>
    <w:p w14:paraId="5B4D6274">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承包人提供履约担保的形式、金额及期限的：</w:t>
      </w:r>
      <w:r>
        <w:rPr>
          <w:rFonts w:hint="eastAsia" w:cs="宋体"/>
          <w:sz w:val="21"/>
          <w:szCs w:val="21"/>
          <w:highlight w:val="none"/>
          <w:u w:val="single"/>
        </w:rPr>
        <w:t>履约担保为不可撤销、无条件、见索即付的银行保函，承包人须按签约合同金额的10%提交履约担保。履约担保自合同约定工作全部完成且竣工验收合格后15天自动失效。如实际工期超过合同工期导致履约担保期限不足的，承包人应在履约担保失效前15天向发包人出具满足实际工期需要的履约担保，逾期未提供的，发包人有权从工程款中扣除相应款项做为履约担保</w:t>
      </w:r>
      <w:r>
        <w:rPr>
          <w:rFonts w:hint="eastAsia" w:cs="宋体"/>
          <w:sz w:val="21"/>
          <w:szCs w:val="21"/>
          <w:highlight w:val="none"/>
        </w:rPr>
        <w:t>。</w:t>
      </w:r>
    </w:p>
    <w:p w14:paraId="3F90ABC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186" w:name="_Toc3655"/>
      <w:bookmarkStart w:id="187" w:name="_Toc5359"/>
      <w:bookmarkStart w:id="188" w:name="_Toc10904"/>
      <w:bookmarkStart w:id="189" w:name="_Toc7360"/>
      <w:bookmarkStart w:id="190" w:name="_Toc54768807"/>
      <w:bookmarkStart w:id="191" w:name="_Toc11087"/>
      <w:bookmarkStart w:id="192" w:name="_Toc51829118"/>
      <w:bookmarkStart w:id="193" w:name="_Toc24549"/>
      <w:r>
        <w:rPr>
          <w:rFonts w:hint="eastAsia" w:ascii="宋体" w:hAnsi="宋体" w:eastAsia="宋体" w:cs="宋体"/>
          <w:bCs w:val="0"/>
          <w:color w:val="auto"/>
          <w:kern w:val="2"/>
          <w:sz w:val="21"/>
          <w:szCs w:val="21"/>
          <w:highlight w:val="none"/>
          <w:lang w:val="en-US" w:eastAsia="zh-CN" w:bidi="ar-SA"/>
        </w:rPr>
        <w:t>4. 监理人</w:t>
      </w:r>
      <w:bookmarkEnd w:id="186"/>
      <w:bookmarkEnd w:id="187"/>
      <w:bookmarkEnd w:id="188"/>
      <w:bookmarkEnd w:id="189"/>
      <w:bookmarkEnd w:id="190"/>
      <w:bookmarkEnd w:id="191"/>
      <w:bookmarkEnd w:id="192"/>
      <w:bookmarkEnd w:id="193"/>
    </w:p>
    <w:p w14:paraId="546819F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94" w:name="_Toc51829119"/>
      <w:bookmarkStart w:id="195" w:name="_Toc12919"/>
      <w:bookmarkStart w:id="196" w:name="_Toc19202"/>
      <w:r>
        <w:rPr>
          <w:rFonts w:hint="eastAsia" w:ascii="宋体" w:hAnsi="宋体" w:eastAsia="宋体" w:cs="宋体"/>
          <w:bCs w:val="0"/>
          <w:color w:val="auto"/>
          <w:kern w:val="2"/>
          <w:sz w:val="21"/>
          <w:szCs w:val="21"/>
          <w:highlight w:val="none"/>
          <w:lang w:val="en-US" w:eastAsia="zh-CN" w:bidi="ar-SA"/>
        </w:rPr>
        <w:t>4.1监理人的一般规定</w:t>
      </w:r>
      <w:bookmarkEnd w:id="194"/>
      <w:bookmarkEnd w:id="195"/>
      <w:bookmarkEnd w:id="196"/>
    </w:p>
    <w:p w14:paraId="0104A46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关于监理人的监理内容：</w:t>
      </w:r>
      <w:r>
        <w:rPr>
          <w:rFonts w:hint="eastAsia" w:ascii="宋体" w:hAnsi="宋体" w:eastAsia="宋体" w:cs="宋体"/>
          <w:color w:val="auto"/>
          <w:kern w:val="2"/>
          <w:sz w:val="21"/>
          <w:szCs w:val="21"/>
          <w:highlight w:val="none"/>
          <w:u w:val="single"/>
          <w:lang w:val="en-US" w:eastAsia="zh-CN" w:bidi="ar"/>
        </w:rPr>
        <w:t>按监理合同执行</w:t>
      </w:r>
      <w:r>
        <w:rPr>
          <w:rFonts w:hint="eastAsia" w:ascii="宋体" w:hAnsi="宋体" w:eastAsia="宋体" w:cs="宋体"/>
          <w:color w:val="auto"/>
          <w:kern w:val="2"/>
          <w:sz w:val="21"/>
          <w:szCs w:val="21"/>
          <w:highlight w:val="none"/>
          <w:lang w:val="en-US" w:eastAsia="zh-CN" w:bidi="ar"/>
        </w:rPr>
        <w:t>。</w:t>
      </w:r>
    </w:p>
    <w:p w14:paraId="35528CE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关于监理人的监理权限：</w:t>
      </w:r>
      <w:r>
        <w:rPr>
          <w:rFonts w:hint="eastAsia" w:ascii="宋体" w:hAnsi="宋体" w:eastAsia="宋体" w:cs="宋体"/>
          <w:color w:val="auto"/>
          <w:kern w:val="2"/>
          <w:sz w:val="21"/>
          <w:szCs w:val="21"/>
          <w:highlight w:val="none"/>
          <w:u w:val="single"/>
          <w:lang w:val="en-US" w:eastAsia="zh-CN" w:bidi="ar"/>
        </w:rPr>
        <w:t>监理人按《建设工程监理规范》和监理合同约定的范围内行使监理权限，超越此范围监理对发、承包双方均无效。监理人在发出涉及费用增减或工期延长的监理指令前，须经发包人书面批准否则无效，包括但不限于工程量增减、议价、索赔、延长工期、改变重大施工技术方案、停复工等。但出现危及施工场地内及其毗邻地带的人员伤亡和财产损失等紧急事件时，监理人有权未经发包人批准及时发出监理指令，承包人应立即遵照执行，执行费用由发包人承担并按专用合同条款第10条执行，事件发生后24小时内监理人须书面报告发包人</w:t>
      </w:r>
      <w:r>
        <w:rPr>
          <w:rFonts w:hint="eastAsia" w:ascii="宋体" w:hAnsi="宋体" w:eastAsia="宋体" w:cs="宋体"/>
          <w:color w:val="auto"/>
          <w:kern w:val="2"/>
          <w:sz w:val="21"/>
          <w:szCs w:val="21"/>
          <w:highlight w:val="none"/>
          <w:lang w:val="en-US" w:eastAsia="zh-CN" w:bidi="ar"/>
        </w:rPr>
        <w:t xml:space="preserve">。 </w:t>
      </w:r>
    </w:p>
    <w:p w14:paraId="652F64D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 xml:space="preserve">关于监理人在施工现场的办公场所、生活场所的提供和费用承担的约定：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w:t>
      </w:r>
    </w:p>
    <w:p w14:paraId="74A0CC9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97" w:name="_Toc18017"/>
      <w:bookmarkStart w:id="198" w:name="_Toc51829120"/>
      <w:bookmarkStart w:id="199" w:name="_Toc32414"/>
      <w:r>
        <w:rPr>
          <w:rFonts w:hint="eastAsia" w:ascii="宋体" w:hAnsi="宋体" w:eastAsia="宋体" w:cs="宋体"/>
          <w:bCs w:val="0"/>
          <w:color w:val="auto"/>
          <w:kern w:val="2"/>
          <w:sz w:val="21"/>
          <w:szCs w:val="21"/>
          <w:highlight w:val="none"/>
          <w:lang w:val="en-US" w:eastAsia="zh-CN" w:bidi="ar-SA"/>
        </w:rPr>
        <w:t>4.2 监理人员</w:t>
      </w:r>
      <w:bookmarkEnd w:id="197"/>
      <w:bookmarkEnd w:id="198"/>
      <w:bookmarkEnd w:id="199"/>
    </w:p>
    <w:p w14:paraId="6586577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总监理工程师：</w:t>
      </w:r>
    </w:p>
    <w:p w14:paraId="44642DC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姓    名：</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03F1083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职    务：</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1D9FC6F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监理工程师执业资格证书号：</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17B5ACB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联系电话：</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09E782F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电子信箱：</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7BAE2FD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关于监理人的其他约定：</w:t>
      </w:r>
      <w:r>
        <w:rPr>
          <w:rFonts w:hint="eastAsia" w:ascii="宋体" w:hAnsi="宋体" w:eastAsia="宋体" w:cs="宋体"/>
          <w:color w:val="auto"/>
          <w:kern w:val="2"/>
          <w:sz w:val="21"/>
          <w:szCs w:val="21"/>
          <w:highlight w:val="none"/>
          <w:u w:val="single"/>
          <w:lang w:val="en-US" w:eastAsia="zh-CN" w:bidi="ar"/>
        </w:rPr>
        <w:t>按监理合同执行 </w:t>
      </w:r>
      <w:r>
        <w:rPr>
          <w:rFonts w:hint="eastAsia" w:ascii="宋体" w:hAnsi="宋体" w:eastAsia="宋体" w:cs="宋体"/>
          <w:color w:val="auto"/>
          <w:kern w:val="2"/>
          <w:sz w:val="21"/>
          <w:szCs w:val="21"/>
          <w:highlight w:val="none"/>
          <w:lang w:val="en-US" w:eastAsia="zh-CN" w:bidi="ar"/>
        </w:rPr>
        <w:t>。</w:t>
      </w:r>
    </w:p>
    <w:p w14:paraId="2E8C56D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00" w:name="_Toc6130"/>
      <w:bookmarkStart w:id="201" w:name="_Toc578"/>
      <w:r>
        <w:rPr>
          <w:rFonts w:hint="eastAsia" w:ascii="宋体" w:hAnsi="宋体" w:eastAsia="宋体" w:cs="宋体"/>
          <w:bCs w:val="0"/>
          <w:color w:val="auto"/>
          <w:kern w:val="2"/>
          <w:sz w:val="21"/>
          <w:szCs w:val="21"/>
          <w:highlight w:val="none"/>
          <w:lang w:val="en-US" w:eastAsia="zh-CN" w:bidi="ar-SA"/>
        </w:rPr>
        <w:t>4.4 商定或确定</w:t>
      </w:r>
      <w:bookmarkEnd w:id="200"/>
      <w:bookmarkEnd w:id="201"/>
    </w:p>
    <w:p w14:paraId="7CDB81D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在发包人和承包人不能通过协商达成一致意见时，发包人授权监理人对以下事项进行确定：</w:t>
      </w:r>
    </w:p>
    <w:p w14:paraId="22E79035">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w:t>
      </w:r>
      <w:r>
        <w:rPr>
          <w:rFonts w:hint="eastAsia" w:ascii="宋体" w:hAnsi="宋体" w:eastAsia="宋体" w:cs="宋体"/>
          <w:color w:val="auto"/>
          <w:sz w:val="21"/>
          <w:szCs w:val="21"/>
          <w:highlight w:val="none"/>
          <w:u w:val="single"/>
        </w:rPr>
        <w:t>按合同通用条款执行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2"/>
          <w:sz w:val="21"/>
          <w:szCs w:val="21"/>
          <w:highlight w:val="none"/>
          <w:lang w:val="en-US" w:eastAsia="zh-CN" w:bidi="ar"/>
        </w:rPr>
        <w:t>；</w:t>
      </w:r>
    </w:p>
    <w:p w14:paraId="2176BC22">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 xml:space="preserve">（2）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w:t>
      </w:r>
    </w:p>
    <w:p w14:paraId="3FFAE9B3">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2"/>
          <w:sz w:val="21"/>
          <w:szCs w:val="21"/>
          <w:highlight w:val="none"/>
          <w:u w:val="single"/>
          <w:lang w:val="en-US" w:eastAsia="zh-CN" w:bidi="ar"/>
        </w:rPr>
        <w:t>/</w:t>
      </w:r>
      <w:r>
        <w:rPr>
          <w:rFonts w:hint="eastAsia" w:ascii="宋体" w:hAnsi="宋体" w:eastAsia="宋体" w:cs="宋体"/>
          <w:color w:val="auto"/>
          <w:kern w:val="2"/>
          <w:sz w:val="21"/>
          <w:szCs w:val="21"/>
          <w:highlight w:val="none"/>
          <w:lang w:val="en-US" w:eastAsia="zh-CN" w:bidi="ar"/>
        </w:rPr>
        <w:t>。</w:t>
      </w:r>
    </w:p>
    <w:p w14:paraId="4E45D00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202" w:name="_Toc8593"/>
      <w:bookmarkStart w:id="203" w:name="_Toc51829121"/>
      <w:bookmarkStart w:id="204" w:name="_Toc54768808"/>
      <w:bookmarkStart w:id="205" w:name="_Toc5692"/>
      <w:bookmarkStart w:id="206" w:name="_Toc14696"/>
      <w:bookmarkStart w:id="207" w:name="_Toc25508"/>
      <w:bookmarkStart w:id="208" w:name="_Toc14896"/>
      <w:bookmarkStart w:id="209" w:name="_Toc15509"/>
      <w:r>
        <w:rPr>
          <w:rFonts w:hint="eastAsia" w:ascii="宋体" w:hAnsi="宋体" w:eastAsia="宋体" w:cs="宋体"/>
          <w:bCs w:val="0"/>
          <w:color w:val="auto"/>
          <w:kern w:val="2"/>
          <w:sz w:val="21"/>
          <w:szCs w:val="21"/>
          <w:highlight w:val="none"/>
          <w:lang w:val="en-US" w:eastAsia="zh-CN" w:bidi="ar-SA"/>
        </w:rPr>
        <w:t>5. 工程质量</w:t>
      </w:r>
      <w:bookmarkEnd w:id="202"/>
      <w:bookmarkEnd w:id="203"/>
      <w:bookmarkEnd w:id="204"/>
      <w:bookmarkEnd w:id="205"/>
      <w:bookmarkEnd w:id="206"/>
      <w:bookmarkEnd w:id="207"/>
      <w:bookmarkEnd w:id="208"/>
      <w:bookmarkEnd w:id="209"/>
    </w:p>
    <w:p w14:paraId="64D7703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10" w:name="_Toc22289"/>
      <w:bookmarkStart w:id="211" w:name="_Toc7139"/>
      <w:bookmarkStart w:id="212" w:name="_Toc51829122"/>
      <w:r>
        <w:rPr>
          <w:rFonts w:hint="eastAsia" w:ascii="宋体" w:hAnsi="宋体" w:eastAsia="宋体" w:cs="宋体"/>
          <w:bCs w:val="0"/>
          <w:color w:val="auto"/>
          <w:kern w:val="2"/>
          <w:sz w:val="21"/>
          <w:szCs w:val="21"/>
          <w:highlight w:val="none"/>
          <w:lang w:val="en-US" w:eastAsia="zh-CN" w:bidi="ar-SA"/>
        </w:rPr>
        <w:t>5.1 质量要求</w:t>
      </w:r>
      <w:bookmarkEnd w:id="210"/>
      <w:bookmarkEnd w:id="211"/>
      <w:bookmarkEnd w:id="212"/>
    </w:p>
    <w:p w14:paraId="06DEBBA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5.1.1 特殊质量标准和要求：</w:t>
      </w:r>
      <w:r>
        <w:rPr>
          <w:rFonts w:hint="eastAsia" w:ascii="宋体" w:hAnsi="宋体" w:eastAsia="宋体" w:cs="宋体"/>
          <w:color w:val="auto"/>
          <w:kern w:val="2"/>
          <w:sz w:val="21"/>
          <w:szCs w:val="21"/>
          <w:highlight w:val="none"/>
          <w:u w:val="single"/>
          <w:lang w:val="en-US" w:eastAsia="zh-CN" w:bidi="ar"/>
        </w:rPr>
        <w:t xml:space="preserve"> / </w:t>
      </w:r>
      <w:r>
        <w:rPr>
          <w:rFonts w:hint="eastAsia" w:ascii="宋体" w:hAnsi="宋体" w:eastAsia="宋体" w:cs="宋体"/>
          <w:color w:val="auto"/>
          <w:kern w:val="2"/>
          <w:sz w:val="21"/>
          <w:szCs w:val="21"/>
          <w:highlight w:val="none"/>
          <w:lang w:val="en-US" w:eastAsia="zh-CN" w:bidi="ar"/>
        </w:rPr>
        <w:t>。</w:t>
      </w:r>
    </w:p>
    <w:p w14:paraId="621ED7C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关于工程奖项的约定：</w:t>
      </w:r>
      <w:r>
        <w:rPr>
          <w:rFonts w:hint="eastAsia" w:ascii="宋体" w:hAnsi="宋体" w:eastAsia="宋体" w:cs="宋体"/>
          <w:color w:val="auto"/>
          <w:kern w:val="2"/>
          <w:sz w:val="21"/>
          <w:szCs w:val="21"/>
          <w:highlight w:val="none"/>
          <w:u w:val="single"/>
          <w:lang w:val="en-US" w:eastAsia="zh-CN" w:bidi="ar"/>
        </w:rPr>
        <w:t>/</w:t>
      </w:r>
      <w:r>
        <w:rPr>
          <w:rFonts w:hint="eastAsia" w:ascii="宋体" w:hAnsi="宋体" w:eastAsia="宋体" w:cs="宋体"/>
          <w:color w:val="auto"/>
          <w:kern w:val="2"/>
          <w:sz w:val="21"/>
          <w:szCs w:val="21"/>
          <w:highlight w:val="none"/>
          <w:lang w:val="en-US" w:eastAsia="zh-CN" w:bidi="ar"/>
        </w:rPr>
        <w:t>。</w:t>
      </w:r>
    </w:p>
    <w:p w14:paraId="2E99B7F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13" w:name="_Toc1511"/>
      <w:bookmarkStart w:id="214" w:name="_Toc51829123"/>
      <w:r>
        <w:rPr>
          <w:rFonts w:hint="eastAsia" w:ascii="宋体" w:hAnsi="宋体" w:eastAsia="宋体" w:cs="宋体"/>
          <w:bCs w:val="0"/>
          <w:color w:val="auto"/>
          <w:kern w:val="2"/>
          <w:sz w:val="21"/>
          <w:szCs w:val="21"/>
          <w:highlight w:val="none"/>
          <w:lang w:val="en-US" w:eastAsia="zh-CN" w:bidi="ar-SA"/>
        </w:rPr>
        <w:t>5.3 隐蔽工程检查</w:t>
      </w:r>
      <w:bookmarkEnd w:id="213"/>
      <w:bookmarkEnd w:id="214"/>
    </w:p>
    <w:p w14:paraId="5F52007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5.3.2承包人提前通知监理人隐蔽工程检查的期限的约定：</w:t>
      </w:r>
      <w:r>
        <w:rPr>
          <w:rFonts w:hint="eastAsia" w:ascii="宋体" w:hAnsi="宋体" w:eastAsia="宋体" w:cs="宋体"/>
          <w:color w:val="auto"/>
          <w:kern w:val="2"/>
          <w:sz w:val="21"/>
          <w:szCs w:val="21"/>
          <w:highlight w:val="none"/>
          <w:u w:val="single"/>
          <w:lang w:val="en-US" w:eastAsia="zh-CN" w:bidi="ar"/>
        </w:rPr>
        <w:t xml:space="preserve"> 48小时 </w:t>
      </w:r>
      <w:r>
        <w:rPr>
          <w:rFonts w:hint="eastAsia" w:ascii="宋体" w:hAnsi="宋体" w:eastAsia="宋体" w:cs="宋体"/>
          <w:color w:val="auto"/>
          <w:kern w:val="2"/>
          <w:sz w:val="21"/>
          <w:szCs w:val="21"/>
          <w:highlight w:val="none"/>
          <w:lang w:val="en-US" w:eastAsia="zh-CN" w:bidi="ar"/>
        </w:rPr>
        <w:t>。</w:t>
      </w:r>
    </w:p>
    <w:p w14:paraId="712FAF6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监理人不能按时进行检查时，应提前</w:t>
      </w:r>
      <w:r>
        <w:rPr>
          <w:rFonts w:hint="eastAsia" w:ascii="宋体" w:hAnsi="宋体" w:eastAsia="宋体" w:cs="宋体"/>
          <w:color w:val="auto"/>
          <w:kern w:val="2"/>
          <w:sz w:val="21"/>
          <w:szCs w:val="21"/>
          <w:highlight w:val="none"/>
          <w:u w:val="single"/>
          <w:lang w:val="en-US" w:eastAsia="zh-CN" w:bidi="ar"/>
        </w:rPr>
        <w:t xml:space="preserve"> 24 </w:t>
      </w:r>
      <w:r>
        <w:rPr>
          <w:rFonts w:hint="eastAsia" w:ascii="宋体" w:hAnsi="宋体" w:eastAsia="宋体" w:cs="宋体"/>
          <w:color w:val="auto"/>
          <w:kern w:val="2"/>
          <w:sz w:val="21"/>
          <w:szCs w:val="21"/>
          <w:highlight w:val="none"/>
          <w:lang w:val="en-US" w:eastAsia="zh-CN" w:bidi="ar"/>
        </w:rPr>
        <w:t>小时提交书面延期要求。</w:t>
      </w:r>
    </w:p>
    <w:p w14:paraId="2E4F503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关于延期最长不得超过：</w:t>
      </w:r>
      <w:r>
        <w:rPr>
          <w:rFonts w:hint="eastAsia" w:ascii="宋体" w:hAnsi="宋体" w:eastAsia="宋体" w:cs="宋体"/>
          <w:color w:val="auto"/>
          <w:kern w:val="2"/>
          <w:sz w:val="21"/>
          <w:szCs w:val="21"/>
          <w:highlight w:val="none"/>
          <w:u w:val="single"/>
          <w:lang w:val="en-US" w:eastAsia="zh-CN" w:bidi="ar"/>
        </w:rPr>
        <w:t>24</w:t>
      </w:r>
      <w:r>
        <w:rPr>
          <w:rFonts w:hint="eastAsia" w:ascii="宋体" w:hAnsi="宋体" w:eastAsia="宋体" w:cs="宋体"/>
          <w:color w:val="auto"/>
          <w:kern w:val="2"/>
          <w:sz w:val="21"/>
          <w:szCs w:val="21"/>
          <w:highlight w:val="none"/>
          <w:lang w:val="en-US" w:eastAsia="zh-CN" w:bidi="ar"/>
        </w:rPr>
        <w:t>小时。</w:t>
      </w:r>
    </w:p>
    <w:p w14:paraId="64AA15E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工程隐蔽部位包括但不限于基坑基槽、地基基础、主体结构、室内外防水、建筑门窗、节能、电气、给排水等工程，须按《建筑工程施工质量验收统一标准》严格进行验收，未经监理人检查确认隐蔽工程质量符合规范要求并在相关验收记录上签字的，不得进入下一道工序，否则发包人可视情节对承包人处以每次1万元违约金，发包人有权从工程款中直接扣除。</w:t>
      </w:r>
    </w:p>
    <w:p w14:paraId="15D5AFD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主体结构截面尺寸不符合设计或规范要求的，经发包人、监理及上级行政主管单位检查，每发现一次，可视情节对承包人处以罚款5万元，并按发包人或监理人要求进行整改，费用由承包单位自行承担。</w:t>
      </w:r>
    </w:p>
    <w:p w14:paraId="0ECE5007">
      <w:pPr>
        <w:keepNext w:val="0"/>
        <w:keepLines w:val="0"/>
        <w:pageBreakBefore w:val="0"/>
        <w:widowControl w:val="0"/>
        <w:numPr>
          <w:ilvl w:val="0"/>
          <w:numId w:val="15"/>
        </w:numPr>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215" w:name="_Toc14170"/>
      <w:bookmarkStart w:id="216" w:name="_Toc30746"/>
      <w:bookmarkStart w:id="217" w:name="_Toc14098"/>
      <w:bookmarkStart w:id="218" w:name="_Toc12892"/>
      <w:bookmarkStart w:id="219" w:name="_Toc20492"/>
      <w:bookmarkStart w:id="220" w:name="_Toc351203638"/>
      <w:bookmarkStart w:id="221" w:name="_Toc959"/>
      <w:r>
        <w:rPr>
          <w:rFonts w:hint="eastAsia" w:ascii="宋体" w:hAnsi="宋体" w:eastAsia="宋体" w:cs="宋体"/>
          <w:bCs w:val="0"/>
          <w:color w:val="auto"/>
          <w:kern w:val="2"/>
          <w:sz w:val="21"/>
          <w:szCs w:val="21"/>
          <w:highlight w:val="none"/>
          <w:lang w:val="en-US" w:eastAsia="zh-CN" w:bidi="ar-SA"/>
        </w:rPr>
        <w:t>安全文明施工与环境保护</w:t>
      </w:r>
      <w:bookmarkEnd w:id="215"/>
      <w:bookmarkEnd w:id="216"/>
      <w:bookmarkEnd w:id="217"/>
      <w:bookmarkEnd w:id="218"/>
      <w:bookmarkEnd w:id="219"/>
      <w:bookmarkEnd w:id="220"/>
      <w:bookmarkEnd w:id="221"/>
    </w:p>
    <w:p w14:paraId="584A059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22" w:name="_Toc21081"/>
      <w:bookmarkStart w:id="223" w:name="_Toc8016"/>
      <w:r>
        <w:rPr>
          <w:rFonts w:hint="eastAsia" w:ascii="宋体" w:hAnsi="宋体" w:eastAsia="宋体" w:cs="宋体"/>
          <w:bCs w:val="0"/>
          <w:color w:val="auto"/>
          <w:kern w:val="2"/>
          <w:sz w:val="21"/>
          <w:szCs w:val="21"/>
          <w:highlight w:val="none"/>
          <w:lang w:val="en-US" w:eastAsia="zh-CN" w:bidi="ar-SA"/>
        </w:rPr>
        <w:t>6.1安全文明施工</w:t>
      </w:r>
      <w:bookmarkEnd w:id="222"/>
      <w:bookmarkEnd w:id="223"/>
    </w:p>
    <w:p w14:paraId="5DA0E3A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52402DE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关于治安保卫的特别约定：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D00A56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7E0B96C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文明施工</w:t>
      </w:r>
    </w:p>
    <w:p w14:paraId="1341509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2E32D02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关于安全文明施工费支付比例和支付期限的约定：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3B7A672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6.1.7 安全文明施工参照《海南省建筑安全文明施工标准化工地》执行。</w:t>
      </w:r>
    </w:p>
    <w:p w14:paraId="01710FBB">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224" w:name="_Toc24637"/>
      <w:bookmarkStart w:id="225" w:name="_Toc16743"/>
      <w:bookmarkStart w:id="226" w:name="_Toc351203639"/>
      <w:bookmarkStart w:id="227" w:name="_Toc5028"/>
      <w:bookmarkStart w:id="228" w:name="_Toc8331"/>
      <w:bookmarkStart w:id="229" w:name="_Toc5548"/>
      <w:r>
        <w:rPr>
          <w:rFonts w:hint="eastAsia" w:ascii="宋体" w:hAnsi="宋体" w:eastAsia="宋体" w:cs="宋体"/>
          <w:b w:val="0"/>
          <w:bCs w:val="0"/>
          <w:color w:val="auto"/>
          <w:kern w:val="2"/>
          <w:sz w:val="21"/>
          <w:szCs w:val="21"/>
          <w:highlight w:val="none"/>
          <w:lang w:val="en-US" w:eastAsia="zh-CN" w:bidi="ar-SA"/>
        </w:rPr>
        <w:t>7. 工期和进度</w:t>
      </w:r>
      <w:bookmarkEnd w:id="224"/>
      <w:bookmarkEnd w:id="225"/>
      <w:bookmarkEnd w:id="226"/>
      <w:bookmarkEnd w:id="227"/>
      <w:bookmarkEnd w:id="228"/>
      <w:bookmarkEnd w:id="229"/>
    </w:p>
    <w:p w14:paraId="61B9BB6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30" w:name="_Toc624"/>
      <w:bookmarkStart w:id="231" w:name="_Toc30323"/>
      <w:r>
        <w:rPr>
          <w:rFonts w:hint="eastAsia" w:ascii="宋体" w:hAnsi="宋体" w:eastAsia="宋体" w:cs="宋体"/>
          <w:bCs w:val="0"/>
          <w:color w:val="auto"/>
          <w:kern w:val="2"/>
          <w:sz w:val="21"/>
          <w:szCs w:val="21"/>
          <w:highlight w:val="none"/>
          <w:lang w:val="en-US" w:eastAsia="zh-CN" w:bidi="ar-SA"/>
        </w:rPr>
        <w:t>7.1 施工组织设计</w:t>
      </w:r>
      <w:bookmarkEnd w:id="230"/>
      <w:bookmarkEnd w:id="231"/>
    </w:p>
    <w:p w14:paraId="24DE41A4">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7.1.1 合</w:t>
      </w:r>
      <w:r>
        <w:rPr>
          <w:rFonts w:hint="eastAsia" w:ascii="宋体" w:hAnsi="宋体" w:eastAsia="宋体" w:cs="宋体"/>
          <w:color w:val="auto"/>
          <w:kern w:val="0"/>
          <w:sz w:val="21"/>
          <w:szCs w:val="21"/>
          <w:highlight w:val="none"/>
        </w:rPr>
        <w:t>同当事人约定的施工组织设计应包括的其他内容：</w:t>
      </w:r>
      <w:r>
        <w:rPr>
          <w:rFonts w:hint="eastAsia" w:ascii="宋体" w:hAnsi="宋体" w:eastAsia="宋体" w:cs="宋体"/>
          <w:color w:val="auto"/>
          <w:sz w:val="21"/>
          <w:szCs w:val="21"/>
          <w:highlight w:val="none"/>
          <w:u w:val="single"/>
        </w:rPr>
        <w:t xml:space="preserve">  按招标文件约定，招标文件无约定的按合同通用条款执行或双方另行约定</w:t>
      </w:r>
      <w:r>
        <w:rPr>
          <w:rFonts w:hint="eastAsia" w:ascii="宋体" w:hAnsi="宋体" w:eastAsia="宋体" w:cs="宋体"/>
          <w:color w:val="auto"/>
          <w:sz w:val="21"/>
          <w:szCs w:val="21"/>
          <w:highlight w:val="none"/>
        </w:rPr>
        <w:t>。</w:t>
      </w:r>
    </w:p>
    <w:p w14:paraId="3559F4A4">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5A97143C">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承包人提交详细施工组织设计的期限的约定：</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5E019D2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rPr>
        <w:t xml:space="preserve">   收到后7天内   </w:t>
      </w:r>
      <w:r>
        <w:rPr>
          <w:rFonts w:hint="eastAsia" w:ascii="宋体" w:hAnsi="宋体" w:eastAsia="宋体" w:cs="宋体"/>
          <w:color w:val="auto"/>
          <w:sz w:val="21"/>
          <w:szCs w:val="21"/>
          <w:highlight w:val="none"/>
        </w:rPr>
        <w:t>。</w:t>
      </w:r>
    </w:p>
    <w:p w14:paraId="0B21696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32" w:name="_Toc6199"/>
      <w:bookmarkStart w:id="233" w:name="_Toc31397"/>
      <w:r>
        <w:rPr>
          <w:rFonts w:hint="eastAsia" w:ascii="宋体" w:hAnsi="宋体" w:eastAsia="宋体" w:cs="宋体"/>
          <w:bCs w:val="0"/>
          <w:color w:val="auto"/>
          <w:kern w:val="2"/>
          <w:sz w:val="21"/>
          <w:szCs w:val="21"/>
          <w:highlight w:val="none"/>
          <w:lang w:val="en-US" w:eastAsia="zh-CN" w:bidi="ar-SA"/>
        </w:rPr>
        <w:t>7</w:t>
      </w:r>
      <w:bookmarkStart w:id="234" w:name="_Toc312678005"/>
      <w:bookmarkStart w:id="235" w:name="_Toc297216173"/>
      <w:bookmarkStart w:id="236" w:name="_Toc312677479"/>
      <w:bookmarkStart w:id="237" w:name="_Toc303539123"/>
      <w:bookmarkStart w:id="238" w:name="_Toc304295541"/>
      <w:bookmarkStart w:id="239" w:name="_Toc297123514"/>
      <w:bookmarkStart w:id="240" w:name="_Toc300934966"/>
      <w:r>
        <w:rPr>
          <w:rFonts w:hint="eastAsia" w:ascii="宋体" w:hAnsi="宋体" w:eastAsia="宋体" w:cs="宋体"/>
          <w:bCs w:val="0"/>
          <w:color w:val="auto"/>
          <w:kern w:val="2"/>
          <w:sz w:val="21"/>
          <w:szCs w:val="21"/>
          <w:highlight w:val="none"/>
          <w:lang w:val="en-US" w:eastAsia="zh-CN" w:bidi="ar-SA"/>
        </w:rPr>
        <w:t>.2 施工进度计划</w:t>
      </w:r>
      <w:bookmarkEnd w:id="232"/>
      <w:bookmarkEnd w:id="233"/>
    </w:p>
    <w:p w14:paraId="73FD524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施工进度计划的修订</w:t>
      </w:r>
    </w:p>
    <w:p w14:paraId="2134D9C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rPr>
        <w:t xml:space="preserve">  收到后7天内      </w:t>
      </w:r>
      <w:r>
        <w:rPr>
          <w:rFonts w:hint="eastAsia" w:ascii="宋体" w:hAnsi="宋体" w:eastAsia="宋体" w:cs="宋体"/>
          <w:color w:val="auto"/>
          <w:sz w:val="21"/>
          <w:szCs w:val="21"/>
          <w:highlight w:val="none"/>
        </w:rPr>
        <w:t>。</w:t>
      </w:r>
    </w:p>
    <w:p w14:paraId="1FD8C1B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41" w:name="_Toc17953"/>
      <w:bookmarkStart w:id="242" w:name="_Toc32034"/>
      <w:r>
        <w:rPr>
          <w:rFonts w:hint="eastAsia" w:ascii="宋体" w:hAnsi="宋体" w:eastAsia="宋体" w:cs="宋体"/>
          <w:bCs w:val="0"/>
          <w:color w:val="auto"/>
          <w:kern w:val="2"/>
          <w:sz w:val="21"/>
          <w:szCs w:val="21"/>
          <w:highlight w:val="none"/>
          <w:lang w:val="en-US" w:eastAsia="zh-CN" w:bidi="ar-SA"/>
        </w:rPr>
        <w:t>7.3 开工</w:t>
      </w:r>
      <w:bookmarkEnd w:id="241"/>
      <w:bookmarkEnd w:id="242"/>
    </w:p>
    <w:p w14:paraId="25DFB75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427BF369">
      <w:pPr>
        <w:pageBreakBefore w:val="0"/>
        <w:kinsoku/>
        <w:wordWrap/>
        <w:overflowPunct/>
        <w:topLinePunct w:val="0"/>
        <w:bidi w:val="0"/>
        <w:snapToGrid/>
        <w:spacing w:after="0" w:afterLines="0" w:line="360" w:lineRule="auto"/>
        <w:ind w:firstLine="645"/>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w:t>
      </w:r>
      <w:r>
        <w:rPr>
          <w:rFonts w:hint="eastAsia" w:ascii="宋体" w:hAnsi="宋体" w:eastAsia="宋体" w:cs="宋体"/>
          <w:color w:val="auto"/>
          <w:kern w:val="0"/>
          <w:sz w:val="21"/>
          <w:szCs w:val="21"/>
          <w:highlight w:val="none"/>
        </w:rPr>
        <w:t>工程开工报审表的期限：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7E6913BA">
      <w:pPr>
        <w:pageBreakBefore w:val="0"/>
        <w:kinsoku/>
        <w:wordWrap/>
        <w:overflowPunct/>
        <w:topLinePunct w:val="0"/>
        <w:bidi w:val="0"/>
        <w:snapToGrid/>
        <w:spacing w:after="0" w:afterLines="0" w:line="360" w:lineRule="auto"/>
        <w:ind w:firstLine="630" w:firstLineChars="3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关于发包人应完成的其他开工准备工作及期限：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77D1767D">
      <w:pPr>
        <w:pageBreakBefore w:val="0"/>
        <w:kinsoku/>
        <w:wordWrap/>
        <w:overflowPunct/>
        <w:topLinePunct w:val="0"/>
        <w:bidi w:val="0"/>
        <w:snapToGrid/>
        <w:spacing w:after="0" w:afterLines="0" w:line="360" w:lineRule="auto"/>
        <w:ind w:firstLine="630" w:firstLineChars="3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39D234D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7.3.2开工通知</w:t>
      </w:r>
    </w:p>
    <w:p w14:paraId="6E18721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因发包人原因造成监理人未能在计划开工日期之日起</w:t>
      </w:r>
      <w:r>
        <w:rPr>
          <w:rFonts w:hint="eastAsia" w:ascii="宋体" w:hAnsi="宋体" w:eastAsia="宋体" w:cs="宋体"/>
          <w:color w:val="auto"/>
          <w:sz w:val="21"/>
          <w:szCs w:val="21"/>
          <w:highlight w:val="none"/>
          <w:u w:val="none"/>
        </w:rPr>
        <w:t xml:space="preserve"> 60 </w:t>
      </w:r>
      <w:r>
        <w:rPr>
          <w:rFonts w:hint="eastAsia" w:ascii="宋体" w:hAnsi="宋体" w:eastAsia="宋体" w:cs="宋体"/>
          <w:color w:val="auto"/>
          <w:sz w:val="21"/>
          <w:szCs w:val="21"/>
          <w:highlight w:val="none"/>
        </w:rPr>
        <w:t>天内发出开工通知的，承包人有权提出价格调整要求，或者经双方协商一致解除合同。</w:t>
      </w:r>
    </w:p>
    <w:bookmarkEnd w:id="234"/>
    <w:bookmarkEnd w:id="235"/>
    <w:bookmarkEnd w:id="236"/>
    <w:bookmarkEnd w:id="237"/>
    <w:bookmarkEnd w:id="238"/>
    <w:bookmarkEnd w:id="239"/>
    <w:bookmarkEnd w:id="240"/>
    <w:p w14:paraId="2700E2B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43" w:name="_Toc417"/>
      <w:bookmarkStart w:id="244" w:name="_Toc28816"/>
      <w:r>
        <w:rPr>
          <w:rFonts w:hint="eastAsia" w:ascii="宋体" w:hAnsi="宋体" w:eastAsia="宋体" w:cs="宋体"/>
          <w:bCs w:val="0"/>
          <w:color w:val="auto"/>
          <w:kern w:val="2"/>
          <w:sz w:val="21"/>
          <w:szCs w:val="21"/>
          <w:highlight w:val="none"/>
          <w:lang w:val="en-US" w:eastAsia="zh-CN" w:bidi="ar-SA"/>
        </w:rPr>
        <w:t>7.4 测量放线</w:t>
      </w:r>
      <w:bookmarkEnd w:id="243"/>
      <w:bookmarkEnd w:id="244"/>
    </w:p>
    <w:p w14:paraId="3969406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3A92887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45" w:name="_Toc17077"/>
      <w:bookmarkStart w:id="246" w:name="_Toc12521"/>
      <w:r>
        <w:rPr>
          <w:rFonts w:hint="eastAsia" w:ascii="宋体" w:hAnsi="宋体" w:eastAsia="宋体" w:cs="宋体"/>
          <w:bCs w:val="0"/>
          <w:color w:val="auto"/>
          <w:kern w:val="2"/>
          <w:sz w:val="21"/>
          <w:szCs w:val="21"/>
          <w:highlight w:val="none"/>
          <w:lang w:val="en-US" w:eastAsia="zh-CN" w:bidi="ar-SA"/>
        </w:rPr>
        <w:t>7</w:t>
      </w:r>
      <w:bookmarkStart w:id="247" w:name="_Toc297216175"/>
      <w:bookmarkStart w:id="248" w:name="_Toc303539125"/>
      <w:bookmarkStart w:id="249" w:name="_Toc312678010"/>
      <w:bookmarkStart w:id="250" w:name="_Toc304295546"/>
      <w:bookmarkStart w:id="251" w:name="_Toc300934968"/>
      <w:bookmarkStart w:id="252" w:name="_Toc297123516"/>
      <w:bookmarkStart w:id="253" w:name="_Toc312677484"/>
      <w:r>
        <w:rPr>
          <w:rFonts w:hint="eastAsia" w:ascii="宋体" w:hAnsi="宋体" w:eastAsia="宋体" w:cs="宋体"/>
          <w:bCs w:val="0"/>
          <w:color w:val="auto"/>
          <w:kern w:val="2"/>
          <w:sz w:val="21"/>
          <w:szCs w:val="21"/>
          <w:highlight w:val="none"/>
          <w:lang w:val="en-US" w:eastAsia="zh-CN" w:bidi="ar-SA"/>
        </w:rPr>
        <w:t>.5 工期延误</w:t>
      </w:r>
      <w:bookmarkEnd w:id="245"/>
      <w:bookmarkEnd w:id="246"/>
    </w:p>
    <w:bookmarkEnd w:id="247"/>
    <w:bookmarkEnd w:id="248"/>
    <w:bookmarkEnd w:id="249"/>
    <w:bookmarkEnd w:id="250"/>
    <w:bookmarkEnd w:id="251"/>
    <w:bookmarkEnd w:id="252"/>
    <w:bookmarkEnd w:id="253"/>
    <w:p w14:paraId="277B2F6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因发包人原因导致工期延误</w:t>
      </w:r>
    </w:p>
    <w:p w14:paraId="63D9E10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因发包人原因导致工期延误的其他情形：</w:t>
      </w:r>
      <w:r>
        <w:rPr>
          <w:rFonts w:hint="eastAsia" w:ascii="宋体" w:hAnsi="宋体" w:eastAsia="宋体" w:cs="宋体"/>
          <w:color w:val="auto"/>
          <w:sz w:val="21"/>
          <w:szCs w:val="21"/>
          <w:highlight w:val="none"/>
          <w:u w:val="single"/>
        </w:rPr>
        <w:t xml:space="preserve">   重大设计变更且在关健线路上确实影响了施工进度  </w:t>
      </w:r>
      <w:r>
        <w:rPr>
          <w:rFonts w:hint="eastAsia" w:ascii="宋体" w:hAnsi="宋体" w:eastAsia="宋体" w:cs="宋体"/>
          <w:color w:val="auto"/>
          <w:sz w:val="21"/>
          <w:szCs w:val="21"/>
          <w:highlight w:val="none"/>
        </w:rPr>
        <w:t>。</w:t>
      </w:r>
    </w:p>
    <w:p w14:paraId="78E6F1D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254" w:name="_Toc312678012"/>
      <w:bookmarkStart w:id="255" w:name="_Toc318581169"/>
      <w:bookmarkStart w:id="256" w:name="_Toc312677486"/>
      <w:bookmarkStart w:id="257" w:name="_Toc303539127"/>
      <w:bookmarkStart w:id="258" w:name="_Toc304295548"/>
      <w:bookmarkStart w:id="259" w:name="_Toc300934970"/>
      <w:bookmarkStart w:id="260" w:name="_Toc297123518"/>
      <w:bookmarkStart w:id="261" w:name="_Toc297216177"/>
      <w:r>
        <w:rPr>
          <w:rFonts w:hint="eastAsia" w:ascii="宋体" w:hAnsi="宋体" w:eastAsia="宋体" w:cs="宋体"/>
          <w:color w:val="auto"/>
          <w:sz w:val="21"/>
          <w:szCs w:val="21"/>
          <w:highlight w:val="none"/>
        </w:rPr>
        <w:t>.5.2 因承包人原因导致工期延误</w:t>
      </w:r>
    </w:p>
    <w:bookmarkEnd w:id="254"/>
    <w:bookmarkEnd w:id="255"/>
    <w:bookmarkEnd w:id="256"/>
    <w:p w14:paraId="3E02F475">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7.5.2.1  月度计划   </w:t>
      </w:r>
    </w:p>
    <w:p w14:paraId="4C6D92D3">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承包人应于每月25日前上报经监理人审批的次月的月度施工计划（并标注好关键节点），承包人应严格按照月度施工计划节点要求组织实施，因承包人自身原因导致月度计划滞后的，视情节罚款3万元，</w:t>
      </w:r>
      <w:r>
        <w:rPr>
          <w:rFonts w:hint="eastAsia" w:ascii="宋体" w:hAnsi="宋体" w:eastAsia="宋体" w:cs="宋体"/>
          <w:color w:val="auto"/>
          <w:kern w:val="2"/>
          <w:sz w:val="21"/>
          <w:szCs w:val="21"/>
          <w:highlight w:val="none"/>
          <w:lang w:val="en-US" w:eastAsia="zh-CN" w:bidi="ar"/>
        </w:rPr>
        <w:t>发包人有权从工程款中直接扣除</w:t>
      </w:r>
      <w:r>
        <w:rPr>
          <w:rFonts w:hint="eastAsia" w:ascii="宋体" w:hAnsi="宋体" w:eastAsia="宋体" w:cs="宋体"/>
          <w:color w:val="auto"/>
          <w:sz w:val="21"/>
          <w:szCs w:val="21"/>
          <w:highlight w:val="none"/>
          <w:lang w:val="en-US" w:eastAsia="zh-CN"/>
        </w:rPr>
        <w:t>，同时承包人应按照监理人及发包人要求采取相应补救措施，确保总体工期。若承包人未按照监理人和发包人要求采取补救措施且进度无明显改进，视情节罚款5万元，</w:t>
      </w:r>
      <w:r>
        <w:rPr>
          <w:rFonts w:hint="eastAsia" w:ascii="宋体" w:hAnsi="宋体" w:eastAsia="宋体" w:cs="宋体"/>
          <w:color w:val="auto"/>
          <w:kern w:val="2"/>
          <w:sz w:val="21"/>
          <w:szCs w:val="21"/>
          <w:highlight w:val="none"/>
          <w:lang w:val="en-US" w:eastAsia="zh-CN" w:bidi="ar"/>
        </w:rPr>
        <w:t>发包人有权从工程款中直接扣除</w:t>
      </w:r>
      <w:r>
        <w:rPr>
          <w:rFonts w:hint="eastAsia" w:ascii="宋体" w:hAnsi="宋体" w:eastAsia="宋体" w:cs="宋体"/>
          <w:color w:val="auto"/>
          <w:sz w:val="21"/>
          <w:szCs w:val="21"/>
          <w:highlight w:val="none"/>
          <w:lang w:val="en-US" w:eastAsia="zh-CN"/>
        </w:rPr>
        <w:t>，并约谈承包人法定代表人。若承包人连续3月进度滞后，</w:t>
      </w:r>
      <w:r>
        <w:rPr>
          <w:rFonts w:hint="eastAsia" w:ascii="宋体" w:hAnsi="宋体" w:eastAsia="宋体" w:cs="宋体"/>
          <w:color w:val="auto"/>
          <w:kern w:val="2"/>
          <w:sz w:val="21"/>
          <w:szCs w:val="21"/>
          <w:highlight w:val="none"/>
          <w:u w:val="single"/>
          <w:lang w:val="en-US" w:eastAsia="zh-CN" w:bidi="ar"/>
        </w:rPr>
        <w:t>发包人有权要求撤换承包人项目经理及单方面解除合同，由此造成的损失由承包人承担</w:t>
      </w:r>
      <w:r>
        <w:rPr>
          <w:rFonts w:hint="eastAsia" w:ascii="宋体" w:hAnsi="宋体" w:eastAsia="宋体" w:cs="宋体"/>
          <w:color w:val="auto"/>
          <w:kern w:val="2"/>
          <w:sz w:val="21"/>
          <w:szCs w:val="21"/>
          <w:highlight w:val="none"/>
          <w:lang w:val="en-US" w:eastAsia="zh-CN" w:bidi="ar"/>
        </w:rPr>
        <w:t>。</w:t>
      </w:r>
    </w:p>
    <w:p w14:paraId="1D2A3FE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7.5.2.2   总工期</w:t>
      </w:r>
    </w:p>
    <w:p w14:paraId="1B1782F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w:t>
      </w:r>
      <w:bookmarkStart w:id="262" w:name="_Toc312677487"/>
      <w:bookmarkStart w:id="263" w:name="_Toc312678013"/>
      <w:bookmarkStart w:id="264" w:name="_Toc318581170"/>
      <w:r>
        <w:rPr>
          <w:rFonts w:hint="eastAsia" w:ascii="宋体" w:hAnsi="宋体" w:eastAsia="宋体" w:cs="宋体"/>
          <w:color w:val="auto"/>
          <w:sz w:val="21"/>
          <w:szCs w:val="21"/>
          <w:highlight w:val="none"/>
        </w:rPr>
        <w:t>承包人原因造成工期延误，逾期竣工违约金的计算方法为：</w:t>
      </w:r>
      <w:r>
        <w:rPr>
          <w:rFonts w:hint="eastAsia" w:ascii="宋体" w:hAnsi="宋体" w:eastAsia="宋体" w:cs="宋体"/>
          <w:color w:val="auto"/>
          <w:sz w:val="21"/>
          <w:szCs w:val="21"/>
          <w:highlight w:val="none"/>
          <w:lang w:val="en-US" w:eastAsia="zh-CN"/>
        </w:rPr>
        <w:t>经发包人批准的总工期</w:t>
      </w:r>
      <w:r>
        <w:rPr>
          <w:rFonts w:hint="eastAsia" w:ascii="宋体" w:hAnsi="宋体" w:eastAsia="宋体" w:cs="宋体"/>
          <w:color w:val="auto"/>
          <w:sz w:val="21"/>
          <w:szCs w:val="21"/>
          <w:highlight w:val="none"/>
          <w:u w:val="single"/>
        </w:rPr>
        <w:t>每延误一天按合同总价的千分之一的标准承担逾期竣工违约金</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延误天数计算至工程实际竣工之日止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257"/>
      <w:bookmarkEnd w:id="258"/>
      <w:bookmarkEnd w:id="259"/>
      <w:bookmarkEnd w:id="260"/>
      <w:bookmarkEnd w:id="261"/>
      <w:bookmarkEnd w:id="262"/>
      <w:bookmarkEnd w:id="263"/>
    </w:p>
    <w:bookmarkEnd w:id="264"/>
    <w:p w14:paraId="20D6B7F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265" w:name="_Toc318581171"/>
      <w:bookmarkStart w:id="266" w:name="_Toc312678014"/>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rPr>
        <w:t xml:space="preserve">   合同总价的</w:t>
      </w:r>
      <w:r>
        <w:rPr>
          <w:rFonts w:hint="eastAsia" w:ascii="宋体" w:hAnsi="宋体" w:eastAsia="宋体" w:cs="宋体"/>
          <w:color w:val="auto"/>
          <w:sz w:val="21"/>
          <w:szCs w:val="21"/>
          <w:highlight w:val="none"/>
          <w:u w:val="single"/>
          <w:lang w:val="en-US" w:eastAsia="zh-CN"/>
        </w:rPr>
        <w:t>10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265"/>
    <w:bookmarkEnd w:id="266"/>
    <w:p w14:paraId="18E0A5A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67" w:name="_Toc23648"/>
      <w:bookmarkStart w:id="268" w:name="_Toc31859"/>
      <w:r>
        <w:rPr>
          <w:rFonts w:hint="eastAsia" w:ascii="宋体" w:hAnsi="宋体" w:eastAsia="宋体" w:cs="宋体"/>
          <w:bCs w:val="0"/>
          <w:color w:val="auto"/>
          <w:kern w:val="2"/>
          <w:sz w:val="21"/>
          <w:szCs w:val="21"/>
          <w:highlight w:val="none"/>
          <w:lang w:val="en-US" w:eastAsia="zh-CN" w:bidi="ar-SA"/>
        </w:rPr>
        <w:t>7</w:t>
      </w:r>
      <w:bookmarkStart w:id="269" w:name="_Toc304295549"/>
      <w:bookmarkStart w:id="270" w:name="_Toc297216178"/>
      <w:bookmarkStart w:id="271" w:name="_Toc312678015"/>
      <w:bookmarkStart w:id="272" w:name="_Toc297123519"/>
      <w:bookmarkStart w:id="273" w:name="_Toc303539128"/>
      <w:bookmarkStart w:id="274" w:name="_Toc300934971"/>
      <w:r>
        <w:rPr>
          <w:rFonts w:hint="eastAsia" w:ascii="宋体" w:hAnsi="宋体" w:eastAsia="宋体" w:cs="宋体"/>
          <w:bCs w:val="0"/>
          <w:color w:val="auto"/>
          <w:kern w:val="2"/>
          <w:sz w:val="21"/>
          <w:szCs w:val="21"/>
          <w:highlight w:val="none"/>
          <w:lang w:val="en-US" w:eastAsia="zh-CN" w:bidi="ar-SA"/>
        </w:rPr>
        <w:t>.6 不</w:t>
      </w:r>
      <w:bookmarkEnd w:id="269"/>
      <w:bookmarkEnd w:id="270"/>
      <w:bookmarkEnd w:id="271"/>
      <w:bookmarkEnd w:id="272"/>
      <w:bookmarkEnd w:id="273"/>
      <w:bookmarkEnd w:id="274"/>
      <w:r>
        <w:rPr>
          <w:rFonts w:hint="eastAsia" w:ascii="宋体" w:hAnsi="宋体" w:eastAsia="宋体" w:cs="宋体"/>
          <w:bCs w:val="0"/>
          <w:color w:val="auto"/>
          <w:kern w:val="2"/>
          <w:sz w:val="21"/>
          <w:szCs w:val="21"/>
          <w:highlight w:val="none"/>
          <w:lang w:val="en-US" w:eastAsia="zh-CN" w:bidi="ar-SA"/>
        </w:rPr>
        <w:t>利物质条件</w:t>
      </w:r>
      <w:bookmarkEnd w:id="267"/>
      <w:bookmarkEnd w:id="268"/>
    </w:p>
    <w:p w14:paraId="670BC41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bookmarkStart w:id="275" w:name="_Toc318581172"/>
      <w:bookmarkStart w:id="276" w:name="_Toc297123520"/>
      <w:bookmarkStart w:id="277" w:name="_Toc297216179"/>
      <w:bookmarkStart w:id="278" w:name="_Toc312678016"/>
      <w:bookmarkStart w:id="279" w:name="_Toc300934972"/>
      <w:bookmarkStart w:id="280" w:name="_Toc303539129"/>
      <w:bookmarkStart w:id="281" w:name="_Toc304295550"/>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bookmarkEnd w:id="275"/>
    <w:bookmarkEnd w:id="276"/>
    <w:bookmarkEnd w:id="277"/>
    <w:bookmarkEnd w:id="278"/>
    <w:bookmarkEnd w:id="279"/>
    <w:bookmarkEnd w:id="280"/>
    <w:bookmarkEnd w:id="281"/>
    <w:p w14:paraId="2A8E9F4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82" w:name="_Toc7972"/>
      <w:bookmarkStart w:id="283" w:name="_Toc4411"/>
      <w:r>
        <w:rPr>
          <w:rFonts w:hint="eastAsia" w:ascii="宋体" w:hAnsi="宋体" w:eastAsia="宋体" w:cs="宋体"/>
          <w:bCs w:val="0"/>
          <w:color w:val="auto"/>
          <w:kern w:val="2"/>
          <w:sz w:val="21"/>
          <w:szCs w:val="21"/>
          <w:highlight w:val="none"/>
          <w:lang w:val="en-US" w:eastAsia="zh-CN" w:bidi="ar-SA"/>
        </w:rPr>
        <w:t>7</w:t>
      </w:r>
      <w:bookmarkStart w:id="284" w:name="_Toc297216180"/>
      <w:bookmarkStart w:id="285" w:name="_Toc300934973"/>
      <w:bookmarkStart w:id="286" w:name="_Toc297123521"/>
      <w:bookmarkStart w:id="287" w:name="_Toc312678017"/>
      <w:bookmarkStart w:id="288" w:name="_Toc303539130"/>
      <w:bookmarkStart w:id="289" w:name="_Toc304295551"/>
      <w:r>
        <w:rPr>
          <w:rFonts w:hint="eastAsia" w:ascii="宋体" w:hAnsi="宋体" w:eastAsia="宋体" w:cs="宋体"/>
          <w:bCs w:val="0"/>
          <w:color w:val="auto"/>
          <w:kern w:val="2"/>
          <w:sz w:val="21"/>
          <w:szCs w:val="21"/>
          <w:highlight w:val="none"/>
          <w:lang w:val="en-US" w:eastAsia="zh-CN" w:bidi="ar-SA"/>
        </w:rPr>
        <w:t>.7异常恶劣的气候条件</w:t>
      </w:r>
      <w:bookmarkEnd w:id="282"/>
      <w:bookmarkEnd w:id="283"/>
    </w:p>
    <w:bookmarkEnd w:id="284"/>
    <w:bookmarkEnd w:id="285"/>
    <w:bookmarkEnd w:id="286"/>
    <w:bookmarkEnd w:id="287"/>
    <w:bookmarkEnd w:id="288"/>
    <w:bookmarkEnd w:id="289"/>
    <w:p w14:paraId="03C864A0">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u w:val="single"/>
          <w:lang w:val="en-US" w:eastAsia="zh-CN"/>
        </w:rPr>
        <w:t>持续降雨三天以上且日降雨量达到170mm以上</w:t>
      </w:r>
      <w:r>
        <w:rPr>
          <w:rFonts w:hint="eastAsia" w:ascii="宋体" w:hAnsi="宋体" w:eastAsia="宋体" w:cs="宋体"/>
          <w:color w:val="auto"/>
          <w:sz w:val="21"/>
          <w:szCs w:val="21"/>
          <w:highlight w:val="none"/>
          <w:lang w:val="en-US" w:eastAsia="zh-CN"/>
        </w:rPr>
        <w:t>；</w:t>
      </w:r>
    </w:p>
    <w:p w14:paraId="3BED55D1">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u w:val="single"/>
          <w:lang w:val="en-US" w:eastAsia="zh-CN"/>
        </w:rPr>
        <w:t>40摄氏度以上并持续3天以上的高温天气</w:t>
      </w:r>
      <w:r>
        <w:rPr>
          <w:rFonts w:hint="eastAsia" w:ascii="宋体" w:hAnsi="宋体" w:eastAsia="宋体" w:cs="宋体"/>
          <w:color w:val="auto"/>
          <w:sz w:val="21"/>
          <w:szCs w:val="21"/>
          <w:highlight w:val="none"/>
          <w:lang w:val="en-US" w:eastAsia="zh-CN"/>
        </w:rPr>
        <w:t>；</w:t>
      </w:r>
    </w:p>
    <w:p w14:paraId="47586BD2">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u w:val="single"/>
          <w:lang w:val="en-US" w:eastAsia="zh-CN"/>
        </w:rPr>
        <w:t>持续24小时9级以上的大风</w:t>
      </w:r>
      <w:r>
        <w:rPr>
          <w:rFonts w:hint="eastAsia" w:ascii="宋体" w:hAnsi="宋体" w:eastAsia="宋体" w:cs="宋体"/>
          <w:color w:val="auto"/>
          <w:sz w:val="21"/>
          <w:szCs w:val="21"/>
          <w:highlight w:val="none"/>
          <w:lang w:val="en-US" w:eastAsia="zh-CN"/>
        </w:rPr>
        <w:t>。</w:t>
      </w:r>
    </w:p>
    <w:p w14:paraId="2ABB00EC">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u w:val="single"/>
          <w:lang w:val="en-US" w:eastAsia="zh-CN"/>
        </w:rPr>
        <w:t>上述情形以气象部门发布的公告为准</w:t>
      </w:r>
      <w:r>
        <w:rPr>
          <w:rFonts w:hint="eastAsia" w:ascii="宋体" w:hAnsi="宋体" w:eastAsia="宋体" w:cs="宋体"/>
          <w:color w:val="auto"/>
          <w:sz w:val="21"/>
          <w:szCs w:val="21"/>
          <w:highlight w:val="none"/>
          <w:lang w:val="en-US" w:eastAsia="zh-CN"/>
        </w:rPr>
        <w:t>。</w:t>
      </w:r>
    </w:p>
    <w:p w14:paraId="001C7263">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承包人已经充分考虑到施工期间</w:t>
      </w:r>
      <w:r>
        <w:rPr>
          <w:rFonts w:hint="eastAsia" w:eastAsia="宋体" w:cs="宋体"/>
          <w:color w:val="auto"/>
          <w:sz w:val="21"/>
          <w:szCs w:val="21"/>
          <w:highlight w:val="none"/>
          <w:lang w:val="en-US" w:eastAsia="zh-CN"/>
        </w:rPr>
        <w:t>三亚市</w:t>
      </w:r>
      <w:r>
        <w:rPr>
          <w:rFonts w:hint="eastAsia" w:ascii="宋体" w:hAnsi="宋体" w:eastAsia="宋体" w:cs="宋体"/>
          <w:color w:val="auto"/>
          <w:sz w:val="21"/>
          <w:szCs w:val="21"/>
          <w:highlight w:val="none"/>
          <w:lang w:val="en-US" w:eastAsia="zh-CN"/>
        </w:rPr>
        <w:t>的气候特点对工程的影响，并采取必要的措施予以弥补。</w:t>
      </w:r>
    </w:p>
    <w:p w14:paraId="7A5EE6D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90" w:name="_Toc10065"/>
      <w:bookmarkStart w:id="291" w:name="_Toc8714"/>
      <w:r>
        <w:rPr>
          <w:rFonts w:hint="eastAsia" w:ascii="宋体" w:hAnsi="宋体" w:eastAsia="宋体" w:cs="宋体"/>
          <w:bCs w:val="0"/>
          <w:color w:val="auto"/>
          <w:kern w:val="2"/>
          <w:sz w:val="21"/>
          <w:szCs w:val="21"/>
          <w:highlight w:val="none"/>
          <w:lang w:val="en-US" w:eastAsia="zh-CN" w:bidi="ar-SA"/>
        </w:rPr>
        <w:t>7.9 提前竣工的奖励</w:t>
      </w:r>
      <w:bookmarkEnd w:id="290"/>
      <w:bookmarkEnd w:id="291"/>
    </w:p>
    <w:p w14:paraId="170369C9">
      <w:pPr>
        <w:keepNext w:val="0"/>
        <w:keepLines w:val="0"/>
        <w:pageBreakBefore w:val="0"/>
        <w:widowControl/>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提前竣工的奖励：</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4BE0BD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292" w:name="_Toc9874"/>
      <w:bookmarkStart w:id="293" w:name="_Toc26794"/>
      <w:bookmarkStart w:id="294" w:name="_Toc3808"/>
      <w:bookmarkStart w:id="295" w:name="_Toc23781"/>
      <w:bookmarkStart w:id="296" w:name="_Toc351203640"/>
      <w:bookmarkStart w:id="297" w:name="_Toc32139"/>
      <w:bookmarkStart w:id="298" w:name="_Toc669"/>
      <w:r>
        <w:rPr>
          <w:rFonts w:hint="eastAsia" w:ascii="宋体" w:hAnsi="宋体" w:eastAsia="宋体" w:cs="宋体"/>
          <w:bCs w:val="0"/>
          <w:color w:val="auto"/>
          <w:kern w:val="2"/>
          <w:sz w:val="21"/>
          <w:szCs w:val="21"/>
          <w:highlight w:val="none"/>
          <w:lang w:val="en-US" w:eastAsia="zh-CN" w:bidi="ar-SA"/>
        </w:rPr>
        <w:t>8. 材料与设备</w:t>
      </w:r>
      <w:bookmarkEnd w:id="292"/>
      <w:bookmarkEnd w:id="293"/>
      <w:bookmarkEnd w:id="294"/>
      <w:bookmarkEnd w:id="295"/>
      <w:bookmarkEnd w:id="296"/>
      <w:bookmarkEnd w:id="297"/>
      <w:bookmarkEnd w:id="298"/>
    </w:p>
    <w:p w14:paraId="5AC8512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99" w:name="_Toc26260"/>
      <w:bookmarkStart w:id="300" w:name="_Toc19979"/>
      <w:r>
        <w:rPr>
          <w:rFonts w:hint="eastAsia" w:ascii="宋体" w:hAnsi="宋体" w:eastAsia="宋体" w:cs="宋体"/>
          <w:bCs w:val="0"/>
          <w:color w:val="auto"/>
          <w:kern w:val="2"/>
          <w:sz w:val="21"/>
          <w:szCs w:val="21"/>
          <w:highlight w:val="none"/>
          <w:lang w:val="en-US" w:eastAsia="zh-CN" w:bidi="ar-SA"/>
        </w:rPr>
        <w:t>8</w:t>
      </w:r>
      <w:bookmarkStart w:id="301" w:name="_Toc296503167"/>
      <w:bookmarkStart w:id="302" w:name="_Toc296347166"/>
      <w:bookmarkStart w:id="303" w:name="_Toc296891207"/>
      <w:bookmarkStart w:id="304" w:name="_Toc312677493"/>
      <w:bookmarkStart w:id="305" w:name="_Toc297123527"/>
      <w:bookmarkStart w:id="306" w:name="_Toc312678019"/>
      <w:bookmarkStart w:id="307" w:name="_Toc296346668"/>
      <w:bookmarkStart w:id="308" w:name="_Toc296890995"/>
      <w:bookmarkStart w:id="309" w:name="_Toc292559877"/>
      <w:bookmarkStart w:id="310" w:name="_Toc292559372"/>
      <w:bookmarkStart w:id="311" w:name="_Toc300934979"/>
      <w:bookmarkStart w:id="312" w:name="_Toc304295556"/>
      <w:bookmarkStart w:id="313" w:name="_Toc297048353"/>
      <w:bookmarkStart w:id="314" w:name="_Toc297120467"/>
      <w:bookmarkStart w:id="315" w:name="_Toc297216186"/>
      <w:bookmarkStart w:id="316" w:name="_Toc296944506"/>
      <w:bookmarkStart w:id="317" w:name="_Toc303539136"/>
      <w:bookmarkStart w:id="318" w:name="_Toc280868654"/>
      <w:bookmarkStart w:id="319" w:name="_Toc280868655"/>
      <w:bookmarkStart w:id="320" w:name="_Toc267251424"/>
      <w:bookmarkStart w:id="321" w:name="_Toc280868656"/>
      <w:r>
        <w:rPr>
          <w:rFonts w:hint="eastAsia" w:ascii="宋体" w:hAnsi="宋体" w:eastAsia="宋体" w:cs="宋体"/>
          <w:bCs w:val="0"/>
          <w:color w:val="auto"/>
          <w:kern w:val="2"/>
          <w:sz w:val="21"/>
          <w:szCs w:val="21"/>
          <w:highlight w:val="none"/>
          <w:lang w:val="en-US" w:eastAsia="zh-CN" w:bidi="ar-SA"/>
        </w:rPr>
        <w:t>.1材料与工程设备的保管与使用</w:t>
      </w:r>
      <w:bookmarkEnd w:id="299"/>
      <w:bookmarkEnd w:id="300"/>
    </w:p>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7380CA1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322" w:name="_Toc292559878"/>
      <w:bookmarkStart w:id="323" w:name="_Toc292559373"/>
      <w:bookmarkStart w:id="324" w:name="_Toc297216187"/>
      <w:bookmarkStart w:id="325" w:name="_Toc312677494"/>
      <w:bookmarkStart w:id="326" w:name="_Toc297048354"/>
      <w:bookmarkStart w:id="327" w:name="_Toc296346669"/>
      <w:bookmarkStart w:id="328" w:name="_Toc303539137"/>
      <w:bookmarkStart w:id="329" w:name="_Toc312678020"/>
      <w:bookmarkStart w:id="330" w:name="_Toc297120468"/>
      <w:bookmarkStart w:id="331" w:name="_Toc318581173"/>
      <w:bookmarkStart w:id="332" w:name="_Toc296503168"/>
      <w:bookmarkStart w:id="333" w:name="_Toc296944507"/>
      <w:bookmarkStart w:id="334" w:name="_Toc297123528"/>
      <w:bookmarkStart w:id="335" w:name="_Toc296890996"/>
      <w:bookmarkStart w:id="336" w:name="_Toc304295557"/>
      <w:bookmarkStart w:id="337" w:name="_Toc296891208"/>
      <w:bookmarkStart w:id="338" w:name="_Toc296347167"/>
      <w:bookmarkStart w:id="339" w:name="_Toc300934980"/>
      <w:r>
        <w:rPr>
          <w:rFonts w:hint="eastAsia" w:ascii="宋体" w:hAnsi="宋体" w:eastAsia="宋体" w:cs="宋体"/>
          <w:color w:val="auto"/>
          <w:sz w:val="21"/>
          <w:szCs w:val="21"/>
          <w:highlight w:val="none"/>
        </w:rPr>
        <w:t>.1.1发包人供应的材料设备的保管费用的承担：</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bookmarkEnd w:id="322"/>
      <w:bookmarkEnd w:id="323"/>
    </w:p>
    <w:p w14:paraId="28EAB8F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40" w:name="_Toc17590"/>
      <w:bookmarkStart w:id="341" w:name="_Toc11660"/>
      <w:r>
        <w:rPr>
          <w:rFonts w:hint="eastAsia" w:ascii="宋体" w:hAnsi="宋体" w:eastAsia="宋体" w:cs="宋体"/>
          <w:bCs w:val="0"/>
          <w:color w:val="auto"/>
          <w:kern w:val="2"/>
          <w:sz w:val="21"/>
          <w:szCs w:val="21"/>
          <w:highlight w:val="none"/>
          <w:lang w:val="en-US" w:eastAsia="zh-CN" w:bidi="ar-SA"/>
        </w:rPr>
        <w:t>8.2 样品</w:t>
      </w:r>
      <w:bookmarkEnd w:id="340"/>
      <w:bookmarkEnd w:id="341"/>
    </w:p>
    <w:p w14:paraId="75CF80D6">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08C74492">
      <w:pPr>
        <w:pageBreakBefore w:val="0"/>
        <w:kinsoku/>
        <w:wordWrap/>
        <w:overflowPunct/>
        <w:topLinePunct w:val="0"/>
        <w:autoSpaceDE w:val="0"/>
        <w:autoSpaceDN w:val="0"/>
        <w:bidi w:val="0"/>
        <w:adjustRightInd w:val="0"/>
        <w:snapToGrid/>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 xml:space="preserve">   按通用条款执行    </w:t>
      </w:r>
      <w:r>
        <w:rPr>
          <w:rFonts w:hint="eastAsia" w:ascii="宋体" w:hAnsi="宋体" w:eastAsia="宋体" w:cs="宋体"/>
          <w:color w:val="auto"/>
          <w:sz w:val="21"/>
          <w:szCs w:val="21"/>
          <w:highlight w:val="none"/>
        </w:rPr>
        <w:t>。</w:t>
      </w:r>
    </w:p>
    <w:p w14:paraId="2418BA9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42" w:name="_Toc17191"/>
      <w:bookmarkStart w:id="343" w:name="_Toc13366"/>
      <w:r>
        <w:rPr>
          <w:rFonts w:hint="eastAsia" w:ascii="宋体" w:hAnsi="宋体" w:eastAsia="宋体" w:cs="宋体"/>
          <w:bCs w:val="0"/>
          <w:color w:val="auto"/>
          <w:kern w:val="2"/>
          <w:sz w:val="21"/>
          <w:szCs w:val="21"/>
          <w:highlight w:val="none"/>
          <w:lang w:val="en-US" w:eastAsia="zh-CN" w:bidi="ar-SA"/>
        </w:rPr>
        <w:t>8.8 施工设备和临时设施</w:t>
      </w:r>
      <w:bookmarkEnd w:id="342"/>
      <w:bookmarkEnd w:id="343"/>
    </w:p>
    <w:p w14:paraId="5B0EF9F4">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承包人提供的施工设备和临时设施</w:t>
      </w:r>
    </w:p>
    <w:p w14:paraId="1D035939">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关于修建临时设施费用承担的约定：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由</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en-US" w:eastAsia="zh-CN"/>
        </w:rPr>
        <w:t>自行</w:t>
      </w:r>
      <w:r>
        <w:rPr>
          <w:rFonts w:hint="eastAsia" w:ascii="宋体" w:hAnsi="宋体" w:eastAsia="宋体" w:cs="宋体"/>
          <w:color w:val="auto"/>
          <w:sz w:val="21"/>
          <w:szCs w:val="21"/>
          <w:highlight w:val="none"/>
          <w:u w:val="single"/>
        </w:rPr>
        <w:t xml:space="preserve">承担   </w:t>
      </w:r>
      <w:r>
        <w:rPr>
          <w:rFonts w:hint="eastAsia" w:ascii="宋体" w:hAnsi="宋体" w:eastAsia="宋体" w:cs="宋体"/>
          <w:color w:val="auto"/>
          <w:sz w:val="21"/>
          <w:szCs w:val="21"/>
          <w:highlight w:val="none"/>
        </w:rPr>
        <w:t>。</w:t>
      </w:r>
    </w:p>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14:paraId="72ED8CB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344" w:name="_Toc4013"/>
      <w:bookmarkStart w:id="345" w:name="_Toc351203641"/>
      <w:bookmarkStart w:id="346" w:name="_Toc27874"/>
      <w:bookmarkStart w:id="347" w:name="_Toc13094"/>
      <w:bookmarkStart w:id="348" w:name="_Toc26107"/>
      <w:bookmarkStart w:id="349" w:name="_Toc12531"/>
      <w:bookmarkStart w:id="350" w:name="_Toc26"/>
      <w:r>
        <w:rPr>
          <w:rFonts w:hint="eastAsia" w:ascii="宋体" w:hAnsi="宋体" w:eastAsia="宋体" w:cs="宋体"/>
          <w:bCs w:val="0"/>
          <w:color w:val="auto"/>
          <w:kern w:val="2"/>
          <w:sz w:val="21"/>
          <w:szCs w:val="21"/>
          <w:highlight w:val="none"/>
          <w:lang w:val="en-US" w:eastAsia="zh-CN" w:bidi="ar-SA"/>
        </w:rPr>
        <w:t>9</w:t>
      </w:r>
      <w:bookmarkEnd w:id="319"/>
      <w:bookmarkEnd w:id="320"/>
      <w:bookmarkEnd w:id="321"/>
      <w:bookmarkStart w:id="351" w:name="_Toc297123533"/>
      <w:bookmarkStart w:id="352" w:name="_Toc304295559"/>
      <w:bookmarkStart w:id="353" w:name="_Toc312678021"/>
      <w:bookmarkStart w:id="354" w:name="_Toc297216192"/>
      <w:bookmarkStart w:id="355" w:name="_Toc303539139"/>
      <w:bookmarkStart w:id="356" w:name="_Toc300934982"/>
      <w:bookmarkStart w:id="357" w:name="_Toc312677495"/>
      <w:bookmarkStart w:id="358" w:name="_Toc292559883"/>
      <w:bookmarkStart w:id="359" w:name="_Toc296346674"/>
      <w:bookmarkStart w:id="360" w:name="_Toc296891213"/>
      <w:bookmarkStart w:id="361" w:name="_Toc296944512"/>
      <w:bookmarkStart w:id="362" w:name="_Toc267251428"/>
      <w:bookmarkStart w:id="363" w:name="_Toc296503173"/>
      <w:bookmarkStart w:id="364" w:name="_Toc297048359"/>
      <w:bookmarkStart w:id="365" w:name="_Toc267251427"/>
      <w:bookmarkStart w:id="366" w:name="_Toc296891001"/>
      <w:bookmarkStart w:id="367" w:name="_Toc297120473"/>
      <w:bookmarkStart w:id="368" w:name="_Toc296347172"/>
      <w:bookmarkStart w:id="369" w:name="_Toc292559378"/>
      <w:r>
        <w:rPr>
          <w:rFonts w:hint="eastAsia" w:ascii="宋体" w:hAnsi="宋体" w:eastAsia="宋体" w:cs="宋体"/>
          <w:bCs w:val="0"/>
          <w:color w:val="auto"/>
          <w:kern w:val="2"/>
          <w:sz w:val="21"/>
          <w:szCs w:val="21"/>
          <w:highlight w:val="none"/>
          <w:lang w:val="en-US" w:eastAsia="zh-CN" w:bidi="ar-SA"/>
        </w:rPr>
        <w:t>. 试验与检验</w:t>
      </w:r>
      <w:bookmarkEnd w:id="344"/>
      <w:bookmarkEnd w:id="345"/>
      <w:bookmarkEnd w:id="346"/>
      <w:bookmarkEnd w:id="347"/>
      <w:bookmarkEnd w:id="348"/>
      <w:bookmarkEnd w:id="349"/>
      <w:bookmarkEnd w:id="350"/>
    </w:p>
    <w:bookmarkEnd w:id="351"/>
    <w:bookmarkEnd w:id="352"/>
    <w:bookmarkEnd w:id="353"/>
    <w:bookmarkEnd w:id="354"/>
    <w:bookmarkEnd w:id="355"/>
    <w:bookmarkEnd w:id="356"/>
    <w:bookmarkEnd w:id="357"/>
    <w:p w14:paraId="1C50DE2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70" w:name="_Toc24128"/>
      <w:bookmarkStart w:id="371" w:name="_Toc17660"/>
      <w:r>
        <w:rPr>
          <w:rFonts w:hint="eastAsia" w:ascii="宋体" w:hAnsi="宋体" w:eastAsia="宋体" w:cs="宋体"/>
          <w:bCs w:val="0"/>
          <w:color w:val="auto"/>
          <w:kern w:val="2"/>
          <w:sz w:val="21"/>
          <w:szCs w:val="21"/>
          <w:highlight w:val="none"/>
          <w:lang w:val="en-US" w:eastAsia="zh-CN" w:bidi="ar-SA"/>
        </w:rPr>
        <w:t>9</w:t>
      </w:r>
      <w:bookmarkStart w:id="372" w:name="_Toc297216193"/>
      <w:bookmarkStart w:id="373" w:name="_Toc312677496"/>
      <w:bookmarkStart w:id="374" w:name="_Toc304295560"/>
      <w:bookmarkStart w:id="375" w:name="_Toc303539140"/>
      <w:bookmarkStart w:id="376" w:name="_Toc312678022"/>
      <w:bookmarkStart w:id="377" w:name="_Toc297123534"/>
      <w:bookmarkStart w:id="378" w:name="_Toc300934983"/>
      <w:r>
        <w:rPr>
          <w:rFonts w:hint="eastAsia" w:ascii="宋体" w:hAnsi="宋体" w:eastAsia="宋体" w:cs="宋体"/>
          <w:bCs w:val="0"/>
          <w:color w:val="auto"/>
          <w:kern w:val="2"/>
          <w:sz w:val="21"/>
          <w:szCs w:val="21"/>
          <w:highlight w:val="none"/>
          <w:lang w:val="en-US" w:eastAsia="zh-CN" w:bidi="ar-SA"/>
        </w:rPr>
        <w:t>.1试验设备与试验人员</w:t>
      </w:r>
      <w:bookmarkEnd w:id="370"/>
      <w:bookmarkEnd w:id="371"/>
    </w:p>
    <w:bookmarkEnd w:id="372"/>
    <w:bookmarkEnd w:id="373"/>
    <w:bookmarkEnd w:id="374"/>
    <w:bookmarkEnd w:id="375"/>
    <w:bookmarkEnd w:id="376"/>
    <w:bookmarkEnd w:id="377"/>
    <w:bookmarkEnd w:id="378"/>
    <w:p w14:paraId="6218684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379" w:name="_Toc312677497"/>
      <w:bookmarkStart w:id="380" w:name="_Toc303539141"/>
      <w:bookmarkStart w:id="381" w:name="_Toc312678023"/>
      <w:bookmarkStart w:id="382" w:name="_Toc300934984"/>
      <w:bookmarkStart w:id="383" w:name="_Toc297216194"/>
      <w:bookmarkStart w:id="384" w:name="_Toc297123535"/>
      <w:bookmarkStart w:id="385" w:name="_Toc304295561"/>
      <w:bookmarkStart w:id="386" w:name="_Toc318581174"/>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试验设备</w:t>
      </w:r>
    </w:p>
    <w:p w14:paraId="2866582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施工现场需要配置的试验场所：</w:t>
      </w:r>
      <w:bookmarkEnd w:id="379"/>
      <w:bookmarkEnd w:id="380"/>
      <w:bookmarkEnd w:id="381"/>
      <w:bookmarkEnd w:id="382"/>
      <w:bookmarkEnd w:id="383"/>
      <w:bookmarkEnd w:id="384"/>
      <w:bookmarkEnd w:id="385"/>
      <w:bookmarkStart w:id="387" w:name="_Toc300934985"/>
      <w:bookmarkStart w:id="388" w:name="_Toc304295562"/>
      <w:bookmarkStart w:id="389" w:name="_Toc303539142"/>
      <w:bookmarkStart w:id="390" w:name="_Toc297216195"/>
      <w:bookmarkStart w:id="391" w:name="_Toc312678024"/>
      <w:bookmarkStart w:id="392" w:name="_Toc297123536"/>
      <w:bookmarkStart w:id="393" w:name="_Toc312677498"/>
      <w:r>
        <w:rPr>
          <w:rFonts w:hint="eastAsia" w:ascii="宋体" w:hAnsi="宋体" w:eastAsia="宋体" w:cs="宋体"/>
          <w:color w:val="auto"/>
          <w:sz w:val="21"/>
          <w:szCs w:val="21"/>
          <w:highlight w:val="none"/>
          <w:u w:val="single"/>
        </w:rPr>
        <w:t xml:space="preserve">   按有关规定执行     </w:t>
      </w:r>
      <w:r>
        <w:rPr>
          <w:rFonts w:hint="eastAsia" w:ascii="宋体" w:hAnsi="宋体" w:eastAsia="宋体" w:cs="宋体"/>
          <w:color w:val="auto"/>
          <w:sz w:val="21"/>
          <w:szCs w:val="21"/>
          <w:highlight w:val="none"/>
        </w:rPr>
        <w:t xml:space="preserve">。 </w:t>
      </w:r>
    </w:p>
    <w:p w14:paraId="605EC85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按有关规定执行      </w:t>
      </w:r>
      <w:r>
        <w:rPr>
          <w:rFonts w:hint="eastAsia" w:ascii="宋体" w:hAnsi="宋体" w:eastAsia="宋体" w:cs="宋体"/>
          <w:color w:val="auto"/>
          <w:sz w:val="21"/>
          <w:szCs w:val="21"/>
          <w:highlight w:val="none"/>
        </w:rPr>
        <w:t>。</w:t>
      </w:r>
    </w:p>
    <w:p w14:paraId="5552FF6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E7543F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94" w:name="_Toc15641"/>
      <w:bookmarkStart w:id="395" w:name="_Toc10944"/>
      <w:r>
        <w:rPr>
          <w:rFonts w:hint="eastAsia" w:ascii="宋体" w:hAnsi="宋体" w:eastAsia="宋体" w:cs="宋体"/>
          <w:bCs w:val="0"/>
          <w:color w:val="auto"/>
          <w:kern w:val="2"/>
          <w:sz w:val="21"/>
          <w:szCs w:val="21"/>
          <w:highlight w:val="none"/>
          <w:lang w:val="en-US" w:eastAsia="zh-CN" w:bidi="ar-SA"/>
        </w:rPr>
        <w:t>9.4 现场工艺试验</w:t>
      </w:r>
      <w:bookmarkEnd w:id="394"/>
      <w:bookmarkEnd w:id="395"/>
      <w:r>
        <w:rPr>
          <w:rFonts w:hint="eastAsia" w:ascii="宋体" w:hAnsi="宋体" w:eastAsia="宋体" w:cs="宋体"/>
          <w:bCs w:val="0"/>
          <w:color w:val="auto"/>
          <w:kern w:val="2"/>
          <w:sz w:val="21"/>
          <w:szCs w:val="21"/>
          <w:highlight w:val="none"/>
          <w:lang w:val="en-US" w:eastAsia="zh-CN" w:bidi="ar-SA"/>
        </w:rPr>
        <w:t xml:space="preserve"> </w:t>
      </w:r>
    </w:p>
    <w:p w14:paraId="23FAE89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现场工艺试验的有关约定：</w:t>
      </w:r>
      <w:r>
        <w:rPr>
          <w:rFonts w:hint="eastAsia" w:ascii="宋体" w:hAnsi="宋体" w:eastAsia="宋体" w:cs="宋体"/>
          <w:color w:val="auto"/>
          <w:sz w:val="21"/>
          <w:szCs w:val="21"/>
          <w:highlight w:val="none"/>
          <w:u w:val="single"/>
        </w:rPr>
        <w:t xml:space="preserve">  按合同通用条款执行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386"/>
    <w:bookmarkEnd w:id="387"/>
    <w:bookmarkEnd w:id="388"/>
    <w:bookmarkEnd w:id="389"/>
    <w:bookmarkEnd w:id="390"/>
    <w:bookmarkEnd w:id="391"/>
    <w:bookmarkEnd w:id="392"/>
    <w:bookmarkEnd w:id="393"/>
    <w:p w14:paraId="6D14199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396" w:name="_Toc8124"/>
      <w:bookmarkStart w:id="397" w:name="_Toc4760"/>
      <w:bookmarkStart w:id="398" w:name="_Toc19258"/>
      <w:bookmarkStart w:id="399" w:name="_Toc28183"/>
      <w:bookmarkStart w:id="400" w:name="_Toc351203642"/>
      <w:bookmarkStart w:id="401" w:name="_Toc30135"/>
      <w:bookmarkStart w:id="402" w:name="_Toc8537"/>
      <w:r>
        <w:rPr>
          <w:rFonts w:hint="eastAsia" w:ascii="宋体" w:hAnsi="宋体" w:eastAsia="宋体" w:cs="宋体"/>
          <w:bCs w:val="0"/>
          <w:color w:val="auto"/>
          <w:kern w:val="2"/>
          <w:sz w:val="21"/>
          <w:szCs w:val="21"/>
          <w:highlight w:val="none"/>
          <w:lang w:val="en-US" w:eastAsia="zh-CN" w:bidi="ar-SA"/>
        </w:rPr>
        <w:t>1</w:t>
      </w:r>
      <w:bookmarkEnd w:id="358"/>
      <w:bookmarkEnd w:id="359"/>
      <w:bookmarkEnd w:id="360"/>
      <w:bookmarkEnd w:id="361"/>
      <w:bookmarkEnd w:id="362"/>
      <w:bookmarkEnd w:id="363"/>
      <w:bookmarkEnd w:id="364"/>
      <w:bookmarkEnd w:id="365"/>
      <w:bookmarkEnd w:id="366"/>
      <w:bookmarkEnd w:id="367"/>
      <w:bookmarkEnd w:id="368"/>
      <w:bookmarkEnd w:id="369"/>
      <w:bookmarkStart w:id="403" w:name="_Toc297123540"/>
      <w:bookmarkStart w:id="404" w:name="_Toc296891233"/>
      <w:bookmarkStart w:id="405" w:name="_Toc297048379"/>
      <w:bookmarkStart w:id="406" w:name="_Toc303539146"/>
      <w:bookmarkStart w:id="407" w:name="_Toc300934989"/>
      <w:bookmarkStart w:id="408" w:name="_Toc296347192"/>
      <w:bookmarkStart w:id="409" w:name="_Toc297120493"/>
      <w:bookmarkStart w:id="410" w:name="_Toc292559903"/>
      <w:bookmarkStart w:id="411" w:name="_Toc296503193"/>
      <w:bookmarkStart w:id="412" w:name="_Toc296891021"/>
      <w:bookmarkStart w:id="413" w:name="_Toc292559398"/>
      <w:bookmarkStart w:id="414" w:name="_Toc297216199"/>
      <w:bookmarkStart w:id="415" w:name="_Toc296944532"/>
      <w:bookmarkStart w:id="416" w:name="_Toc296346694"/>
      <w:bookmarkStart w:id="417" w:name="_Toc304295566"/>
      <w:bookmarkStart w:id="418" w:name="_Toc312678025"/>
      <w:bookmarkStart w:id="419" w:name="_Toc312677499"/>
      <w:r>
        <w:rPr>
          <w:rFonts w:hint="eastAsia" w:ascii="宋体" w:hAnsi="宋体" w:eastAsia="宋体" w:cs="宋体"/>
          <w:bCs w:val="0"/>
          <w:color w:val="auto"/>
          <w:kern w:val="2"/>
          <w:sz w:val="21"/>
          <w:szCs w:val="21"/>
          <w:highlight w:val="none"/>
          <w:lang w:val="en-US" w:eastAsia="zh-CN" w:bidi="ar-SA"/>
        </w:rPr>
        <w:t>0. 变更</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bookmarkEnd w:id="418"/>
    <w:bookmarkEnd w:id="419"/>
    <w:p w14:paraId="6C5B398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420" w:name="_Toc3659"/>
      <w:bookmarkStart w:id="421" w:name="_Toc1738"/>
      <w:r>
        <w:rPr>
          <w:rFonts w:hint="eastAsia" w:ascii="宋体" w:hAnsi="宋体" w:eastAsia="宋体" w:cs="宋体"/>
          <w:bCs w:val="0"/>
          <w:color w:val="auto"/>
          <w:kern w:val="2"/>
          <w:sz w:val="21"/>
          <w:szCs w:val="21"/>
          <w:highlight w:val="none"/>
          <w:lang w:val="en-US" w:eastAsia="zh-CN" w:bidi="ar-SA"/>
        </w:rPr>
        <w:t>1</w:t>
      </w:r>
      <w:bookmarkStart w:id="422" w:name="_Toc297048380"/>
      <w:bookmarkStart w:id="423" w:name="_Toc312678026"/>
      <w:bookmarkStart w:id="424" w:name="_Toc312677500"/>
      <w:bookmarkStart w:id="425" w:name="_Toc296347193"/>
      <w:bookmarkStart w:id="426" w:name="_Toc297120494"/>
      <w:bookmarkStart w:id="427" w:name="_Toc297123541"/>
      <w:bookmarkStart w:id="428" w:name="_Toc297216200"/>
      <w:bookmarkStart w:id="429" w:name="_Toc296891022"/>
      <w:bookmarkStart w:id="430" w:name="_Toc296503194"/>
      <w:bookmarkStart w:id="431" w:name="_Toc304295567"/>
      <w:bookmarkStart w:id="432" w:name="_Toc296944533"/>
      <w:bookmarkStart w:id="433" w:name="_Toc296891234"/>
      <w:bookmarkStart w:id="434" w:name="_Toc292559904"/>
      <w:bookmarkStart w:id="435" w:name="_Toc300934990"/>
      <w:bookmarkStart w:id="436" w:name="_Toc296346695"/>
      <w:bookmarkStart w:id="437" w:name="_Toc292559399"/>
      <w:bookmarkStart w:id="438" w:name="_Toc303539147"/>
      <w:r>
        <w:rPr>
          <w:rFonts w:hint="eastAsia" w:ascii="宋体" w:hAnsi="宋体" w:eastAsia="宋体" w:cs="宋体"/>
          <w:bCs w:val="0"/>
          <w:color w:val="auto"/>
          <w:kern w:val="2"/>
          <w:sz w:val="21"/>
          <w:szCs w:val="21"/>
          <w:highlight w:val="none"/>
          <w:lang w:val="en-US" w:eastAsia="zh-CN" w:bidi="ar-SA"/>
        </w:rPr>
        <w:t>0.1变更的范围</w:t>
      </w:r>
      <w:bookmarkEnd w:id="420"/>
      <w:bookmarkEnd w:id="421"/>
    </w:p>
    <w:p w14:paraId="315FDC3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1DC55B40">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10.1.1</w:t>
      </w:r>
      <w:r>
        <w:rPr>
          <w:rFonts w:hint="eastAsia" w:ascii="宋体" w:hAnsi="宋体" w:eastAsia="宋体" w:cs="宋体"/>
          <w:color w:val="auto"/>
          <w:sz w:val="21"/>
          <w:szCs w:val="21"/>
          <w:highlight w:val="none"/>
        </w:rPr>
        <w:t>由于承包人在本合同责任范围内的原因导致的任何改变、修改或修正均不被视为变更。为满足有关法律和/或政府部门的要求而导致的任何改变和/或费用增加和/或工期延误的，均不被视为变更。发包人在审核批准施工图及设备采购文件过程中的一切合理要求均不被视为变更。</w:t>
      </w:r>
    </w:p>
    <w:p w14:paraId="785C10F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10.1.2</w:t>
      </w:r>
      <w:r>
        <w:rPr>
          <w:rFonts w:hint="eastAsia" w:ascii="宋体" w:hAnsi="宋体" w:eastAsia="宋体" w:cs="宋体"/>
          <w:color w:val="auto"/>
          <w:sz w:val="21"/>
          <w:szCs w:val="21"/>
          <w:highlight w:val="none"/>
        </w:rPr>
        <w:t>如因承包人自身原因以及施工图设计文件存在缺陷、瑕疵、遗漏（无论是否在审核中发现）导致的设计变更，增加的工程费用和延误的工期均由承包人自行承担。</w:t>
      </w:r>
    </w:p>
    <w:p w14:paraId="131663C0">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变更估价</w:t>
      </w:r>
    </w:p>
    <w:p w14:paraId="6B22492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变更估价原则</w:t>
      </w:r>
    </w:p>
    <w:p w14:paraId="7371A18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关于变更估价的约定: </w:t>
      </w:r>
      <w:r>
        <w:rPr>
          <w:rFonts w:hint="eastAsia" w:ascii="宋体" w:hAnsi="宋体" w:eastAsia="宋体" w:cs="宋体"/>
          <w:color w:val="auto"/>
          <w:sz w:val="21"/>
          <w:szCs w:val="21"/>
          <w:highlight w:val="none"/>
          <w:u w:val="single"/>
        </w:rPr>
        <w:t>本合同工程实施过程中，无论是原有工程量的变更或是新增子目工程量的变更，</w:t>
      </w:r>
      <w:r>
        <w:rPr>
          <w:rFonts w:hint="eastAsia" w:ascii="宋体" w:hAnsi="宋体" w:eastAsia="宋体" w:cs="宋体"/>
          <w:color w:val="auto"/>
          <w:sz w:val="21"/>
          <w:szCs w:val="21"/>
          <w:highlight w:val="none"/>
          <w:u w:val="single"/>
          <w:lang w:val="en-US" w:eastAsia="zh-CN"/>
        </w:rPr>
        <w:t>工程结算时，当实际措施费≥经预算评审的措施费，结算措施费=经预算评审的措施费；当实际措施费＜经预算评审的措施费，结算措施费=实际措施费。</w:t>
      </w:r>
    </w:p>
    <w:p w14:paraId="784818F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10.</w:t>
      </w:r>
      <w:r>
        <w:rPr>
          <w:rFonts w:hint="eastAsia" w:ascii="宋体" w:hAnsi="宋体" w:eastAsia="宋体" w:cs="宋体"/>
          <w:color w:val="auto"/>
          <w:sz w:val="21"/>
          <w:szCs w:val="21"/>
          <w:highlight w:val="none"/>
          <w:u w:val="single"/>
          <w:lang w:val="en-US" w:eastAsia="zh-CN"/>
        </w:rPr>
        <w:t>4</w:t>
      </w:r>
      <w:r>
        <w:rPr>
          <w:rFonts w:hint="eastAsia" w:ascii="宋体" w:hAnsi="宋体" w:eastAsia="宋体" w:cs="宋体"/>
          <w:color w:val="auto"/>
          <w:sz w:val="21"/>
          <w:szCs w:val="21"/>
          <w:highlight w:val="none"/>
          <w:u w:val="single"/>
        </w:rPr>
        <w:t>.1.</w:t>
      </w:r>
      <w:r>
        <w:rPr>
          <w:rFonts w:hint="eastAsia" w:ascii="宋体" w:hAnsi="宋体" w:eastAsia="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（1）经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中有适用于变更工程项目的，应采用该项目的单价；</w:t>
      </w:r>
    </w:p>
    <w:p w14:paraId="189FE8E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无适用于变更工作的子目，但有类似子目的，由承包人按照海南现行定额及计价规范、本合同工程类似子目的单价分析表（应综合考虑类似子目的材质、规格、材料等因素）进行组价，并上报监理人审批，最终以发包人或发包人的上级主管部门批准的为准；</w:t>
      </w:r>
    </w:p>
    <w:p w14:paraId="205922A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没有适用也没有类似于变更工程项目的，应由承包人根据变更工程资料、计量规则和计价办法、工程造价管理机构发布的信息价格（海南省建设工程主要材料信息价，不包括厂商报价）和承包人中标下浮率提出变更工程项目的单价，并报发包人确认后调整。承包人中标下浮率按下列公式计算：中标下浮率=（1-中标价/招标控制价）×100%；</w:t>
      </w:r>
    </w:p>
    <w:p w14:paraId="1AD6E06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（4）经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没有适用也没有类似于变更工程项目，且工程造价管理机构发布的信息价格（海南省建设工程主要材料信息价，不包括厂商报价）缺价的，应由承包人根据变更工程资料、计量规则和计价办法、承包人中标下浮率和通过市场调查等取得有合法依据的市场价格提出变更项目的单价，并报发包人确认后调整。承包人中标下浮率按下列公式计算：中标下浮率=（1-中标价/招标控制价）×100%</w:t>
      </w:r>
      <w:r>
        <w:rPr>
          <w:rFonts w:hint="eastAsia" w:ascii="宋体" w:hAnsi="宋体" w:eastAsia="宋体" w:cs="宋体"/>
          <w:color w:val="auto"/>
          <w:sz w:val="21"/>
          <w:szCs w:val="21"/>
          <w:highlight w:val="none"/>
        </w:rPr>
        <w:t>。</w:t>
      </w:r>
    </w:p>
    <w:p w14:paraId="08D9547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变更估价</w:t>
      </w:r>
      <w:r>
        <w:rPr>
          <w:rFonts w:hint="eastAsia" w:ascii="宋体" w:hAnsi="宋体" w:eastAsia="宋体" w:cs="宋体"/>
          <w:color w:val="auto"/>
          <w:sz w:val="21"/>
          <w:szCs w:val="21"/>
          <w:highlight w:val="none"/>
          <w:lang w:val="en-US" w:eastAsia="zh-CN"/>
        </w:rPr>
        <w:t>程序</w:t>
      </w:r>
    </w:p>
    <w:p w14:paraId="684C3B5F">
      <w:pPr>
        <w:pageBreakBefore w:val="0"/>
        <w:kinsoku/>
        <w:wordWrap/>
        <w:overflowPunct/>
        <w:topLinePunct w:val="0"/>
        <w:autoSpaceDE w:val="0"/>
        <w:autoSpaceDN w:val="0"/>
        <w:bidi w:val="0"/>
        <w:adjustRightInd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10.4.2.1发包人提出变更</w:t>
      </w:r>
    </w:p>
    <w:p w14:paraId="47269ED6">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发包人提出变更的，应通过监理人向承包人发出变更指示，变更指示应说明计划变更的工程范围和变更的内容。</w:t>
      </w:r>
    </w:p>
    <w:p w14:paraId="6162F1D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承包人应在收到变更指示后14天内，向监理人提交变更估价申请。监理人应在收到承包人提交的变更估价申请后7个工作日内审查完毕并报送发包人，监理人对变更估价申请有异议，通知承包人修改后重新提交。发包人应在承包人提交变更估价申请后14个工作日内审批完毕，但14个工作日审批时间不包括发包人上级主管单位（如需）</w:t>
      </w:r>
      <w:r>
        <w:rPr>
          <w:rFonts w:hint="eastAsia" w:ascii="宋体" w:hAnsi="宋体" w:eastAsia="宋体" w:cs="宋体"/>
          <w:color w:val="auto"/>
          <w:sz w:val="21"/>
          <w:szCs w:val="21"/>
          <w:highlight w:val="none"/>
        </w:rPr>
        <w:t>、政府财政或项目使用单位（如有）的审批时间，发、承包双方都应遵守发包人上级主管单位、政府财政或项目使用单位的审批流程和期限。</w:t>
      </w:r>
    </w:p>
    <w:p w14:paraId="00E5CA61">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10.4.2.2承包人提出变更建议</w:t>
      </w:r>
    </w:p>
    <w:p w14:paraId="0258D0C4">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承包人提出变更建议的，需要向发包人以书面形式提出变更计划，说明计划变更工程范围和变更的内容、理由，以及实施该变更对合同价格和工期的影响。发包人同意变更的，由监理人向承包人发出变更指示，承包人按照10.4.2.1条款执行。发包人不同意变更的，监理人无权擅自发出变更指示。</w:t>
      </w:r>
    </w:p>
    <w:p w14:paraId="2203A555">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承包人应于分部分项工程施工前28天提出变更申请，申请材料包括但不限于：</w:t>
      </w:r>
    </w:p>
    <w:p w14:paraId="2F7D4C08">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（1）变更申请函；</w:t>
      </w:r>
    </w:p>
    <w:p w14:paraId="7B65C95F">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（2）变更申请表；</w:t>
      </w:r>
    </w:p>
    <w:p w14:paraId="7D974489">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（3）变更部分涉及的勘察资料及图像（影像）资料；</w:t>
      </w:r>
    </w:p>
    <w:p w14:paraId="595AF2BD">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（4）变更前、后的设计方案（图纸）或说明、预算造价及变更前后造价对比；</w:t>
      </w:r>
    </w:p>
    <w:p w14:paraId="6D906787">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（5）其他必要补充资料（如各单位协商、会议记录等）</w:t>
      </w:r>
    </w:p>
    <w:p w14:paraId="040EE33C">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因变更引起的价格调整完成审批后支付至变更价款的70%，计入最新一期的进度款中支付。变更价款的审批仅作为过程计价资料，最终以竣工结算审核的结果为准。</w:t>
      </w:r>
    </w:p>
    <w:p w14:paraId="68CE2771">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在建设工程中，经发包人批准后发生建设施工内容甩项或取消的，相关建设费用在合同价款中相应扣除，但承包人不得自行决定甩项或取消。</w:t>
      </w:r>
    </w:p>
    <w:p w14:paraId="50001CC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以上变更为合同承包范围的组成部分，承包人不得以任何理由拒绝或拖延此部分工作的实施，否则承担由此引起一切责任。</w:t>
      </w:r>
    </w:p>
    <w:p w14:paraId="22C9CF7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439" w:name="_Toc29771"/>
      <w:bookmarkStart w:id="440" w:name="_Toc407"/>
      <w:r>
        <w:rPr>
          <w:rFonts w:hint="eastAsia" w:ascii="宋体" w:hAnsi="宋体" w:eastAsia="宋体" w:cs="宋体"/>
          <w:bCs w:val="0"/>
          <w:color w:val="auto"/>
          <w:kern w:val="2"/>
          <w:sz w:val="21"/>
          <w:szCs w:val="21"/>
          <w:highlight w:val="none"/>
          <w:lang w:val="en-US" w:eastAsia="zh-CN" w:bidi="ar-SA"/>
        </w:rPr>
        <w:t>1</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Start w:id="441" w:name="_Toc297123544"/>
      <w:bookmarkStart w:id="442" w:name="_Toc296891025"/>
      <w:bookmarkStart w:id="443" w:name="_Toc296346698"/>
      <w:bookmarkStart w:id="444" w:name="_Toc297216203"/>
      <w:bookmarkStart w:id="445" w:name="_Toc296347196"/>
      <w:bookmarkStart w:id="446" w:name="_Toc296891237"/>
      <w:bookmarkStart w:id="447" w:name="_Toc292559907"/>
      <w:bookmarkStart w:id="448" w:name="_Toc292559402"/>
      <w:bookmarkStart w:id="449" w:name="_Toc296944536"/>
      <w:bookmarkStart w:id="450" w:name="_Toc303539150"/>
      <w:bookmarkStart w:id="451" w:name="_Toc300934993"/>
      <w:bookmarkStart w:id="452" w:name="_Toc296503197"/>
      <w:bookmarkStart w:id="453" w:name="_Toc297048383"/>
      <w:bookmarkStart w:id="454" w:name="_Toc297120497"/>
      <w:bookmarkStart w:id="455" w:name="_Toc312677503"/>
      <w:bookmarkStart w:id="456" w:name="_Toc312678029"/>
      <w:bookmarkStart w:id="457" w:name="_Toc304295570"/>
      <w:r>
        <w:rPr>
          <w:rFonts w:hint="eastAsia" w:ascii="宋体" w:hAnsi="宋体" w:eastAsia="宋体" w:cs="宋体"/>
          <w:bCs w:val="0"/>
          <w:color w:val="auto"/>
          <w:kern w:val="2"/>
          <w:sz w:val="21"/>
          <w:szCs w:val="21"/>
          <w:highlight w:val="none"/>
          <w:lang w:val="en-US" w:eastAsia="zh-CN" w:bidi="ar-SA"/>
        </w:rPr>
        <w:t>0.5承</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Start w:id="458" w:name="_Toc297216204"/>
      <w:bookmarkStart w:id="459" w:name="_Toc296944542"/>
      <w:bookmarkStart w:id="460" w:name="_Toc292559408"/>
      <w:bookmarkStart w:id="461" w:name="_Toc297048389"/>
      <w:bookmarkStart w:id="462" w:name="_Toc296891031"/>
      <w:bookmarkStart w:id="463" w:name="_Toc303539151"/>
      <w:bookmarkStart w:id="464" w:name="_Toc297123545"/>
      <w:bookmarkStart w:id="465" w:name="_Toc296891243"/>
      <w:bookmarkStart w:id="466" w:name="_Toc297120503"/>
      <w:bookmarkStart w:id="467" w:name="_Toc296346704"/>
      <w:bookmarkStart w:id="468" w:name="_Toc296347202"/>
      <w:bookmarkStart w:id="469" w:name="_Toc292559913"/>
      <w:bookmarkStart w:id="470" w:name="_Toc296503203"/>
      <w:bookmarkStart w:id="471" w:name="_Toc300934994"/>
      <w:r>
        <w:rPr>
          <w:rFonts w:hint="eastAsia" w:ascii="宋体" w:hAnsi="宋体" w:eastAsia="宋体" w:cs="宋体"/>
          <w:bCs w:val="0"/>
          <w:color w:val="auto"/>
          <w:kern w:val="2"/>
          <w:sz w:val="21"/>
          <w:szCs w:val="21"/>
          <w:highlight w:val="none"/>
          <w:lang w:val="en-US" w:eastAsia="zh-CN" w:bidi="ar-SA"/>
        </w:rPr>
        <w:t>包人的合理化建议</w:t>
      </w:r>
      <w:bookmarkEnd w:id="439"/>
      <w:bookmarkEnd w:id="440"/>
    </w:p>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14:paraId="79746DF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收到承包人提交合理化建议后7天内  </w:t>
      </w:r>
      <w:r>
        <w:rPr>
          <w:rFonts w:hint="eastAsia" w:ascii="宋体" w:hAnsi="宋体" w:eastAsia="宋体" w:cs="宋体"/>
          <w:color w:val="auto"/>
          <w:sz w:val="21"/>
          <w:szCs w:val="21"/>
          <w:highlight w:val="none"/>
        </w:rPr>
        <w:t>。</w:t>
      </w:r>
    </w:p>
    <w:p w14:paraId="56A7D0A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收到监理人报送合理化建议后7天内</w:t>
      </w:r>
      <w:r>
        <w:rPr>
          <w:rFonts w:hint="eastAsia" w:ascii="宋体" w:hAnsi="宋体" w:eastAsia="宋体" w:cs="宋体"/>
          <w:color w:val="auto"/>
          <w:sz w:val="21"/>
          <w:szCs w:val="21"/>
          <w:highlight w:val="none"/>
        </w:rPr>
        <w:t>。</w:t>
      </w:r>
    </w:p>
    <w:p w14:paraId="6CCD0C83">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w:t>
      </w:r>
      <w:bookmarkStart w:id="472" w:name="_Toc296503204"/>
      <w:bookmarkStart w:id="473" w:name="_Toc296347203"/>
      <w:bookmarkStart w:id="474" w:name="_Toc296891032"/>
      <w:bookmarkStart w:id="475" w:name="_Toc297123546"/>
      <w:bookmarkStart w:id="476" w:name="_Toc292559914"/>
      <w:bookmarkStart w:id="477" w:name="_Toc296346705"/>
      <w:bookmarkStart w:id="478" w:name="_Toc303539152"/>
      <w:bookmarkStart w:id="479" w:name="_Toc292559409"/>
      <w:bookmarkStart w:id="480" w:name="_Toc296891244"/>
      <w:bookmarkStart w:id="481" w:name="_Toc297216205"/>
      <w:bookmarkStart w:id="482" w:name="_Toc304295571"/>
      <w:bookmarkStart w:id="483" w:name="_Toc312677504"/>
      <w:bookmarkStart w:id="484" w:name="_Toc318581175"/>
      <w:bookmarkStart w:id="485" w:name="_Toc297048390"/>
      <w:bookmarkStart w:id="486" w:name="_Toc296944543"/>
      <w:bookmarkStart w:id="487" w:name="_Toc312678030"/>
      <w:bookmarkStart w:id="488" w:name="_Toc300934995"/>
      <w:bookmarkStart w:id="489" w:name="_Toc297120504"/>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14:paraId="3E2BF0A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490" w:name="_Toc10931"/>
      <w:bookmarkStart w:id="491" w:name="_Toc7844"/>
      <w:r>
        <w:rPr>
          <w:rFonts w:hint="eastAsia" w:ascii="宋体" w:hAnsi="宋体" w:eastAsia="宋体" w:cs="宋体"/>
          <w:bCs w:val="0"/>
          <w:color w:val="auto"/>
          <w:kern w:val="2"/>
          <w:sz w:val="21"/>
          <w:szCs w:val="21"/>
          <w:highlight w:val="none"/>
          <w:lang w:val="en-US" w:eastAsia="zh-CN" w:bidi="ar-SA"/>
        </w:rPr>
        <w:t>1</w:t>
      </w:r>
      <w:bookmarkStart w:id="492" w:name="_Toc296891027"/>
      <w:bookmarkStart w:id="493" w:name="_Toc292559404"/>
      <w:bookmarkStart w:id="494" w:name="_Toc296503199"/>
      <w:bookmarkStart w:id="495" w:name="_Toc292559909"/>
      <w:bookmarkStart w:id="496" w:name="_Toc296891239"/>
      <w:bookmarkStart w:id="497" w:name="_Toc297120499"/>
      <w:bookmarkStart w:id="498" w:name="_Toc312678033"/>
      <w:bookmarkStart w:id="499" w:name="_Toc300934997"/>
      <w:bookmarkStart w:id="500" w:name="_Toc296944538"/>
      <w:bookmarkStart w:id="501" w:name="_Toc296346700"/>
      <w:bookmarkStart w:id="502" w:name="_Toc296347198"/>
      <w:bookmarkStart w:id="503" w:name="_Toc312677507"/>
      <w:bookmarkStart w:id="504" w:name="_Toc297216207"/>
      <w:bookmarkStart w:id="505" w:name="_Toc303539154"/>
      <w:bookmarkStart w:id="506" w:name="_Toc297123548"/>
      <w:bookmarkStart w:id="507" w:name="_Toc297048385"/>
      <w:bookmarkStart w:id="508" w:name="_Toc304295574"/>
      <w:r>
        <w:rPr>
          <w:rFonts w:hint="eastAsia" w:ascii="宋体" w:hAnsi="宋体" w:eastAsia="宋体" w:cs="宋体"/>
          <w:bCs w:val="0"/>
          <w:color w:val="auto"/>
          <w:kern w:val="2"/>
          <w:sz w:val="21"/>
          <w:szCs w:val="21"/>
          <w:highlight w:val="none"/>
          <w:lang w:val="en-US" w:eastAsia="zh-CN" w:bidi="ar-SA"/>
        </w:rPr>
        <w:t>0.7 暂估价</w:t>
      </w:r>
      <w:bookmarkEnd w:id="490"/>
      <w:bookmarkEnd w:id="491"/>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14:paraId="5B427BD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509" w:name="_Toc318581177"/>
      <w:bookmarkStart w:id="510" w:name="_Toc312677509"/>
      <w:bookmarkStart w:id="511" w:name="_Toc312678035"/>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依法必须招标的暂估价项目</w:t>
      </w:r>
    </w:p>
    <w:bookmarkEnd w:id="509"/>
    <w:bookmarkEnd w:id="510"/>
    <w:bookmarkEnd w:id="511"/>
    <w:p w14:paraId="7C2AB34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w:t>
      </w:r>
      <w:r>
        <w:rPr>
          <w:rFonts w:hint="eastAsia" w:ascii="宋体" w:hAnsi="宋体" w:eastAsia="宋体" w:cs="宋体"/>
          <w:color w:val="auto"/>
          <w:sz w:val="21"/>
          <w:szCs w:val="21"/>
          <w:highlight w:val="none"/>
          <w:lang w:eastAsia="zh-CN"/>
        </w:rPr>
        <w:t>通用条款</w:t>
      </w: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u w:val="single"/>
        </w:rPr>
        <w:t xml:space="preserve"> 1 </w:t>
      </w:r>
      <w:r>
        <w:rPr>
          <w:rFonts w:hint="eastAsia" w:ascii="宋体" w:hAnsi="宋体" w:eastAsia="宋体" w:cs="宋体"/>
          <w:color w:val="auto"/>
          <w:sz w:val="21"/>
          <w:szCs w:val="21"/>
          <w:highlight w:val="none"/>
        </w:rPr>
        <w:t>种方式确定。</w:t>
      </w:r>
    </w:p>
    <w:p w14:paraId="56CF771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10.4.2 不属于依法必须招标的暂估价项目</w:t>
      </w:r>
    </w:p>
    <w:p w14:paraId="236EC3A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w:t>
      </w:r>
      <w:r>
        <w:rPr>
          <w:rFonts w:hint="eastAsia" w:ascii="宋体" w:hAnsi="宋体" w:eastAsia="宋体" w:cs="宋体"/>
          <w:color w:val="auto"/>
          <w:sz w:val="21"/>
          <w:szCs w:val="21"/>
          <w:highlight w:val="none"/>
          <w:lang w:eastAsia="zh-CN"/>
        </w:rPr>
        <w:t>通用条款</w:t>
      </w: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u w:val="single"/>
        </w:rPr>
        <w:t xml:space="preserve"> 2</w:t>
      </w:r>
      <w:r>
        <w:rPr>
          <w:rFonts w:hint="eastAsia" w:ascii="宋体" w:hAnsi="宋体" w:eastAsia="宋体" w:cs="宋体"/>
          <w:color w:val="auto"/>
          <w:sz w:val="21"/>
          <w:szCs w:val="21"/>
          <w:highlight w:val="none"/>
        </w:rPr>
        <w:t xml:space="preserve"> 种方式确定。</w:t>
      </w:r>
    </w:p>
    <w:p w14:paraId="1732974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12" w:name="_Toc3259"/>
      <w:bookmarkStart w:id="513" w:name="_Toc17349"/>
      <w:r>
        <w:rPr>
          <w:rFonts w:hint="eastAsia" w:ascii="宋体" w:hAnsi="宋体" w:eastAsia="宋体" w:cs="宋体"/>
          <w:bCs w:val="0"/>
          <w:color w:val="auto"/>
          <w:kern w:val="2"/>
          <w:sz w:val="21"/>
          <w:szCs w:val="21"/>
          <w:highlight w:val="none"/>
          <w:lang w:val="en-US" w:eastAsia="zh-CN" w:bidi="ar-SA"/>
        </w:rPr>
        <w:t>10.8 暂列金额</w:t>
      </w:r>
      <w:bookmarkEnd w:id="512"/>
      <w:bookmarkEnd w:id="513"/>
    </w:p>
    <w:p w14:paraId="34195608">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合同当事人关于暂列金额使用的约定：</w:t>
      </w:r>
      <w:r>
        <w:rPr>
          <w:rFonts w:hint="eastAsia" w:ascii="宋体" w:hAnsi="宋体" w:eastAsia="宋体" w:cs="宋体"/>
          <w:color w:val="auto"/>
          <w:sz w:val="21"/>
          <w:szCs w:val="21"/>
          <w:highlight w:val="none"/>
          <w:u w:val="single"/>
        </w:rPr>
        <w:t xml:space="preserve">   按通用条款执行   </w:t>
      </w:r>
      <w:r>
        <w:rPr>
          <w:rFonts w:hint="eastAsia" w:ascii="宋体" w:hAnsi="宋体" w:eastAsia="宋体" w:cs="宋体"/>
          <w:color w:val="auto"/>
          <w:kern w:val="0"/>
          <w:sz w:val="21"/>
          <w:szCs w:val="21"/>
          <w:highlight w:val="none"/>
        </w:rPr>
        <w:t>。</w:t>
      </w:r>
    </w:p>
    <w:p w14:paraId="04263FE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黑体" w:hAnsi="黑体" w:eastAsia="黑体" w:cs="黑体"/>
          <w:bCs w:val="0"/>
          <w:color w:val="auto"/>
          <w:kern w:val="2"/>
          <w:sz w:val="21"/>
          <w:szCs w:val="21"/>
          <w:highlight w:val="none"/>
          <w:lang w:val="en-US" w:eastAsia="zh-CN" w:bidi="ar-SA"/>
        </w:rPr>
      </w:pPr>
      <w:bookmarkStart w:id="514" w:name="_Toc29759"/>
      <w:bookmarkStart w:id="515" w:name="_Toc7476"/>
      <w:bookmarkStart w:id="516" w:name="_Toc10375"/>
      <w:bookmarkStart w:id="517" w:name="_Toc13586"/>
      <w:bookmarkStart w:id="518" w:name="_Toc22671"/>
      <w:bookmarkStart w:id="519" w:name="_Toc351203643"/>
      <w:bookmarkStart w:id="520" w:name="_Toc13447"/>
      <w:bookmarkStart w:id="521" w:name="_Toc12230"/>
      <w:bookmarkStart w:id="522" w:name="_Toc2872"/>
      <w:bookmarkStart w:id="523" w:name="_Toc16559"/>
      <w:bookmarkStart w:id="524" w:name="_Toc13142"/>
      <w:r>
        <w:rPr>
          <w:rFonts w:hint="eastAsia" w:ascii="黑体" w:hAnsi="黑体" w:eastAsia="黑体" w:cs="黑体"/>
          <w:bCs w:val="0"/>
          <w:color w:val="auto"/>
          <w:kern w:val="2"/>
          <w:sz w:val="21"/>
          <w:szCs w:val="21"/>
          <w:highlight w:val="none"/>
          <w:lang w:val="en-US" w:eastAsia="zh-CN" w:bidi="ar-SA"/>
        </w:rPr>
        <w:t>11. 价格调整</w:t>
      </w:r>
      <w:bookmarkEnd w:id="514"/>
      <w:bookmarkEnd w:id="515"/>
      <w:bookmarkEnd w:id="516"/>
      <w:bookmarkEnd w:id="517"/>
    </w:p>
    <w:p w14:paraId="1899EDB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黑体" w:hAnsi="黑体" w:eastAsia="黑体" w:cs="黑体"/>
          <w:bCs w:val="0"/>
          <w:color w:val="auto"/>
          <w:kern w:val="2"/>
          <w:sz w:val="21"/>
          <w:szCs w:val="21"/>
          <w:highlight w:val="none"/>
          <w:lang w:val="en-US" w:eastAsia="zh-CN" w:bidi="ar-SA"/>
        </w:rPr>
      </w:pPr>
      <w:r>
        <w:rPr>
          <w:rFonts w:hint="eastAsia" w:ascii="黑体" w:hAnsi="黑体" w:eastAsia="黑体" w:cs="黑体"/>
          <w:bCs w:val="0"/>
          <w:color w:val="auto"/>
          <w:kern w:val="2"/>
          <w:sz w:val="21"/>
          <w:szCs w:val="21"/>
          <w:highlight w:val="none"/>
          <w:lang w:val="en-US" w:eastAsia="zh-CN" w:bidi="ar-SA"/>
        </w:rPr>
        <w:t>11.1 市场价格波动引起的调整</w:t>
      </w:r>
    </w:p>
    <w:p w14:paraId="54D6C963">
      <w:pPr>
        <w:pStyle w:val="6"/>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b w:val="0"/>
          <w:color w:val="auto"/>
          <w:sz w:val="21"/>
          <w:szCs w:val="21"/>
          <w:highlight w:val="none"/>
          <w:u w:val="single"/>
        </w:rPr>
        <w:t>本合同是固定</w:t>
      </w:r>
      <w:r>
        <w:rPr>
          <w:rFonts w:hint="eastAsia" w:ascii="宋体" w:hAnsi="宋体" w:eastAsia="宋体" w:cs="宋体"/>
          <w:b w:val="0"/>
          <w:color w:val="auto"/>
          <w:sz w:val="21"/>
          <w:szCs w:val="21"/>
          <w:highlight w:val="none"/>
          <w:u w:val="single"/>
          <w:lang w:val="en-US" w:eastAsia="zh-CN"/>
        </w:rPr>
        <w:t>综合</w:t>
      </w:r>
      <w:r>
        <w:rPr>
          <w:rFonts w:hint="eastAsia" w:ascii="宋体" w:hAnsi="宋体" w:eastAsia="宋体" w:cs="宋体"/>
          <w:b w:val="0"/>
          <w:color w:val="auto"/>
          <w:sz w:val="21"/>
          <w:szCs w:val="21"/>
          <w:highlight w:val="none"/>
          <w:u w:val="single"/>
        </w:rPr>
        <w:t>单价合同，本合同的固定</w:t>
      </w:r>
      <w:r>
        <w:rPr>
          <w:rFonts w:hint="eastAsia" w:ascii="宋体" w:hAnsi="宋体" w:eastAsia="宋体" w:cs="宋体"/>
          <w:b w:val="0"/>
          <w:color w:val="auto"/>
          <w:sz w:val="21"/>
          <w:szCs w:val="21"/>
          <w:highlight w:val="none"/>
          <w:u w:val="single"/>
          <w:lang w:val="en-US" w:eastAsia="zh-CN"/>
        </w:rPr>
        <w:t>综合</w:t>
      </w:r>
      <w:r>
        <w:rPr>
          <w:rFonts w:hint="eastAsia" w:ascii="宋体" w:hAnsi="宋体" w:eastAsia="宋体" w:cs="宋体"/>
          <w:b w:val="0"/>
          <w:color w:val="auto"/>
          <w:sz w:val="21"/>
          <w:szCs w:val="21"/>
          <w:highlight w:val="none"/>
          <w:u w:val="single"/>
        </w:rPr>
        <w:t>单价为</w:t>
      </w:r>
      <w:r>
        <w:rPr>
          <w:rFonts w:hint="eastAsia" w:ascii="宋体" w:hAnsi="宋体" w:eastAsia="宋体" w:cs="宋体"/>
          <w:b w:val="0"/>
          <w:color w:val="auto"/>
          <w:sz w:val="21"/>
          <w:szCs w:val="21"/>
          <w:highlight w:val="none"/>
          <w:u w:val="single"/>
          <w:lang w:val="en-US" w:eastAsia="zh-CN"/>
        </w:rPr>
        <w:t>承包人</w:t>
      </w:r>
      <w:r>
        <w:rPr>
          <w:rFonts w:hint="eastAsia" w:ascii="宋体" w:hAnsi="宋体" w:eastAsia="宋体" w:cs="宋体"/>
          <w:b w:val="0"/>
          <w:color w:val="auto"/>
          <w:sz w:val="21"/>
          <w:szCs w:val="21"/>
          <w:highlight w:val="none"/>
          <w:u w:val="single"/>
          <w:lang w:eastAsia="zh-CN"/>
        </w:rPr>
        <w:t>的工程量清单投标报价</w:t>
      </w:r>
      <w:r>
        <w:rPr>
          <w:rFonts w:hint="eastAsia" w:ascii="宋体" w:hAnsi="宋体" w:eastAsia="宋体" w:cs="宋体"/>
          <w:b w:val="0"/>
          <w:color w:val="auto"/>
          <w:sz w:val="21"/>
          <w:szCs w:val="21"/>
          <w:highlight w:val="none"/>
          <w:u w:val="single"/>
        </w:rPr>
        <w:t>*（1-中标下浮率）。</w:t>
      </w:r>
    </w:p>
    <w:p w14:paraId="4A70076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eastAsia="宋体" w:cs="宋体"/>
          <w:color w:val="auto"/>
          <w:kern w:val="0"/>
          <w:sz w:val="21"/>
          <w:szCs w:val="21"/>
          <w:highlight w:val="none"/>
          <w:u w:val="single"/>
          <w:lang w:val="en-US" w:eastAsia="zh-CN"/>
        </w:rPr>
        <w:t>合同履行期间，只调整钢筋、水泥、砂、碎石、商品砼（不含装配式构件）因市场价格波动引起的价差（价差调整不参与取费），其他不予调整。</w:t>
      </w:r>
      <w:r>
        <w:rPr>
          <w:rFonts w:hint="eastAsia" w:ascii="宋体" w:hAnsi="宋体" w:eastAsia="宋体" w:cs="宋体"/>
          <w:color w:val="auto"/>
          <w:sz w:val="21"/>
          <w:szCs w:val="21"/>
          <w:highlight w:val="none"/>
          <w:u w:val="single"/>
          <w:lang w:eastAsia="zh-CN"/>
        </w:rPr>
        <w:t>综合人工竣工验收前不予调整。</w:t>
      </w:r>
    </w:p>
    <w:p w14:paraId="323A6266">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种方式对合同价格进行调整：</w:t>
      </w:r>
    </w:p>
    <w:p w14:paraId="6DB3B36E">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23A1455B">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F554CA9">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1E57635C">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（2）关于基准价格的约定：</w:t>
      </w:r>
      <w:r>
        <w:rPr>
          <w:rFonts w:hint="eastAsia" w:ascii="宋体" w:hAnsi="宋体" w:eastAsia="宋体" w:cs="宋体"/>
          <w:color w:val="auto"/>
          <w:sz w:val="21"/>
          <w:szCs w:val="21"/>
          <w:highlight w:val="none"/>
          <w:u w:val="single"/>
        </w:rPr>
        <w:t>工程量清单计价以造价编制报告审核通过之日起前28天为基准日，以基准日当月由海南省建设标准定额站发布的当期《海南工程造价信息》中的</w:t>
      </w:r>
      <w:r>
        <w:rPr>
          <w:rFonts w:hint="eastAsia" w:ascii="宋体" w:hAnsi="宋体" w:eastAsia="宋体" w:cs="宋体"/>
          <w:color w:val="auto"/>
          <w:sz w:val="21"/>
          <w:szCs w:val="21"/>
          <w:highlight w:val="none"/>
          <w:u w:val="single"/>
          <w:lang w:eastAsia="zh-CN"/>
        </w:rPr>
        <w:t>三亚市</w:t>
      </w:r>
      <w:r>
        <w:rPr>
          <w:rFonts w:hint="eastAsia" w:ascii="宋体" w:hAnsi="宋体" w:eastAsia="宋体" w:cs="宋体"/>
          <w:color w:val="auto"/>
          <w:sz w:val="21"/>
          <w:szCs w:val="21"/>
          <w:highlight w:val="none"/>
          <w:u w:val="single"/>
        </w:rPr>
        <w:t>价格为基准价格，工程造价信息</w:t>
      </w:r>
      <w:r>
        <w:rPr>
          <w:rFonts w:hint="eastAsia" w:ascii="宋体" w:hAnsi="宋体" w:eastAsia="宋体" w:cs="宋体"/>
          <w:color w:val="auto"/>
          <w:sz w:val="21"/>
          <w:szCs w:val="21"/>
          <w:highlight w:val="none"/>
          <w:u w:val="single"/>
          <w:lang w:eastAsia="zh-CN"/>
        </w:rPr>
        <w:t>三亚市</w:t>
      </w:r>
      <w:r>
        <w:rPr>
          <w:rFonts w:hint="eastAsia" w:ascii="宋体" w:hAnsi="宋体" w:eastAsia="宋体" w:cs="宋体"/>
          <w:color w:val="auto"/>
          <w:sz w:val="21"/>
          <w:szCs w:val="21"/>
          <w:highlight w:val="none"/>
          <w:u w:val="single"/>
        </w:rPr>
        <w:t>缺项的参照三亚市、海口市《按先后顺序》</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并执行工程施工费合同下浮率。 </w:t>
      </w:r>
    </w:p>
    <w:p w14:paraId="63D8955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eastAsia="zh-CN"/>
        </w:rPr>
        <w:t>综合人工竣工验收前不予调整。</w:t>
      </w:r>
    </w:p>
    <w:p w14:paraId="3293B88E">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rPr>
        <w:t>钢筋、水泥、砂、碎石、商品砼（不含装配式构件）</w:t>
      </w:r>
      <w:r>
        <w:rPr>
          <w:rFonts w:hint="eastAsia" w:ascii="宋体" w:hAnsi="宋体" w:eastAsia="宋体" w:cs="宋体"/>
          <w:color w:val="auto"/>
          <w:sz w:val="21"/>
          <w:szCs w:val="21"/>
          <w:highlight w:val="none"/>
          <w:u w:val="single"/>
        </w:rPr>
        <w:t>以经发包人确认的承包人报送的实际进度月报记录作为调整的依据，根据实际进度计算相符的材料用量，并按当月海南省定额站颁布的《海南工程造价信息》中的</w:t>
      </w:r>
      <w:r>
        <w:rPr>
          <w:rFonts w:hint="eastAsia" w:ascii="宋体" w:hAnsi="宋体" w:eastAsia="宋体" w:cs="宋体"/>
          <w:color w:val="auto"/>
          <w:sz w:val="21"/>
          <w:szCs w:val="21"/>
          <w:highlight w:val="none"/>
          <w:u w:val="single"/>
          <w:lang w:eastAsia="zh-CN"/>
        </w:rPr>
        <w:t>三亚市</w:t>
      </w:r>
      <w:r>
        <w:rPr>
          <w:rFonts w:hint="eastAsia" w:ascii="宋体" w:hAnsi="宋体" w:eastAsia="宋体" w:cs="宋体"/>
          <w:color w:val="auto"/>
          <w:sz w:val="21"/>
          <w:szCs w:val="21"/>
          <w:highlight w:val="none"/>
          <w:u w:val="single"/>
        </w:rPr>
        <w:t>工程造价信息，采用加权平均法计算其在施工期间的价格与基准价进行对比，如超出基准价±</w:t>
      </w:r>
      <w:r>
        <w:rPr>
          <w:rFonts w:hint="eastAsia" w:ascii="宋体" w:hAnsi="宋体" w:eastAsia="宋体" w:cs="宋体"/>
          <w:color w:val="auto"/>
          <w:sz w:val="21"/>
          <w:szCs w:val="21"/>
          <w:highlight w:val="none"/>
          <w:u w:val="single"/>
          <w:lang w:eastAsia="zh-CN"/>
        </w:rPr>
        <w:t>5</w:t>
      </w:r>
      <w:r>
        <w:rPr>
          <w:rFonts w:hint="eastAsia" w:ascii="宋体" w:hAnsi="宋体" w:eastAsia="宋体" w:cs="宋体"/>
          <w:color w:val="auto"/>
          <w:sz w:val="21"/>
          <w:szCs w:val="21"/>
          <w:highlight w:val="none"/>
          <w:u w:val="single"/>
        </w:rPr>
        <w:t>%（不含）时，结算时按超出基准价±</w:t>
      </w:r>
      <w:r>
        <w:rPr>
          <w:rFonts w:hint="eastAsia" w:ascii="宋体" w:hAnsi="宋体" w:eastAsia="宋体" w:cs="宋体"/>
          <w:color w:val="auto"/>
          <w:sz w:val="21"/>
          <w:szCs w:val="21"/>
          <w:highlight w:val="none"/>
          <w:u w:val="single"/>
          <w:lang w:eastAsia="zh-CN"/>
        </w:rPr>
        <w:t>5</w:t>
      </w:r>
      <w:r>
        <w:rPr>
          <w:rFonts w:hint="eastAsia" w:ascii="宋体" w:hAnsi="宋体" w:eastAsia="宋体" w:cs="宋体"/>
          <w:color w:val="auto"/>
          <w:sz w:val="21"/>
          <w:szCs w:val="21"/>
          <w:highlight w:val="none"/>
          <w:u w:val="single"/>
        </w:rPr>
        <w:t>%的部分调整价差，未超出±</w:t>
      </w:r>
      <w:r>
        <w:rPr>
          <w:rFonts w:hint="eastAsia" w:ascii="宋体" w:hAnsi="宋体" w:eastAsia="宋体" w:cs="宋体"/>
          <w:color w:val="auto"/>
          <w:sz w:val="21"/>
          <w:szCs w:val="21"/>
          <w:highlight w:val="none"/>
          <w:u w:val="single"/>
          <w:lang w:eastAsia="zh-CN"/>
        </w:rPr>
        <w:t>5</w:t>
      </w:r>
      <w:r>
        <w:rPr>
          <w:rFonts w:hint="eastAsia" w:ascii="宋体" w:hAnsi="宋体" w:eastAsia="宋体" w:cs="宋体"/>
          <w:color w:val="auto"/>
          <w:sz w:val="21"/>
          <w:szCs w:val="21"/>
          <w:highlight w:val="none"/>
          <w:u w:val="single"/>
        </w:rPr>
        <w:t>%（含）时不作调整。</w:t>
      </w:r>
    </w:p>
    <w:p w14:paraId="6EAC545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第3种方式：其他价格调整方式：</w:t>
      </w:r>
    </w:p>
    <w:p w14:paraId="051FD49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678376EF">
      <w:pPr>
        <w:pStyle w:val="8"/>
        <w:pageBreakBefore w:val="0"/>
        <w:kinsoku/>
        <w:overflowPunct/>
        <w:bidi w:val="0"/>
        <w:spacing w:before="0" w:after="0" w:afterLines="0" w:line="360" w:lineRule="auto"/>
        <w:ind w:left="0" w:firstLine="0" w:firstLineChars="0"/>
        <w:textAlignment w:val="auto"/>
        <w:rPr>
          <w:rFonts w:hint="eastAsia" w:ascii="黑体" w:hAnsi="黑体" w:eastAsia="黑体" w:cs="黑体"/>
          <w:b w:val="0"/>
          <w:bCs w:val="0"/>
          <w:color w:val="auto"/>
          <w:kern w:val="2"/>
          <w:sz w:val="21"/>
          <w:szCs w:val="21"/>
          <w:highlight w:val="none"/>
        </w:rPr>
      </w:pPr>
      <w:r>
        <w:rPr>
          <w:rFonts w:hint="eastAsia" w:ascii="黑体" w:hAnsi="黑体" w:eastAsia="黑体" w:cs="黑体"/>
          <w:b w:val="0"/>
          <w:bCs w:val="0"/>
          <w:color w:val="auto"/>
          <w:kern w:val="2"/>
          <w:sz w:val="21"/>
          <w:szCs w:val="21"/>
          <w:highlight w:val="none"/>
        </w:rPr>
        <w:t>11.3工程量变化引起的调整</w:t>
      </w:r>
    </w:p>
    <w:p w14:paraId="53A2B24D">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（1）工程量变化引起的调整方法：据实结算。</w:t>
      </w:r>
    </w:p>
    <w:p w14:paraId="7B9A429A">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（2）因承包人原因造成工期延误而增加的工程费用不予调整。</w:t>
      </w:r>
    </w:p>
    <w:p w14:paraId="2ABCE027">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（3）发包人有权根据实际情况对某些工程进行取消或增加，如取消或增加，此部分费用相应减增减。</w:t>
      </w:r>
    </w:p>
    <w:p w14:paraId="57BC6B9E">
      <w:pPr>
        <w:pStyle w:val="8"/>
        <w:pageBreakBefore w:val="0"/>
        <w:kinsoku/>
        <w:overflowPunct/>
        <w:bidi w:val="0"/>
        <w:spacing w:before="0" w:after="0" w:afterLines="0" w:line="360" w:lineRule="auto"/>
        <w:ind w:left="0" w:firstLine="0" w:firstLineChars="0"/>
        <w:textAlignment w:val="auto"/>
        <w:rPr>
          <w:rFonts w:hint="eastAsia" w:ascii="黑体" w:hAnsi="黑体" w:eastAsia="黑体" w:cs="黑体"/>
          <w:b w:val="0"/>
          <w:bCs w:val="0"/>
          <w:color w:val="auto"/>
          <w:kern w:val="2"/>
          <w:sz w:val="21"/>
          <w:szCs w:val="21"/>
          <w:highlight w:val="none"/>
        </w:rPr>
      </w:pPr>
      <w:r>
        <w:rPr>
          <w:rFonts w:hint="eastAsia" w:ascii="黑体" w:hAnsi="黑体" w:eastAsia="黑体" w:cs="黑体"/>
          <w:b w:val="0"/>
          <w:bCs w:val="0"/>
          <w:color w:val="auto"/>
          <w:kern w:val="2"/>
          <w:sz w:val="21"/>
          <w:szCs w:val="21"/>
          <w:highlight w:val="none"/>
        </w:rPr>
        <w:t>11.4价格调整的其他约定</w:t>
      </w:r>
    </w:p>
    <w:p w14:paraId="27D706B8">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（1）本项目涉及计价方法：本项目采用工程量清单计价，计价依据为清单编制期间国家相关标准规范、海南省相关定额、文件及规定等。材料按施工期间《海南工程造价信息》中</w:t>
      </w:r>
      <w:r>
        <w:rPr>
          <w:rFonts w:hint="eastAsia" w:ascii="宋体" w:hAnsi="宋体" w:eastAsia="宋体" w:cs="宋体"/>
          <w:color w:val="auto"/>
          <w:kern w:val="2"/>
          <w:sz w:val="21"/>
          <w:szCs w:val="21"/>
          <w:highlight w:val="none"/>
          <w:u w:val="single"/>
          <w:lang w:eastAsia="zh-CN"/>
        </w:rPr>
        <w:t>三亚市</w:t>
      </w:r>
      <w:r>
        <w:rPr>
          <w:rFonts w:hint="eastAsia" w:ascii="宋体" w:hAnsi="宋体" w:eastAsia="宋体" w:cs="宋体"/>
          <w:color w:val="auto"/>
          <w:kern w:val="2"/>
          <w:sz w:val="21"/>
          <w:szCs w:val="21"/>
          <w:highlight w:val="none"/>
          <w:u w:val="single"/>
        </w:rPr>
        <w:t>价格执行，工程造价信息缺项的参照三亚市、海口市（按先后顺序）市场价。</w:t>
      </w:r>
    </w:p>
    <w:p w14:paraId="23CC8FF8">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（2）合同履行过程中任何涉及价格洽商、调整的过程均不得作为承包人停工或拖延工期的理由，承包人不得以价格未核定而停止或暂缓施工，否则承包人承担无故停工或工期拖延的一切违约责任。</w:t>
      </w:r>
    </w:p>
    <w:p w14:paraId="4383D56B">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（3）钢筋、水泥、砂、碎石、商品砼（不含装配式构件）的价格调整，待结算时再进行价差调整。</w:t>
      </w:r>
    </w:p>
    <w:bookmarkEnd w:id="518"/>
    <w:bookmarkEnd w:id="519"/>
    <w:bookmarkEnd w:id="520"/>
    <w:bookmarkEnd w:id="521"/>
    <w:bookmarkEnd w:id="522"/>
    <w:bookmarkEnd w:id="523"/>
    <w:bookmarkEnd w:id="524"/>
    <w:p w14:paraId="5F4C76BC">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525" w:name="_Toc29903"/>
      <w:bookmarkStart w:id="526" w:name="_Toc19332"/>
      <w:bookmarkStart w:id="527" w:name="_Toc3204"/>
      <w:bookmarkStart w:id="528" w:name="_Toc31012"/>
      <w:bookmarkStart w:id="529" w:name="_Toc6121"/>
      <w:r>
        <w:rPr>
          <w:rFonts w:hint="eastAsia" w:ascii="宋体" w:hAnsi="宋体" w:eastAsia="宋体" w:cs="宋体"/>
          <w:b w:val="0"/>
          <w:bCs w:val="0"/>
          <w:color w:val="auto"/>
          <w:kern w:val="2"/>
          <w:sz w:val="21"/>
          <w:szCs w:val="21"/>
          <w:highlight w:val="none"/>
          <w:lang w:val="en-US" w:eastAsia="zh-CN" w:bidi="ar-SA"/>
        </w:rPr>
        <w:t>12. 合同价格、计量与支付</w:t>
      </w:r>
      <w:bookmarkEnd w:id="525"/>
      <w:bookmarkEnd w:id="526"/>
      <w:bookmarkEnd w:id="527"/>
      <w:bookmarkEnd w:id="528"/>
      <w:bookmarkEnd w:id="529"/>
    </w:p>
    <w:p w14:paraId="7693A3CF">
      <w:pPr>
        <w:pStyle w:val="6"/>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bookmarkStart w:id="530" w:name="_Toc267251461"/>
      <w:bookmarkStart w:id="531" w:name="_Toc292559411"/>
      <w:bookmarkStart w:id="532" w:name="_Toc292559916"/>
      <w:bookmarkStart w:id="533" w:name="_Toc296944545"/>
      <w:bookmarkStart w:id="534" w:name="_Toc296347205"/>
      <w:bookmarkStart w:id="535" w:name="_Toc296346707"/>
      <w:bookmarkStart w:id="536" w:name="_Toc296891246"/>
      <w:bookmarkStart w:id="537" w:name="_Toc297048392"/>
      <w:bookmarkStart w:id="538" w:name="_Toc297120506"/>
      <w:bookmarkStart w:id="539" w:name="_Toc296503206"/>
      <w:bookmarkStart w:id="540" w:name="_Toc296891034"/>
      <w:bookmarkStart w:id="541" w:name="_Toc312678041"/>
      <w:bookmarkStart w:id="542" w:name="_Toc304295580"/>
      <w:bookmarkStart w:id="543" w:name="_Toc300935003"/>
      <w:bookmarkStart w:id="544" w:name="_Toc297123553"/>
      <w:bookmarkStart w:id="545" w:name="_Toc297216212"/>
      <w:bookmarkStart w:id="546" w:name="_Toc303539160"/>
      <w:r>
        <w:rPr>
          <w:rFonts w:hint="eastAsia" w:ascii="宋体" w:hAnsi="宋体" w:eastAsia="宋体" w:cs="宋体"/>
          <w:b w:val="0"/>
          <w:bCs w:val="0"/>
          <w:color w:val="auto"/>
          <w:kern w:val="2"/>
          <w:sz w:val="21"/>
          <w:szCs w:val="21"/>
          <w:highlight w:val="none"/>
          <w:lang w:val="en-US" w:eastAsia="zh-CN" w:bidi="ar-SA"/>
        </w:rPr>
        <w:t>12.1 合</w:t>
      </w:r>
      <w:bookmarkEnd w:id="530"/>
      <w:bookmarkEnd w:id="531"/>
      <w:bookmarkEnd w:id="532"/>
      <w:r>
        <w:rPr>
          <w:rFonts w:hint="eastAsia" w:ascii="宋体" w:hAnsi="宋体" w:eastAsia="宋体" w:cs="宋体"/>
          <w:b w:val="0"/>
          <w:bCs w:val="0"/>
          <w:color w:val="auto"/>
          <w:kern w:val="2"/>
          <w:sz w:val="21"/>
          <w:szCs w:val="21"/>
          <w:highlight w:val="none"/>
          <w:lang w:val="en-US" w:eastAsia="zh-CN" w:bidi="ar-SA"/>
        </w:rPr>
        <w:t>同价</w:t>
      </w:r>
      <w:bookmarkEnd w:id="533"/>
      <w:bookmarkEnd w:id="534"/>
      <w:bookmarkEnd w:id="535"/>
      <w:bookmarkEnd w:id="536"/>
      <w:bookmarkEnd w:id="537"/>
      <w:bookmarkEnd w:id="538"/>
      <w:bookmarkEnd w:id="539"/>
      <w:bookmarkEnd w:id="540"/>
      <w:r>
        <w:rPr>
          <w:rFonts w:hint="eastAsia" w:ascii="宋体" w:hAnsi="宋体" w:eastAsia="宋体" w:cs="宋体"/>
          <w:b w:val="0"/>
          <w:bCs w:val="0"/>
          <w:color w:val="auto"/>
          <w:kern w:val="2"/>
          <w:sz w:val="21"/>
          <w:szCs w:val="21"/>
          <w:highlight w:val="none"/>
          <w:lang w:val="en-US" w:eastAsia="zh-CN" w:bidi="ar-SA"/>
        </w:rPr>
        <w:t>格形式</w:t>
      </w:r>
    </w:p>
    <w:bookmarkEnd w:id="541"/>
    <w:bookmarkEnd w:id="542"/>
    <w:bookmarkEnd w:id="543"/>
    <w:bookmarkEnd w:id="544"/>
    <w:bookmarkEnd w:id="545"/>
    <w:bookmarkEnd w:id="546"/>
    <w:p w14:paraId="2E218EB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70201EB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5EC180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B626F3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AFB0E6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682352C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05938AE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3F2048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906715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89856D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47" w:name="_Toc29119"/>
      <w:bookmarkStart w:id="548" w:name="_Toc20992"/>
      <w:bookmarkStart w:id="549" w:name="_Toc300935004"/>
      <w:bookmarkStart w:id="550" w:name="_Toc297216213"/>
      <w:bookmarkStart w:id="551" w:name="_Toc312678042"/>
      <w:bookmarkStart w:id="552" w:name="_Toc297123554"/>
      <w:bookmarkStart w:id="553" w:name="_Toc303539161"/>
      <w:bookmarkStart w:id="554" w:name="_Toc304295581"/>
      <w:bookmarkStart w:id="555" w:name="_Toc296891247"/>
      <w:bookmarkStart w:id="556" w:name="_Toc296891035"/>
      <w:bookmarkStart w:id="557" w:name="_Toc296503207"/>
      <w:bookmarkStart w:id="558" w:name="_Toc297048393"/>
      <w:bookmarkStart w:id="559" w:name="_Toc292559412"/>
      <w:bookmarkStart w:id="560" w:name="_Toc296347206"/>
      <w:bookmarkStart w:id="561" w:name="_Toc296346708"/>
      <w:bookmarkStart w:id="562" w:name="_Toc292559917"/>
      <w:bookmarkStart w:id="563" w:name="_Toc296944546"/>
      <w:bookmarkStart w:id="564" w:name="_Toc297120507"/>
      <w:r>
        <w:rPr>
          <w:rFonts w:hint="eastAsia" w:ascii="宋体" w:hAnsi="宋体" w:eastAsia="宋体" w:cs="宋体"/>
          <w:bCs w:val="0"/>
          <w:color w:val="auto"/>
          <w:kern w:val="2"/>
          <w:sz w:val="21"/>
          <w:szCs w:val="21"/>
          <w:highlight w:val="none"/>
          <w:lang w:val="en-US" w:eastAsia="zh-CN" w:bidi="ar-SA"/>
        </w:rPr>
        <w:t>12.2 预付款</w:t>
      </w:r>
      <w:bookmarkEnd w:id="547"/>
      <w:bookmarkEnd w:id="548"/>
    </w:p>
    <w:bookmarkEnd w:id="549"/>
    <w:bookmarkEnd w:id="550"/>
    <w:bookmarkEnd w:id="551"/>
    <w:bookmarkEnd w:id="552"/>
    <w:bookmarkEnd w:id="553"/>
    <w:bookmarkEnd w:id="554"/>
    <w:p w14:paraId="063F2C1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 xml:space="preserve">12.2.1 </w:t>
      </w:r>
      <w:r>
        <w:rPr>
          <w:rFonts w:hint="eastAsia" w:ascii="宋体" w:hAnsi="宋体" w:eastAsia="宋体" w:cs="宋体"/>
          <w:color w:val="auto"/>
          <w:sz w:val="21"/>
          <w:szCs w:val="21"/>
        </w:rPr>
        <w:t>预付款支付</w:t>
      </w:r>
    </w:p>
    <w:p w14:paraId="7F120D4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预付款的金额或比例为：</w:t>
      </w:r>
      <w:r>
        <w:rPr>
          <w:rFonts w:hint="eastAsia" w:ascii="宋体" w:hAnsi="宋体" w:eastAsia="宋体" w:cs="宋体"/>
          <w:i w:val="0"/>
          <w:iCs w:val="0"/>
          <w:color w:val="auto"/>
          <w:sz w:val="21"/>
          <w:szCs w:val="21"/>
          <w:u w:val="single"/>
          <w:lang w:eastAsia="zh-CN"/>
        </w:rPr>
        <w:t>施工</w:t>
      </w:r>
      <w:r>
        <w:rPr>
          <w:rFonts w:hint="eastAsia" w:eastAsia="宋体" w:cs="宋体"/>
          <w:i w:val="0"/>
          <w:iCs w:val="0"/>
          <w:color w:val="auto"/>
          <w:sz w:val="21"/>
          <w:szCs w:val="21"/>
          <w:u w:val="single"/>
          <w:lang w:eastAsia="zh-CN"/>
        </w:rPr>
        <w:t>施工</w:t>
      </w:r>
      <w:r>
        <w:rPr>
          <w:rFonts w:hint="eastAsia" w:ascii="宋体" w:hAnsi="宋体" w:eastAsia="宋体" w:cs="宋体"/>
          <w:i w:val="0"/>
          <w:iCs w:val="0"/>
          <w:color w:val="auto"/>
          <w:sz w:val="21"/>
          <w:szCs w:val="21"/>
          <w:u w:val="single"/>
        </w:rPr>
        <w:t>签约合同价的</w:t>
      </w:r>
      <w:r>
        <w:rPr>
          <w:rFonts w:hint="eastAsia" w:eastAsia="宋体" w:cs="宋体"/>
          <w:i w:val="0"/>
          <w:iCs w:val="0"/>
          <w:color w:val="auto"/>
          <w:sz w:val="21"/>
          <w:szCs w:val="21"/>
          <w:u w:val="single"/>
          <w:lang w:val="en-US" w:eastAsia="zh-CN"/>
        </w:rPr>
        <w:t>1</w:t>
      </w:r>
      <w:r>
        <w:rPr>
          <w:rFonts w:hint="eastAsia" w:ascii="宋体" w:hAnsi="宋体" w:eastAsia="宋体" w:cs="宋体"/>
          <w:i w:val="0"/>
          <w:iCs w:val="0"/>
          <w:color w:val="auto"/>
          <w:sz w:val="21"/>
          <w:szCs w:val="21"/>
          <w:u w:val="single"/>
        </w:rPr>
        <w:t>0%</w:t>
      </w:r>
      <w:r>
        <w:rPr>
          <w:rFonts w:hint="eastAsia" w:ascii="宋体" w:hAnsi="宋体" w:eastAsia="宋体" w:cs="宋体"/>
          <w:color w:val="auto"/>
          <w:sz w:val="21"/>
          <w:szCs w:val="21"/>
        </w:rPr>
        <w:t>。</w:t>
      </w:r>
    </w:p>
    <w:p w14:paraId="6881761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C9E493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预付款扣回的方式：</w:t>
      </w:r>
      <w:r>
        <w:rPr>
          <w:rFonts w:hint="eastAsia" w:ascii="宋体" w:hAnsi="宋体" w:eastAsia="宋体" w:cs="宋体"/>
          <w:color w:val="auto"/>
          <w:sz w:val="21"/>
          <w:szCs w:val="21"/>
          <w:u w:val="single"/>
        </w:rPr>
        <w:t>在累计产值未达到签约合同价的30%之前不予扣回，在累计产值达到签约合同价30%之后，开始按工程进度以固定比例（即每完成签约合同价的1%，扣回预付款的</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%）的方式分期从月度计量工程量对应工程款中扣回。若超过合同工期还未扣完，发包人有权索偿剩余预付款。</w:t>
      </w:r>
    </w:p>
    <w:p w14:paraId="013FF73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因承包人原因导致本工程关键节点工期延误的，经发包人通知后仍未采取措施补救或整改后不符合发包人要求的，发包人有权一次性扣回已支付（或尚未抵扣部分）的预付款 。</w:t>
      </w:r>
    </w:p>
    <w:p w14:paraId="26B59CFC">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u w:val="single"/>
        </w:rPr>
      </w:pPr>
      <w:r>
        <w:rPr>
          <w:rFonts w:hint="eastAsia" w:cs="宋体"/>
          <w:color w:val="auto"/>
          <w:sz w:val="21"/>
          <w:szCs w:val="21"/>
          <w:highlight w:val="none"/>
          <w:u w:val="single"/>
        </w:rPr>
        <w:t>支付预付款的条件：1、合同签订并生效；2、提交履约担保；3、提交预付款保函；4、投标承诺的施工管理人员到位并组建项目部；5、签订《工程资金监管协议》；6、提交工期承诺；7、提交拟采购材料或设备品牌清单。</w:t>
      </w:r>
    </w:p>
    <w:p w14:paraId="6ED3E49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u w:val="single"/>
        </w:rPr>
        <w:t>承包人在申请本合同约定的相应工程预付款前，应向发包人提供经发包人认可的商业银行出具的见索即付、不可撤销的等额银行预付款保函，预付款担保的有效期应自保函开具之日起至预付款抵扣完毕之日止。</w:t>
      </w:r>
    </w:p>
    <w:p w14:paraId="6F7C026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56C3694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承包人提交预付款担保的期限：</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7CCA60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银行保函，该保函须为不可撤销、无条件、见索即付的银行保函，出具预付款保函的银行和预付款保函的内容须经发包人批准，而获得预付款保函的费用由</w:t>
      </w:r>
      <w:r>
        <w:rPr>
          <w:rFonts w:hint="eastAsia" w:eastAsia="宋体" w:cs="宋体"/>
          <w:color w:val="auto"/>
          <w:sz w:val="21"/>
          <w:szCs w:val="21"/>
          <w:highlight w:val="none"/>
          <w:u w:val="single"/>
          <w:lang w:eastAsia="zh-CN"/>
        </w:rPr>
        <w:t>施工</w:t>
      </w:r>
      <w:r>
        <w:rPr>
          <w:rFonts w:hint="eastAsia" w:ascii="宋体" w:hAnsi="宋体" w:eastAsia="宋体" w:cs="宋体"/>
          <w:color w:val="auto"/>
          <w:sz w:val="21"/>
          <w:szCs w:val="21"/>
          <w:highlight w:val="none"/>
          <w:u w:val="single"/>
        </w:rPr>
        <w:t xml:space="preserve">商或联合体牵头单位负责。预付款担保的有效期应当自保函开具之日起至预付款抵扣完毕之日止。   </w:t>
      </w:r>
      <w:r>
        <w:rPr>
          <w:rFonts w:hint="eastAsia" w:ascii="宋体" w:hAnsi="宋体" w:eastAsia="宋体" w:cs="宋体"/>
          <w:color w:val="auto"/>
          <w:sz w:val="21"/>
          <w:szCs w:val="21"/>
          <w:highlight w:val="none"/>
        </w:rPr>
        <w:t>。</w:t>
      </w:r>
    </w:p>
    <w:bookmarkEnd w:id="555"/>
    <w:bookmarkEnd w:id="556"/>
    <w:bookmarkEnd w:id="557"/>
    <w:bookmarkEnd w:id="558"/>
    <w:bookmarkEnd w:id="559"/>
    <w:bookmarkEnd w:id="560"/>
    <w:bookmarkEnd w:id="561"/>
    <w:bookmarkEnd w:id="562"/>
    <w:bookmarkEnd w:id="563"/>
    <w:bookmarkEnd w:id="564"/>
    <w:p w14:paraId="2FE0217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65" w:name="_Toc925"/>
      <w:bookmarkStart w:id="566" w:name="_Toc26701"/>
      <w:r>
        <w:rPr>
          <w:rFonts w:hint="eastAsia" w:ascii="宋体" w:hAnsi="宋体" w:eastAsia="宋体" w:cs="宋体"/>
          <w:bCs w:val="0"/>
          <w:color w:val="auto"/>
          <w:kern w:val="2"/>
          <w:sz w:val="21"/>
          <w:szCs w:val="21"/>
          <w:highlight w:val="none"/>
          <w:lang w:val="en-US" w:eastAsia="zh-CN" w:bidi="ar-SA"/>
        </w:rPr>
        <w:t>12.3 计量</w:t>
      </w:r>
      <w:bookmarkEnd w:id="565"/>
      <w:bookmarkEnd w:id="566"/>
    </w:p>
    <w:p w14:paraId="1B13057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04733CB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 xml:space="preserve">   现行国家标准《建设工程工程量清单计价规范》    </w:t>
      </w:r>
      <w:r>
        <w:rPr>
          <w:rFonts w:hint="eastAsia" w:ascii="宋体" w:hAnsi="宋体" w:eastAsia="宋体" w:cs="宋体"/>
          <w:color w:val="auto"/>
          <w:sz w:val="21"/>
          <w:szCs w:val="21"/>
          <w:highlight w:val="none"/>
        </w:rPr>
        <w:t>。</w:t>
      </w:r>
    </w:p>
    <w:p w14:paraId="2A79AC6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5BEA5FD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按月度计量   </w:t>
      </w:r>
      <w:r>
        <w:rPr>
          <w:rFonts w:hint="eastAsia" w:ascii="宋体" w:hAnsi="宋体" w:eastAsia="宋体" w:cs="宋体"/>
          <w:color w:val="auto"/>
          <w:sz w:val="21"/>
          <w:szCs w:val="21"/>
          <w:highlight w:val="none"/>
        </w:rPr>
        <w:t>。</w:t>
      </w:r>
    </w:p>
    <w:p w14:paraId="548B127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2C96D4C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u w:val="single"/>
        </w:rPr>
        <w:t xml:space="preserve">   按月度计量   </w:t>
      </w:r>
      <w:r>
        <w:rPr>
          <w:rFonts w:hint="eastAsia" w:ascii="宋体" w:hAnsi="宋体" w:eastAsia="宋体" w:cs="宋体"/>
          <w:color w:val="auto"/>
          <w:sz w:val="21"/>
          <w:szCs w:val="21"/>
          <w:highlight w:val="none"/>
        </w:rPr>
        <w:t>。</w:t>
      </w:r>
    </w:p>
    <w:p w14:paraId="70521CE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65AE337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C508BE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w:t>
      </w:r>
      <w:r>
        <w:rPr>
          <w:rFonts w:hint="eastAsia" w:ascii="宋体" w:hAnsi="宋体" w:eastAsia="宋体" w:cs="宋体"/>
          <w:color w:val="auto"/>
          <w:kern w:val="0"/>
          <w:sz w:val="21"/>
          <w:szCs w:val="21"/>
          <w:highlight w:val="none"/>
        </w:rPr>
        <w:t xml:space="preserve">12.3.4 </w:t>
      </w:r>
      <w:r>
        <w:rPr>
          <w:rFonts w:hint="eastAsia" w:ascii="宋体" w:hAnsi="宋体" w:eastAsia="宋体" w:cs="宋体"/>
          <w:color w:val="auto"/>
          <w:sz w:val="21"/>
          <w:szCs w:val="21"/>
          <w:highlight w:val="none"/>
        </w:rPr>
        <w:t>项</w:t>
      </w:r>
      <w:r>
        <w:rPr>
          <w:rFonts w:hint="eastAsia" w:ascii="宋体" w:hAnsi="宋体" w:eastAsia="宋体" w:cs="宋体"/>
          <w:color w:val="auto"/>
          <w:kern w:val="0"/>
          <w:sz w:val="21"/>
          <w:szCs w:val="21"/>
          <w:highlight w:val="none"/>
        </w:rPr>
        <w:t>〔总价合同的计量〕</w:t>
      </w:r>
      <w:r>
        <w:rPr>
          <w:rFonts w:hint="eastAsia" w:ascii="宋体" w:hAnsi="宋体" w:eastAsia="宋体" w:cs="宋体"/>
          <w:color w:val="auto"/>
          <w:sz w:val="21"/>
          <w:szCs w:val="21"/>
          <w:highlight w:val="none"/>
        </w:rPr>
        <w:t>约定进行计量：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D5D4B8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714B127C">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FF0B87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67" w:name="_Toc21809"/>
      <w:bookmarkStart w:id="568" w:name="_Toc19946"/>
      <w:r>
        <w:rPr>
          <w:rFonts w:hint="eastAsia" w:ascii="宋体" w:hAnsi="宋体" w:eastAsia="宋体" w:cs="宋体"/>
          <w:bCs w:val="0"/>
          <w:color w:val="auto"/>
          <w:kern w:val="2"/>
          <w:sz w:val="21"/>
          <w:szCs w:val="21"/>
          <w:highlight w:val="none"/>
          <w:lang w:val="en-US" w:eastAsia="zh-CN" w:bidi="ar-SA"/>
        </w:rPr>
        <w:t>12.4 工程进度款支付</w:t>
      </w:r>
      <w:bookmarkEnd w:id="567"/>
      <w:bookmarkEnd w:id="568"/>
    </w:p>
    <w:p w14:paraId="2F64D57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bookmarkStart w:id="569" w:name="_Toc296347210"/>
      <w:bookmarkStart w:id="570" w:name="_Toc296503211"/>
      <w:bookmarkStart w:id="571" w:name="_Toc292559921"/>
      <w:bookmarkStart w:id="572" w:name="_Toc296346712"/>
      <w:bookmarkStart w:id="573" w:name="_Toc296891039"/>
      <w:bookmarkStart w:id="574" w:name="_Toc296891251"/>
      <w:bookmarkStart w:id="575" w:name="_Toc296944550"/>
      <w:bookmarkStart w:id="576" w:name="_Toc297120511"/>
      <w:bookmarkStart w:id="577" w:name="_Toc297048397"/>
      <w:bookmarkStart w:id="578" w:name="_Toc300935006"/>
      <w:bookmarkStart w:id="579" w:name="_Toc297216215"/>
      <w:bookmarkStart w:id="580" w:name="_Toc292559416"/>
      <w:bookmarkStart w:id="581" w:name="_Toc303539163"/>
      <w:bookmarkStart w:id="582" w:name="_Toc297123556"/>
      <w:r>
        <w:rPr>
          <w:rFonts w:hint="eastAsia" w:ascii="宋体" w:hAnsi="宋体" w:eastAsia="宋体" w:cs="宋体"/>
          <w:color w:val="auto"/>
          <w:sz w:val="21"/>
          <w:szCs w:val="21"/>
          <w:highlight w:val="none"/>
        </w:rPr>
        <w:t>12.4.1 付款周期</w:t>
      </w:r>
    </w:p>
    <w:p w14:paraId="27595DE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r>
        <w:rPr>
          <w:rFonts w:hint="eastAsia" w:ascii="宋体" w:hAnsi="宋体" w:eastAsia="宋体" w:cs="宋体"/>
          <w:color w:val="auto"/>
          <w:sz w:val="21"/>
          <w:szCs w:val="21"/>
          <w:highlight w:val="none"/>
          <w:u w:val="single"/>
        </w:rPr>
        <w:t xml:space="preserve">  按月度付款   </w:t>
      </w:r>
      <w:r>
        <w:rPr>
          <w:rFonts w:hint="eastAsia" w:ascii="宋体" w:hAnsi="宋体" w:eastAsia="宋体" w:cs="宋体"/>
          <w:color w:val="auto"/>
          <w:sz w:val="21"/>
          <w:szCs w:val="21"/>
          <w:highlight w:val="none"/>
        </w:rPr>
        <w:t>。</w:t>
      </w:r>
    </w:p>
    <w:p w14:paraId="6C29E77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4DDDB16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关于进度付款申请单编制的约定：</w:t>
      </w:r>
    </w:p>
    <w:p w14:paraId="0D1EBC08">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（1）工程进度款按月支付，每月进度款额度为该月完成计量产值的80%，累计支付至合同签约价的80%时停止支付；</w:t>
      </w:r>
    </w:p>
    <w:p w14:paraId="4328945B">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（2）在工程完成竣工验收后，支付至合同签约价的85%；</w:t>
      </w:r>
    </w:p>
    <w:p w14:paraId="7A617CF8">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（3）工程竣工验收合格并结算审核完成后，支付至结算审定金额的97%；</w:t>
      </w:r>
    </w:p>
    <w:p w14:paraId="5D320DF0">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（4）结算审定金额的3%作为保留工程质量保证金，在工程缺陷责任期满后，承包人提出付款申请，发包人根据工程缺陷责任期的工程质量保修情况无息支付剩余金额。</w:t>
      </w:r>
    </w:p>
    <w:p w14:paraId="157503B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Pr>
          <w:rFonts w:hint="eastAsia" w:ascii="宋体" w:hAnsi="宋体" w:eastAsia="宋体" w:cs="宋体"/>
          <w:color w:val="auto"/>
          <w:sz w:val="21"/>
          <w:szCs w:val="21"/>
          <w:highlight w:val="none"/>
        </w:rPr>
        <w:t>2.4.3 进度付款申请单的提交</w:t>
      </w:r>
    </w:p>
    <w:p w14:paraId="749A13B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52F7764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7FA6A37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1B7DEC1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727C8C5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收到承包人付款申请后7天内  </w:t>
      </w:r>
      <w:r>
        <w:rPr>
          <w:rFonts w:hint="eastAsia" w:ascii="宋体" w:hAnsi="宋体" w:eastAsia="宋体" w:cs="宋体"/>
          <w:color w:val="auto"/>
          <w:sz w:val="21"/>
          <w:szCs w:val="21"/>
          <w:highlight w:val="none"/>
        </w:rPr>
        <w:t>。</w:t>
      </w:r>
    </w:p>
    <w:p w14:paraId="7C9A73C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收到后7天内  </w:t>
      </w:r>
      <w:r>
        <w:rPr>
          <w:rFonts w:hint="eastAsia" w:ascii="宋体" w:hAnsi="宋体" w:eastAsia="宋体" w:cs="宋体"/>
          <w:color w:val="auto"/>
          <w:sz w:val="21"/>
          <w:szCs w:val="21"/>
          <w:highlight w:val="none"/>
        </w:rPr>
        <w:t>。</w:t>
      </w:r>
    </w:p>
    <w:p w14:paraId="225E8B2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在进度款支付证书签发后21天内  </w:t>
      </w:r>
      <w:r>
        <w:rPr>
          <w:rFonts w:hint="eastAsia" w:ascii="宋体" w:hAnsi="宋体" w:eastAsia="宋体" w:cs="宋体"/>
          <w:color w:val="auto"/>
          <w:sz w:val="21"/>
          <w:szCs w:val="21"/>
          <w:highlight w:val="none"/>
        </w:rPr>
        <w:t>。</w:t>
      </w:r>
    </w:p>
    <w:p w14:paraId="798E453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按照中国人民银行发布的同期同类贷款基准利率支付违约金  </w:t>
      </w:r>
      <w:r>
        <w:rPr>
          <w:rFonts w:hint="eastAsia" w:ascii="宋体" w:hAnsi="宋体" w:eastAsia="宋体" w:cs="宋体"/>
          <w:color w:val="auto"/>
          <w:sz w:val="21"/>
          <w:szCs w:val="21"/>
          <w:highlight w:val="none"/>
        </w:rPr>
        <w:t>。</w:t>
      </w:r>
    </w:p>
    <w:p w14:paraId="614DABFA">
      <w:pPr>
        <w:pageBreakBefore w:val="0"/>
        <w:kinsoku/>
        <w:wordWrap/>
        <w:overflowPunct/>
        <w:topLinePunct w:val="0"/>
        <w:bidi w:val="0"/>
        <w:snapToGrid/>
        <w:spacing w:after="0" w:afterLines="0" w:line="360" w:lineRule="auto"/>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支付分解表的编制</w:t>
      </w:r>
    </w:p>
    <w:p w14:paraId="363191E8">
      <w:pPr>
        <w:pageBreakBefore w:val="0"/>
        <w:kinsoku/>
        <w:wordWrap/>
        <w:overflowPunct/>
        <w:topLinePunct w:val="0"/>
        <w:bidi w:val="0"/>
        <w:snapToGrid/>
        <w:spacing w:after="0" w:afterLines="0" w:line="360" w:lineRule="auto"/>
        <w:ind w:left="4260" w:leftChars="200" w:hanging="3780" w:hangingChars="18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1、总价合同支付分解表的编制与审批：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504ED6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2、单价合同的总价项目支付分解表的编制与审批：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4D12A122">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583" w:name="_Toc351203645"/>
      <w:bookmarkStart w:id="584" w:name="_Toc7134"/>
      <w:bookmarkStart w:id="585" w:name="_Toc21357"/>
      <w:bookmarkStart w:id="586" w:name="_Toc24968"/>
      <w:bookmarkStart w:id="587" w:name="_Toc23944"/>
      <w:bookmarkStart w:id="588" w:name="_Toc16764"/>
      <w:bookmarkStart w:id="589" w:name="_Toc292559929"/>
      <w:bookmarkStart w:id="590" w:name="_Toc297048405"/>
      <w:bookmarkStart w:id="591" w:name="_Toc296891259"/>
      <w:bookmarkStart w:id="592" w:name="_Toc296346720"/>
      <w:bookmarkStart w:id="593" w:name="_Toc297120519"/>
      <w:bookmarkStart w:id="594" w:name="_Toc297123564"/>
      <w:bookmarkStart w:id="595" w:name="_Toc296503219"/>
      <w:bookmarkStart w:id="596" w:name="_Toc303539172"/>
      <w:bookmarkStart w:id="597" w:name="_Toc292559424"/>
      <w:bookmarkStart w:id="598" w:name="_Toc296347218"/>
      <w:bookmarkStart w:id="599" w:name="_Toc300935015"/>
      <w:bookmarkStart w:id="600" w:name="_Toc312678053"/>
      <w:bookmarkStart w:id="601" w:name="_Toc304295593"/>
      <w:bookmarkStart w:id="602" w:name="_Toc296944558"/>
      <w:bookmarkStart w:id="603" w:name="_Toc297216223"/>
      <w:bookmarkStart w:id="604" w:name="_Toc296891047"/>
      <w:r>
        <w:rPr>
          <w:rFonts w:hint="eastAsia" w:ascii="宋体" w:hAnsi="宋体" w:eastAsia="宋体" w:cs="宋体"/>
          <w:b w:val="0"/>
          <w:bCs w:val="0"/>
          <w:color w:val="auto"/>
          <w:kern w:val="2"/>
          <w:sz w:val="21"/>
          <w:szCs w:val="21"/>
          <w:highlight w:val="none"/>
          <w:lang w:val="en-US" w:eastAsia="zh-CN" w:bidi="ar-SA"/>
        </w:rPr>
        <w:t>13. 验收和工程试车</w:t>
      </w:r>
      <w:bookmarkEnd w:id="583"/>
      <w:bookmarkEnd w:id="584"/>
      <w:bookmarkEnd w:id="585"/>
      <w:bookmarkEnd w:id="586"/>
      <w:bookmarkEnd w:id="587"/>
      <w:bookmarkEnd w:id="588"/>
    </w:p>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14:paraId="1DC71EAC">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13.1 分部分项工程验收</w:t>
      </w:r>
    </w:p>
    <w:p w14:paraId="7F6B238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监理人不能按时进行验收时，应提前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002F645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w:t>
      </w:r>
    </w:p>
    <w:p w14:paraId="7D4A4C47">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bookmarkStart w:id="605" w:name="_Toc296347222"/>
      <w:bookmarkStart w:id="606" w:name="_Toc296891051"/>
      <w:bookmarkStart w:id="607" w:name="_Toc297048409"/>
      <w:bookmarkStart w:id="608" w:name="_Toc297123565"/>
      <w:bookmarkStart w:id="609" w:name="_Toc292559933"/>
      <w:bookmarkStart w:id="610" w:name="_Toc296944562"/>
      <w:bookmarkStart w:id="611" w:name="_Toc304295596"/>
      <w:bookmarkStart w:id="612" w:name="_Toc300935016"/>
      <w:bookmarkStart w:id="613" w:name="_Toc297216224"/>
      <w:bookmarkStart w:id="614" w:name="_Toc297120523"/>
      <w:bookmarkStart w:id="615" w:name="_Toc303539173"/>
      <w:bookmarkStart w:id="616" w:name="_Toc296346724"/>
      <w:bookmarkStart w:id="617" w:name="_Toc292559428"/>
      <w:bookmarkStart w:id="618" w:name="_Toc296891263"/>
      <w:bookmarkStart w:id="619" w:name="_Toc312678056"/>
      <w:bookmarkStart w:id="620" w:name="_Toc296503223"/>
      <w:bookmarkStart w:id="621" w:name="_Toc267251472"/>
      <w:bookmarkStart w:id="622" w:name="_Toc267251475"/>
      <w:bookmarkStart w:id="623" w:name="_Toc267251473"/>
      <w:bookmarkStart w:id="624" w:name="_Toc267251476"/>
      <w:bookmarkStart w:id="625" w:name="_Toc267251470"/>
      <w:bookmarkStart w:id="626" w:name="_Toc267251474"/>
      <w:bookmarkStart w:id="627" w:name="_Toc267251471"/>
      <w:r>
        <w:rPr>
          <w:rFonts w:hint="eastAsia" w:ascii="宋体" w:hAnsi="宋体" w:eastAsia="宋体" w:cs="宋体"/>
          <w:b w:val="0"/>
          <w:bCs w:val="0"/>
          <w:color w:val="auto"/>
          <w:kern w:val="2"/>
          <w:sz w:val="21"/>
          <w:szCs w:val="21"/>
          <w:highlight w:val="none"/>
          <w:lang w:val="en-US" w:eastAsia="zh-CN" w:bidi="ar-SA"/>
        </w:rPr>
        <w:t>13.2 竣工验收</w:t>
      </w:r>
    </w:p>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14:paraId="22C4C14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bookmarkStart w:id="628" w:name="_Toc280868704"/>
      <w:bookmarkStart w:id="629" w:name="_Toc280868705"/>
      <w:bookmarkStart w:id="630" w:name="_Toc280868706"/>
      <w:bookmarkStart w:id="631" w:name="_Toc280868707"/>
      <w:bookmarkStart w:id="632" w:name="_Toc280868708"/>
      <w:bookmarkStart w:id="633" w:name="_Toc280868709"/>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竣工验收程序</w:t>
      </w:r>
    </w:p>
    <w:bookmarkEnd w:id="628"/>
    <w:p w14:paraId="742A5B98">
      <w:pPr>
        <w:pageBreakBefore w:val="0"/>
        <w:kinsoku/>
        <w:wordWrap/>
        <w:overflowPunct/>
        <w:topLinePunct w:val="0"/>
        <w:bidi w:val="0"/>
        <w:snapToGrid/>
        <w:spacing w:after="0" w:afterLines="0" w:line="360" w:lineRule="auto"/>
        <w:ind w:left="4248" w:leftChars="195" w:hanging="3780" w:hangingChars="18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关于竣工验收程序的约定：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699D8C0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bookmarkEnd w:id="629"/>
    <w:p w14:paraId="7B7FFB9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移交、接收全部与部分工程</w:t>
      </w:r>
    </w:p>
    <w:bookmarkEnd w:id="630"/>
    <w:p w14:paraId="319E57B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承包人向发包人移交工程的期限：</w:t>
      </w:r>
      <w:r>
        <w:rPr>
          <w:rFonts w:hint="eastAsia" w:ascii="宋体" w:hAnsi="宋体" w:eastAsia="宋体" w:cs="宋体"/>
          <w:color w:val="auto"/>
          <w:sz w:val="21"/>
          <w:szCs w:val="21"/>
          <w:highlight w:val="none"/>
          <w:u w:val="single"/>
        </w:rPr>
        <w:t xml:space="preserve">  按合同通用条款  </w:t>
      </w:r>
      <w:r>
        <w:rPr>
          <w:rFonts w:hint="eastAsia" w:ascii="宋体" w:hAnsi="宋体" w:eastAsia="宋体" w:cs="宋体"/>
          <w:color w:val="auto"/>
          <w:sz w:val="21"/>
          <w:szCs w:val="21"/>
          <w:highlight w:val="none"/>
        </w:rPr>
        <w:t>。</w:t>
      </w:r>
    </w:p>
    <w:p w14:paraId="131E001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 xml:space="preserve">  逾期14天后，从第15天开始计算逾期时间，每逾期一天，应以签约合同价为基数，按照中国人民银行发布的同期同类贷款基准利率支付违约金</w:t>
      </w:r>
      <w:r>
        <w:rPr>
          <w:rFonts w:hint="eastAsia" w:ascii="宋体" w:hAnsi="宋体" w:eastAsia="宋体" w:cs="宋体"/>
          <w:color w:val="auto"/>
          <w:sz w:val="21"/>
          <w:szCs w:val="21"/>
          <w:highlight w:val="none"/>
        </w:rPr>
        <w:t>。</w:t>
      </w:r>
    </w:p>
    <w:bookmarkEnd w:id="631"/>
    <w:p w14:paraId="12721483">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kern w:val="2"/>
          <w:sz w:val="21"/>
          <w:szCs w:val="21"/>
          <w:highlight w:val="none"/>
          <w:u w:val="single"/>
          <w:lang w:val="en-US" w:eastAsia="zh-CN" w:bidi="ar"/>
        </w:rPr>
        <w:t xml:space="preserve">每延误一天承包人向发包人支付签约合同价万分之一的违约金     </w:t>
      </w:r>
      <w:r>
        <w:rPr>
          <w:rFonts w:hint="eastAsia" w:ascii="宋体" w:hAnsi="宋体" w:eastAsia="宋体" w:cs="宋体"/>
          <w:color w:val="auto"/>
          <w:kern w:val="2"/>
          <w:sz w:val="21"/>
          <w:szCs w:val="21"/>
          <w:highlight w:val="none"/>
          <w:lang w:val="en-US" w:eastAsia="zh-CN" w:bidi="ar"/>
        </w:rPr>
        <w:t>。</w:t>
      </w:r>
    </w:p>
    <w:p w14:paraId="0352B2F3">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13.3 工程试车</w:t>
      </w:r>
    </w:p>
    <w:bookmarkEnd w:id="632"/>
    <w:p w14:paraId="55CC4F2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 试车程序</w:t>
      </w:r>
    </w:p>
    <w:p w14:paraId="1B5C317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工程试车内容：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23153F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（1）单机无负荷试车费用由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42B9268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（2）无负荷联动试车费用由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5AD3B00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 xml:space="preserve"> 投料试车</w:t>
      </w:r>
    </w:p>
    <w:p w14:paraId="5CAACD8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关于投料试车相关事项的约定：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
        </w:rPr>
        <w:t>费用由承包人承担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82440F4">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13.4 竣工退场</w:t>
      </w:r>
    </w:p>
    <w:p w14:paraId="22D6906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13.4.1 竣工退场</w:t>
      </w:r>
    </w:p>
    <w:p w14:paraId="52790FB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承包人完成竣工退场的期限：</w:t>
      </w:r>
      <w:r>
        <w:rPr>
          <w:rFonts w:hint="eastAsia" w:ascii="宋体" w:hAnsi="宋体" w:eastAsia="宋体" w:cs="宋体"/>
          <w:color w:val="auto"/>
          <w:sz w:val="21"/>
          <w:szCs w:val="21"/>
          <w:highlight w:val="none"/>
          <w:u w:val="single"/>
        </w:rPr>
        <w:t xml:space="preserve">   颁发工程接收证书后10天内   </w:t>
      </w:r>
      <w:r>
        <w:rPr>
          <w:rFonts w:hint="eastAsia" w:ascii="宋体" w:hAnsi="宋体" w:eastAsia="宋体" w:cs="宋体"/>
          <w:color w:val="auto"/>
          <w:kern w:val="0"/>
          <w:sz w:val="21"/>
          <w:szCs w:val="21"/>
          <w:highlight w:val="none"/>
        </w:rPr>
        <w:t>。</w:t>
      </w:r>
    </w:p>
    <w:p w14:paraId="7A6069DA">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34" w:name="_Toc11820"/>
      <w:bookmarkStart w:id="635" w:name="_Toc24395"/>
      <w:bookmarkStart w:id="636" w:name="_Toc15663"/>
      <w:bookmarkStart w:id="637" w:name="_Toc14104"/>
      <w:bookmarkStart w:id="638" w:name="_Toc351203646"/>
      <w:bookmarkStart w:id="639" w:name="_Toc27550"/>
      <w:r>
        <w:rPr>
          <w:rFonts w:hint="eastAsia" w:ascii="宋体" w:hAnsi="宋体" w:eastAsia="宋体" w:cs="宋体"/>
          <w:b w:val="0"/>
          <w:bCs w:val="0"/>
          <w:color w:val="auto"/>
          <w:kern w:val="2"/>
          <w:sz w:val="21"/>
          <w:szCs w:val="21"/>
          <w:highlight w:val="none"/>
          <w:lang w:val="en-US" w:eastAsia="zh-CN" w:bidi="ar-SA"/>
        </w:rPr>
        <w:t>14. 竣工结算</w:t>
      </w:r>
      <w:bookmarkEnd w:id="634"/>
      <w:bookmarkEnd w:id="635"/>
      <w:bookmarkEnd w:id="636"/>
      <w:bookmarkEnd w:id="637"/>
      <w:bookmarkEnd w:id="638"/>
      <w:bookmarkEnd w:id="639"/>
    </w:p>
    <w:p w14:paraId="3EBDE4F6">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14.1 竣工结算申请</w:t>
      </w:r>
    </w:p>
    <w:p w14:paraId="28BB47F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承包人提交竣工结算申请单的期限：</w:t>
      </w:r>
      <w:r>
        <w:rPr>
          <w:rFonts w:hint="eastAsia" w:ascii="宋体" w:hAnsi="宋体" w:eastAsia="宋体" w:cs="宋体"/>
          <w:color w:val="auto"/>
          <w:sz w:val="21"/>
          <w:szCs w:val="21"/>
          <w:highlight w:val="none"/>
          <w:u w:val="single"/>
        </w:rPr>
        <w:t xml:space="preserve">  工程竣工验收合格后28天内  </w:t>
      </w:r>
      <w:r>
        <w:rPr>
          <w:rFonts w:hint="eastAsia" w:ascii="宋体" w:hAnsi="宋体" w:eastAsia="宋体" w:cs="宋体"/>
          <w:color w:val="auto"/>
          <w:sz w:val="21"/>
          <w:szCs w:val="21"/>
          <w:highlight w:val="none"/>
        </w:rPr>
        <w:t>。</w:t>
      </w:r>
    </w:p>
    <w:p w14:paraId="6749920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竣工结算申请单应包括的内容：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
        </w:rPr>
        <w:t>按发包人要求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6C0AE0">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竣工结算申请单的份数：</w:t>
      </w:r>
      <w:r>
        <w:rPr>
          <w:rFonts w:hint="eastAsia" w:ascii="宋体" w:hAnsi="宋体" w:eastAsia="宋体" w:cs="宋体"/>
          <w:color w:val="auto"/>
          <w:kern w:val="2"/>
          <w:sz w:val="21"/>
          <w:szCs w:val="21"/>
          <w:highlight w:val="none"/>
          <w:u w:val="single"/>
          <w:lang w:val="en-US" w:eastAsia="zh-CN" w:bidi="ar"/>
        </w:rPr>
        <w:t>一式陆份</w:t>
      </w:r>
      <w:r>
        <w:rPr>
          <w:rFonts w:hint="eastAsia" w:ascii="宋体" w:hAnsi="宋体" w:eastAsia="宋体" w:cs="宋体"/>
          <w:color w:val="auto"/>
          <w:kern w:val="2"/>
          <w:sz w:val="21"/>
          <w:szCs w:val="21"/>
          <w:highlight w:val="none"/>
          <w:lang w:val="en-US" w:eastAsia="zh-CN" w:bidi="ar"/>
        </w:rPr>
        <w:t>。</w:t>
      </w:r>
    </w:p>
    <w:p w14:paraId="74AB9B43">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14.2 竣工结算审核</w:t>
      </w:r>
    </w:p>
    <w:p w14:paraId="6403A15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u w:val="single"/>
        </w:rPr>
        <w:t xml:space="preserve">  在收到竣工结算申请单</w:t>
      </w:r>
      <w:r>
        <w:rPr>
          <w:rFonts w:hint="eastAsia" w:ascii="宋体" w:hAnsi="宋体" w:eastAsia="宋体" w:cs="宋体"/>
          <w:color w:val="auto"/>
          <w:sz w:val="21"/>
          <w:szCs w:val="21"/>
          <w:highlight w:val="none"/>
          <w:u w:val="single"/>
          <w:lang w:val="en-US" w:eastAsia="zh-CN"/>
        </w:rPr>
        <w:t>及完备的竣工结算资料</w:t>
      </w:r>
      <w:r>
        <w:rPr>
          <w:rFonts w:hint="eastAsia" w:ascii="宋体" w:hAnsi="宋体" w:eastAsia="宋体" w:cs="宋体"/>
          <w:color w:val="auto"/>
          <w:sz w:val="21"/>
          <w:szCs w:val="21"/>
          <w:highlight w:val="none"/>
          <w:u w:val="single"/>
        </w:rPr>
        <w:t xml:space="preserve">后90天内  </w:t>
      </w:r>
      <w:r>
        <w:rPr>
          <w:rFonts w:hint="eastAsia" w:ascii="宋体" w:hAnsi="宋体" w:eastAsia="宋体" w:cs="宋体"/>
          <w:color w:val="auto"/>
          <w:sz w:val="21"/>
          <w:szCs w:val="21"/>
          <w:highlight w:val="none"/>
        </w:rPr>
        <w:t>。</w:t>
      </w:r>
    </w:p>
    <w:p w14:paraId="72E7E8C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rPr>
        <w:t xml:space="preserve">  发包人应在签发竣工付款证书后21天内  </w:t>
      </w:r>
      <w:r>
        <w:rPr>
          <w:rFonts w:hint="eastAsia" w:ascii="宋体" w:hAnsi="宋体" w:eastAsia="宋体" w:cs="宋体"/>
          <w:color w:val="auto"/>
          <w:sz w:val="21"/>
          <w:szCs w:val="21"/>
          <w:highlight w:val="none"/>
        </w:rPr>
        <w:t>。</w:t>
      </w:r>
    </w:p>
    <w:p w14:paraId="7FB3A0E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26930CC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（4）竣工结算审减约定：</w:t>
      </w:r>
    </w:p>
    <w:p w14:paraId="567DC4C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如实提报竣工结算款，如承包人提报的竣工结算款超出审计单位（或审核的造价咨询单位）审定值的5%（不含），承包人须按超出部分的5%支付违约金，由发包人直接从审定的竣工结算款中直接扣除。具体公式如下：</w:t>
      </w:r>
    </w:p>
    <w:p w14:paraId="2774439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违约金＝[承包人提报的竣工结算款－(1＋5%)×审定值]×5%</w:t>
      </w:r>
    </w:p>
    <w:p w14:paraId="2C11F1B6">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14.4 最终结清</w:t>
      </w:r>
    </w:p>
    <w:p w14:paraId="2F8453A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.1 最终结清申请单</w:t>
      </w:r>
    </w:p>
    <w:p w14:paraId="2BFE0FC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承包人提交最终结清申请单的份数：</w:t>
      </w:r>
      <w:r>
        <w:rPr>
          <w:rFonts w:hint="eastAsia" w:ascii="宋体" w:hAnsi="宋体" w:eastAsia="宋体" w:cs="宋体"/>
          <w:color w:val="auto"/>
          <w:kern w:val="2"/>
          <w:sz w:val="21"/>
          <w:szCs w:val="21"/>
          <w:highlight w:val="none"/>
          <w:u w:val="single"/>
          <w:lang w:val="en-US" w:eastAsia="zh-CN" w:bidi="ar"/>
        </w:rPr>
        <w:t>一式陆份</w:t>
      </w:r>
      <w:r>
        <w:rPr>
          <w:rFonts w:hint="eastAsia" w:ascii="宋体" w:hAnsi="宋体" w:eastAsia="宋体" w:cs="宋体"/>
          <w:color w:val="auto"/>
          <w:kern w:val="2"/>
          <w:sz w:val="21"/>
          <w:szCs w:val="21"/>
          <w:highlight w:val="none"/>
          <w:lang w:val="en-US" w:eastAsia="zh-CN" w:bidi="ar"/>
        </w:rPr>
        <w:t>。</w:t>
      </w:r>
    </w:p>
    <w:p w14:paraId="06A9F9E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承包人提交最终结算申请单的期限：</w:t>
      </w:r>
      <w:r>
        <w:rPr>
          <w:rFonts w:hint="eastAsia" w:ascii="宋体" w:hAnsi="宋体" w:eastAsia="宋体" w:cs="宋体"/>
          <w:color w:val="auto"/>
          <w:sz w:val="21"/>
          <w:szCs w:val="21"/>
          <w:highlight w:val="none"/>
          <w:u w:val="single"/>
        </w:rPr>
        <w:t xml:space="preserve">  在缺陷责任期满后7天内</w:t>
      </w:r>
      <w:r>
        <w:rPr>
          <w:rFonts w:hint="eastAsia" w:ascii="宋体" w:hAnsi="宋体" w:eastAsia="宋体" w:cs="宋体"/>
          <w:color w:val="auto"/>
          <w:sz w:val="21"/>
          <w:szCs w:val="21"/>
          <w:highlight w:val="none"/>
        </w:rPr>
        <w:t xml:space="preserve">。 </w:t>
      </w:r>
    </w:p>
    <w:p w14:paraId="005FB27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最终结清证书和支付</w:t>
      </w:r>
    </w:p>
    <w:p w14:paraId="12E3F17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  发包人应在收到承包人提交的最终结清申请单后28天内完成审批并向承包人颁发最终结清证书   </w:t>
      </w:r>
      <w:r>
        <w:rPr>
          <w:rFonts w:hint="eastAsia" w:ascii="宋体" w:hAnsi="宋体" w:eastAsia="宋体" w:cs="宋体"/>
          <w:color w:val="auto"/>
          <w:sz w:val="21"/>
          <w:szCs w:val="21"/>
          <w:highlight w:val="none"/>
        </w:rPr>
        <w:t>。</w:t>
      </w:r>
    </w:p>
    <w:p w14:paraId="038FE39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  在颁发最终结清证书后14天内完成支付  </w:t>
      </w:r>
      <w:r>
        <w:rPr>
          <w:rFonts w:hint="eastAsia" w:ascii="宋体" w:hAnsi="宋体" w:eastAsia="宋体" w:cs="宋体"/>
          <w:color w:val="auto"/>
          <w:sz w:val="21"/>
          <w:szCs w:val="21"/>
          <w:highlight w:val="none"/>
        </w:rPr>
        <w:t>。</w:t>
      </w:r>
    </w:p>
    <w:bookmarkEnd w:id="621"/>
    <w:bookmarkEnd w:id="622"/>
    <w:bookmarkEnd w:id="623"/>
    <w:bookmarkEnd w:id="624"/>
    <w:bookmarkEnd w:id="625"/>
    <w:bookmarkEnd w:id="626"/>
    <w:bookmarkEnd w:id="627"/>
    <w:bookmarkEnd w:id="633"/>
    <w:p w14:paraId="413DF4AC">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40" w:name="_Toc14728"/>
      <w:bookmarkStart w:id="641" w:name="_Toc351203647"/>
      <w:bookmarkStart w:id="642" w:name="_Toc19354"/>
      <w:bookmarkStart w:id="643" w:name="_Toc16524"/>
      <w:bookmarkStart w:id="644" w:name="_Toc17262"/>
      <w:bookmarkStart w:id="645" w:name="_Toc17842"/>
      <w:bookmarkStart w:id="646" w:name="_Toc267251483"/>
      <w:bookmarkStart w:id="647" w:name="_Toc267251484"/>
      <w:bookmarkStart w:id="648" w:name="_Toc267251482"/>
      <w:bookmarkStart w:id="649" w:name="_Toc267251485"/>
      <w:bookmarkStart w:id="650" w:name="_Toc267251489"/>
      <w:bookmarkStart w:id="651" w:name="_Toc267251488"/>
      <w:bookmarkStart w:id="652" w:name="_Toc267251490"/>
      <w:bookmarkStart w:id="653" w:name="_Toc267251486"/>
      <w:bookmarkStart w:id="654" w:name="_Toc267251491"/>
      <w:bookmarkStart w:id="655" w:name="_Toc267251494"/>
      <w:bookmarkStart w:id="656" w:name="_Toc267251495"/>
      <w:bookmarkStart w:id="657" w:name="_Toc267251496"/>
      <w:bookmarkStart w:id="658" w:name="_Toc267251493"/>
      <w:bookmarkStart w:id="659" w:name="_Toc267251498"/>
      <w:bookmarkStart w:id="660" w:name="_Toc267251499"/>
      <w:bookmarkStart w:id="661" w:name="_Toc267251497"/>
      <w:bookmarkStart w:id="662" w:name="_Toc267251501"/>
      <w:bookmarkStart w:id="663" w:name="_Toc267251503"/>
      <w:bookmarkStart w:id="664" w:name="_Toc267251502"/>
      <w:bookmarkStart w:id="665" w:name="_Toc267251492"/>
      <w:bookmarkStart w:id="666" w:name="_Toc267251506"/>
      <w:bookmarkStart w:id="667" w:name="_Toc267251504"/>
      <w:bookmarkStart w:id="668" w:name="_Toc267251507"/>
      <w:bookmarkStart w:id="669" w:name="_Toc267251508"/>
      <w:bookmarkStart w:id="670" w:name="_Toc267251511"/>
      <w:bookmarkStart w:id="671" w:name="_Toc267251509"/>
      <w:bookmarkStart w:id="672" w:name="_Toc267251513"/>
      <w:bookmarkStart w:id="673" w:name="_Toc267251510"/>
      <w:bookmarkStart w:id="674" w:name="_Toc267251515"/>
      <w:bookmarkStart w:id="675" w:name="_Toc267251514"/>
      <w:r>
        <w:rPr>
          <w:rFonts w:hint="eastAsia" w:ascii="宋体" w:hAnsi="宋体" w:eastAsia="宋体" w:cs="宋体"/>
          <w:b w:val="0"/>
          <w:bCs w:val="0"/>
          <w:color w:val="auto"/>
          <w:kern w:val="2"/>
          <w:sz w:val="21"/>
          <w:szCs w:val="21"/>
          <w:highlight w:val="none"/>
          <w:lang w:val="en-US" w:eastAsia="zh-CN" w:bidi="ar-SA"/>
        </w:rPr>
        <w:t>15. 缺陷责任期与保修</w:t>
      </w:r>
      <w:bookmarkEnd w:id="640"/>
      <w:bookmarkEnd w:id="641"/>
      <w:bookmarkEnd w:id="642"/>
      <w:bookmarkEnd w:id="643"/>
      <w:bookmarkEnd w:id="644"/>
      <w:bookmarkEnd w:id="645"/>
    </w:p>
    <w:p w14:paraId="32DC00C4">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15.2缺陷责任期</w:t>
      </w:r>
      <w:bookmarkEnd w:id="646"/>
    </w:p>
    <w:p w14:paraId="4183A2A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   竣工验收合格之日起24个月   </w:t>
      </w:r>
      <w:r>
        <w:rPr>
          <w:rFonts w:hint="eastAsia" w:ascii="宋体" w:hAnsi="宋体" w:eastAsia="宋体" w:cs="宋体"/>
          <w:color w:val="auto"/>
          <w:sz w:val="21"/>
          <w:szCs w:val="21"/>
          <w:highlight w:val="none"/>
        </w:rPr>
        <w:t>。</w:t>
      </w:r>
    </w:p>
    <w:p w14:paraId="6872B209">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15.3 质量保证金</w:t>
      </w:r>
    </w:p>
    <w:p w14:paraId="4C087A4A">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关于是否扣留质量保证金的约定：</w:t>
      </w:r>
      <w:r>
        <w:rPr>
          <w:rFonts w:hint="eastAsia" w:cs="宋体"/>
          <w:sz w:val="21"/>
          <w:szCs w:val="21"/>
          <w:highlight w:val="none"/>
          <w:u w:val="single"/>
        </w:rPr>
        <w:t xml:space="preserve">      是  </w:t>
      </w:r>
      <w:r>
        <w:rPr>
          <w:rFonts w:hint="eastAsia" w:cs="宋体"/>
          <w:sz w:val="21"/>
          <w:szCs w:val="21"/>
          <w:highlight w:val="none"/>
        </w:rPr>
        <w:t>。</w:t>
      </w:r>
    </w:p>
    <w:p w14:paraId="650C43D5">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15.3.1 承包人提供质量保证金的方式</w:t>
      </w:r>
    </w:p>
    <w:p w14:paraId="007E83F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质量保证金采用以下第</w:t>
      </w:r>
      <w:r>
        <w:rPr>
          <w:rFonts w:hint="eastAsia" w:cs="宋体"/>
          <w:sz w:val="21"/>
          <w:szCs w:val="21"/>
          <w:highlight w:val="none"/>
          <w:u w:val="single"/>
        </w:rPr>
        <w:t xml:space="preserve">  （1）   </w:t>
      </w:r>
      <w:r>
        <w:rPr>
          <w:rFonts w:hint="eastAsia" w:cs="宋体"/>
          <w:sz w:val="21"/>
          <w:szCs w:val="21"/>
          <w:highlight w:val="none"/>
        </w:rPr>
        <w:t>种方式：</w:t>
      </w:r>
    </w:p>
    <w:p w14:paraId="2DF3CE9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（1）质量保证金保函，保证金额为：</w:t>
      </w:r>
      <w:r>
        <w:rPr>
          <w:rFonts w:hint="eastAsia" w:cs="宋体"/>
          <w:sz w:val="21"/>
          <w:szCs w:val="21"/>
          <w:highlight w:val="none"/>
          <w:u w:val="single"/>
        </w:rPr>
        <w:t>结算审定金额的3%</w:t>
      </w:r>
      <w:r>
        <w:rPr>
          <w:rFonts w:hint="eastAsia" w:cs="宋体"/>
          <w:kern w:val="0"/>
          <w:sz w:val="21"/>
          <w:szCs w:val="21"/>
          <w:highlight w:val="none"/>
        </w:rPr>
        <w:t xml:space="preserve">； </w:t>
      </w:r>
    </w:p>
    <w:p w14:paraId="1CF5E4A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w:t>
      </w:r>
      <w:r>
        <w:rPr>
          <w:rFonts w:hint="eastAsia" w:cs="宋体"/>
          <w:kern w:val="0"/>
          <w:sz w:val="21"/>
          <w:szCs w:val="21"/>
          <w:highlight w:val="none"/>
          <w:u w:val="single"/>
        </w:rPr>
        <w:t xml:space="preserve">   /   </w:t>
      </w:r>
      <w:r>
        <w:rPr>
          <w:rFonts w:hint="eastAsia" w:cs="宋体"/>
          <w:kern w:val="0"/>
          <w:sz w:val="21"/>
          <w:szCs w:val="21"/>
          <w:highlight w:val="none"/>
        </w:rPr>
        <w:t>%的工程款；</w:t>
      </w:r>
    </w:p>
    <w:p w14:paraId="52144C39">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（3）其他方式:</w:t>
      </w:r>
      <w:r>
        <w:rPr>
          <w:rFonts w:hint="eastAsia" w:cs="宋体"/>
          <w:kern w:val="0"/>
          <w:sz w:val="21"/>
          <w:szCs w:val="21"/>
          <w:highlight w:val="none"/>
          <w:u w:val="single"/>
        </w:rPr>
        <w:t xml:space="preserve">   /         </w:t>
      </w:r>
      <w:r>
        <w:rPr>
          <w:rFonts w:hint="eastAsia" w:cs="宋体"/>
          <w:kern w:val="0"/>
          <w:sz w:val="21"/>
          <w:szCs w:val="21"/>
          <w:highlight w:val="none"/>
        </w:rPr>
        <w:t>。</w:t>
      </w:r>
    </w:p>
    <w:p w14:paraId="2636FE2A">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 xml:space="preserve">15.3.2 质量保证金的扣留 </w:t>
      </w:r>
    </w:p>
    <w:p w14:paraId="5C22F085">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质量保证金的扣留采取以下第</w:t>
      </w:r>
      <w:r>
        <w:rPr>
          <w:rFonts w:hint="eastAsia" w:cs="宋体"/>
          <w:sz w:val="21"/>
          <w:szCs w:val="21"/>
          <w:highlight w:val="none"/>
          <w:u w:val="single"/>
        </w:rPr>
        <w:t xml:space="preserve">  3  </w:t>
      </w:r>
      <w:r>
        <w:rPr>
          <w:rFonts w:hint="eastAsia" w:cs="宋体"/>
          <w:sz w:val="21"/>
          <w:szCs w:val="21"/>
          <w:highlight w:val="none"/>
        </w:rPr>
        <w:t>种方式：</w:t>
      </w:r>
    </w:p>
    <w:p w14:paraId="03346C9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（1）在支付工程进度款时逐次扣留，在此情形下，质量保证金的计算基数不包括预付款的支付、扣回以及价格调整的金额；</w:t>
      </w:r>
    </w:p>
    <w:p w14:paraId="2EE74D4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（2）工程竣工结算时一次性扣留质量保证金；</w:t>
      </w:r>
    </w:p>
    <w:p w14:paraId="646C7F1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（3）其他扣留方式:</w:t>
      </w:r>
      <w:r>
        <w:rPr>
          <w:rFonts w:hint="eastAsia" w:cs="宋体"/>
          <w:kern w:val="0"/>
          <w:sz w:val="21"/>
          <w:szCs w:val="21"/>
          <w:highlight w:val="none"/>
          <w:u w:val="single"/>
        </w:rPr>
        <w:t xml:space="preserve">   工程竣工结算完成时，承包人向发包人提交质量保证金保函  </w:t>
      </w:r>
      <w:r>
        <w:rPr>
          <w:rFonts w:hint="eastAsia" w:cs="宋体"/>
          <w:kern w:val="0"/>
          <w:sz w:val="21"/>
          <w:szCs w:val="21"/>
          <w:highlight w:val="none"/>
        </w:rPr>
        <w:t>。</w:t>
      </w:r>
    </w:p>
    <w:p w14:paraId="34EF7A1D">
      <w:pPr>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cs="宋体"/>
          <w:sz w:val="21"/>
          <w:szCs w:val="21"/>
          <w:highlight w:val="none"/>
        </w:rPr>
        <w:t>关于质量保证金的补充约定：</w:t>
      </w:r>
      <w:r>
        <w:rPr>
          <w:rFonts w:hint="eastAsia" w:cs="宋体"/>
          <w:kern w:val="0"/>
          <w:sz w:val="21"/>
          <w:szCs w:val="21"/>
          <w:highlight w:val="none"/>
          <w:u w:val="single"/>
        </w:rPr>
        <w:t xml:space="preserve">   /   </w:t>
      </w:r>
      <w:r>
        <w:rPr>
          <w:rFonts w:hint="eastAsia" w:cs="宋体"/>
          <w:kern w:val="0"/>
          <w:sz w:val="21"/>
          <w:szCs w:val="21"/>
          <w:highlight w:val="none"/>
        </w:rPr>
        <w:t>。</w:t>
      </w:r>
    </w:p>
    <w:bookmarkEnd w:id="647"/>
    <w:bookmarkEnd w:id="648"/>
    <w:p w14:paraId="7308DE0C">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15.4保修</w:t>
      </w:r>
    </w:p>
    <w:bookmarkEnd w:id="649"/>
    <w:p w14:paraId="00970055">
      <w:pPr>
        <w:pageBreakBefore w:val="0"/>
        <w:kinsoku/>
        <w:wordWrap/>
        <w:overflowPunct/>
        <w:topLinePunct w:val="0"/>
        <w:bidi w:val="0"/>
        <w:snapToGrid/>
        <w:spacing w:after="0" w:afterLines="0" w:line="360" w:lineRule="auto"/>
        <w:ind w:firstLine="409" w:firstLineChars="1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保修责任</w:t>
      </w:r>
    </w:p>
    <w:p w14:paraId="0719E5A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2"/>
          <w:sz w:val="21"/>
          <w:szCs w:val="21"/>
          <w:highlight w:val="none"/>
          <w:lang w:val="en-US" w:eastAsia="zh-CN" w:bidi="ar"/>
        </w:rPr>
        <w:t>工程保修期为：</w:t>
      </w:r>
      <w:r>
        <w:rPr>
          <w:rFonts w:hint="eastAsia" w:ascii="宋体" w:hAnsi="宋体" w:eastAsia="宋体" w:cs="宋体"/>
          <w:color w:val="auto"/>
          <w:kern w:val="0"/>
          <w:sz w:val="21"/>
          <w:szCs w:val="21"/>
          <w:highlight w:val="none"/>
          <w:u w:val="single"/>
          <w:lang w:val="en-US" w:eastAsia="zh-CN" w:bidi="ar"/>
        </w:rPr>
        <w:t xml:space="preserve">按“附件1：工程质量保修书”约定执行 </w:t>
      </w:r>
      <w:r>
        <w:rPr>
          <w:rFonts w:hint="eastAsia" w:ascii="宋体" w:hAnsi="宋体" w:eastAsia="宋体" w:cs="宋体"/>
          <w:color w:val="auto"/>
          <w:kern w:val="0"/>
          <w:sz w:val="21"/>
          <w:szCs w:val="21"/>
          <w:highlight w:val="none"/>
          <w:lang w:val="en-US" w:eastAsia="zh-CN" w:bidi="ar"/>
        </w:rPr>
        <w:t>。</w:t>
      </w:r>
    </w:p>
    <w:p w14:paraId="3F1A8FB2">
      <w:pPr>
        <w:pageBreakBefore w:val="0"/>
        <w:kinsoku/>
        <w:wordWrap/>
        <w:overflowPunct/>
        <w:topLinePunct w:val="0"/>
        <w:bidi w:val="0"/>
        <w:snapToGrid/>
        <w:spacing w:after="0" w:afterLines="0" w:line="360" w:lineRule="auto"/>
        <w:ind w:firstLine="409" w:firstLineChars="1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修复通知</w:t>
      </w:r>
    </w:p>
    <w:p w14:paraId="3D4D323A">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承包人收到保修通知并到达工程现场的合理时间：</w:t>
      </w:r>
      <w:r>
        <w:rPr>
          <w:rFonts w:hint="eastAsia" w:ascii="宋体" w:hAnsi="宋体" w:eastAsia="宋体" w:cs="宋体"/>
          <w:color w:val="auto"/>
          <w:kern w:val="0"/>
          <w:sz w:val="21"/>
          <w:szCs w:val="21"/>
          <w:highlight w:val="none"/>
          <w:u w:val="single"/>
        </w:rPr>
        <w:t xml:space="preserve">  在接到报修通知后24小时内   </w:t>
      </w:r>
      <w:r>
        <w:rPr>
          <w:rFonts w:hint="eastAsia" w:ascii="宋体" w:hAnsi="宋体" w:eastAsia="宋体" w:cs="宋体"/>
          <w:color w:val="auto"/>
          <w:kern w:val="0"/>
          <w:sz w:val="21"/>
          <w:szCs w:val="21"/>
          <w:highlight w:val="none"/>
        </w:rPr>
        <w:t>。</w:t>
      </w:r>
    </w:p>
    <w:bookmarkEnd w:id="650"/>
    <w:bookmarkEnd w:id="651"/>
    <w:bookmarkEnd w:id="652"/>
    <w:bookmarkEnd w:id="653"/>
    <w:p w14:paraId="436A04FD">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76" w:name="_Toc351203648"/>
      <w:bookmarkStart w:id="677" w:name="_Toc10617"/>
      <w:bookmarkStart w:id="678" w:name="_Toc23638"/>
      <w:bookmarkStart w:id="679" w:name="_Toc5894"/>
      <w:bookmarkStart w:id="680" w:name="_Toc26516"/>
      <w:bookmarkStart w:id="681" w:name="_Toc24949"/>
      <w:bookmarkStart w:id="682" w:name="_Toc280868717"/>
      <w:bookmarkStart w:id="683" w:name="_Toc280868718"/>
      <w:r>
        <w:rPr>
          <w:rFonts w:hint="eastAsia" w:ascii="宋体" w:hAnsi="宋体" w:eastAsia="宋体" w:cs="宋体"/>
          <w:b w:val="0"/>
          <w:bCs w:val="0"/>
          <w:color w:val="auto"/>
          <w:kern w:val="2"/>
          <w:sz w:val="21"/>
          <w:szCs w:val="21"/>
          <w:highlight w:val="none"/>
          <w:lang w:val="en-US" w:eastAsia="zh-CN" w:bidi="ar-SA"/>
        </w:rPr>
        <w:t>16. 违约</w:t>
      </w:r>
      <w:bookmarkEnd w:id="676"/>
      <w:bookmarkEnd w:id="677"/>
      <w:bookmarkEnd w:id="678"/>
      <w:bookmarkEnd w:id="679"/>
      <w:bookmarkEnd w:id="680"/>
      <w:bookmarkEnd w:id="681"/>
    </w:p>
    <w:p w14:paraId="7211C9EF">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 发包人违约</w:t>
      </w:r>
    </w:p>
    <w:p w14:paraId="1C2C70D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072EC54F">
      <w:pPr>
        <w:pageBreakBefore w:val="0"/>
        <w:kinsoku/>
        <w:wordWrap/>
        <w:overflowPunct/>
        <w:topLinePunct w:val="0"/>
        <w:bidi w:val="0"/>
        <w:snapToGrid/>
        <w:spacing w:after="0" w:afterLines="0" w:line="360" w:lineRule="auto"/>
        <w:ind w:left="1098" w:leftChars="195" w:hanging="630" w:hangingChars="3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发包人违约的其他情形：</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495753D3">
      <w:pPr>
        <w:pageBreakBefore w:val="0"/>
        <w:kinsoku/>
        <w:wordWrap/>
        <w:overflowPunct/>
        <w:topLinePunct w:val="0"/>
        <w:bidi w:val="0"/>
        <w:snapToGrid/>
        <w:spacing w:after="0" w:afterLines="0" w:line="360" w:lineRule="auto"/>
        <w:ind w:left="1050" w:hanging="1050" w:hangingChars="5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16.1.2 发包人违约的责任</w:t>
      </w:r>
    </w:p>
    <w:p w14:paraId="4E2563F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发包人违约责任的承担方式和计算方法：</w:t>
      </w:r>
    </w:p>
    <w:p w14:paraId="409A4A8C">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（1）因发包人原因未能在计划开工日期前7天内下达开工通知的违约责任：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en-US" w:eastAsia="zh-CN" w:bidi="ar"/>
        </w:rPr>
        <w:t>发包人不承担承包人由此增加的费用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01632DB3">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bidi="ar"/>
        </w:rPr>
        <w:t>由双方协商解决，协商期间承包人不得要求发包人支付未付工程进度款利息。逾期超过60日历天时，发包人按同期银行贷款利率向承包人支付拖欠工程款的利息</w:t>
      </w:r>
      <w:r>
        <w:rPr>
          <w:rFonts w:hint="eastAsia" w:ascii="宋体" w:hAnsi="宋体" w:eastAsia="宋体" w:cs="宋体"/>
          <w:color w:val="auto"/>
          <w:kern w:val="0"/>
          <w:sz w:val="21"/>
          <w:szCs w:val="21"/>
          <w:highlight w:val="none"/>
          <w:lang w:val="en-US" w:eastAsia="zh-CN" w:bidi="ar"/>
        </w:rPr>
        <w:t>。</w:t>
      </w:r>
    </w:p>
    <w:p w14:paraId="0A5F504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（3）发包人违反第10.1款〔变更的范围〕第（2）项约定，自行实施被取消的工作或转由他人实施的违约责任：</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0433200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en-US" w:eastAsia="zh-CN" w:bidi="ar"/>
        </w:rPr>
        <w:t>发包人不提供材料、工程设备</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71DAAB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（5）因发包人违反合同约定造成暂停施工的违约责任：</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353E4FC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（6）发包人无正当理由没有在约定期限内发出复工指示，导致承包人无法复工的违约责任：</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0B3C3D7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15FF3E1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11CB6379">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承包人按16.1.1项〔发包人违约的情形〕约定暂停施工满</w:t>
      </w:r>
      <w:r>
        <w:rPr>
          <w:rFonts w:hint="eastAsia" w:ascii="宋体" w:hAnsi="宋体" w:eastAsia="宋体" w:cs="宋体"/>
          <w:color w:val="auto"/>
          <w:kern w:val="0"/>
          <w:sz w:val="21"/>
          <w:szCs w:val="21"/>
          <w:highlight w:val="none"/>
          <w:u w:val="single"/>
        </w:rPr>
        <w:t xml:space="preserve"> 28 </w:t>
      </w:r>
      <w:r>
        <w:rPr>
          <w:rFonts w:hint="eastAsia" w:ascii="宋体" w:hAnsi="宋体" w:eastAsia="宋体" w:cs="宋体"/>
          <w:color w:val="auto"/>
          <w:kern w:val="0"/>
          <w:sz w:val="21"/>
          <w:szCs w:val="21"/>
          <w:highlight w:val="none"/>
        </w:rPr>
        <w:t>天后发包人仍不纠正其违约行为并致使合同目的不能实现的，承包人有权解除合同。</w:t>
      </w:r>
    </w:p>
    <w:p w14:paraId="42E625C1">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16.2 承包人违约</w:t>
      </w:r>
    </w:p>
    <w:p w14:paraId="32AFE05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highlight w:val="none"/>
        </w:rPr>
        <w:t xml:space="preserve">16.2.1 </w:t>
      </w:r>
      <w:r>
        <w:rPr>
          <w:rFonts w:hint="eastAsia" w:ascii="宋体" w:hAnsi="宋体" w:eastAsia="宋体" w:cs="宋体"/>
          <w:color w:val="auto"/>
          <w:sz w:val="21"/>
          <w:szCs w:val="21"/>
        </w:rPr>
        <w:t>承包人违约的情形</w:t>
      </w:r>
    </w:p>
    <w:p w14:paraId="3461707E">
      <w:pPr>
        <w:pageBreakBefore w:val="0"/>
        <w:widowControl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承包人违约的其他情形：</w:t>
      </w:r>
      <w:r>
        <w:rPr>
          <w:rFonts w:hint="eastAsia" w:ascii="宋体" w:hAnsi="宋体" w:eastAsia="宋体" w:cs="宋体"/>
          <w:color w:val="auto"/>
          <w:sz w:val="21"/>
          <w:szCs w:val="21"/>
          <w:u w:val="single"/>
        </w:rPr>
        <w:t>（1）因承包人原因造成本合同被解除或终止时，按本合同总价款10%向发包人支付违约金，且发包人有权决定是否接受属于承包人在现场的一切设施、设备、材料使用于本工程；给发包人造成的损失超过违约金的，发包人还有进一步要求向承包人索赔的权利。（2）承包人逾期清场或退场、逾期向发包人交付全部工程、逾期交付符合海南省规定的建筑档案管理的内业资料的，按逾期竣工承担违约责任</w:t>
      </w:r>
      <w:r>
        <w:rPr>
          <w:rFonts w:hint="eastAsia" w:ascii="宋体" w:hAnsi="宋体" w:eastAsia="宋体" w:cs="宋体"/>
          <w:color w:val="auto"/>
          <w:sz w:val="21"/>
          <w:szCs w:val="21"/>
        </w:rPr>
        <w:t>。</w:t>
      </w:r>
    </w:p>
    <w:p w14:paraId="6C03016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.2.2 通知改正</w:t>
      </w:r>
    </w:p>
    <w:p w14:paraId="5FD769A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工程师通知承包人改正的合理期限是：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C24C97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.2.3 承包人违约的责任</w:t>
      </w:r>
    </w:p>
    <w:p w14:paraId="38C68C2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承包人违约责任的承担方式和计算方法： </w:t>
      </w:r>
      <w:r>
        <w:rPr>
          <w:rFonts w:hint="eastAsia" w:ascii="宋体" w:hAnsi="宋体" w:eastAsia="宋体" w:cs="宋体"/>
          <w:color w:val="auto"/>
          <w:sz w:val="21"/>
          <w:szCs w:val="21"/>
          <w:u w:val="single"/>
        </w:rPr>
        <w:t>（1）因承包人原因不能按照本合同约定的竣工日期或发包人同意顺延的工期竣工，每逾期一天，应向发包人支付合同总价万分之五的违约金；逾期超过30个日历天的，发包人有权单方解除合同。</w:t>
      </w:r>
    </w:p>
    <w:p w14:paraId="3FAC2B1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2）因承包人原因工程质量达不到本合同约定的质量标准，经发包人通知整改一次后仍验收不合格的，发包人有权另行委托他人进行整改，除所需费用由承包人承担外，承包人还应向发包人支付本项不合格工程造价30%的违约金。</w:t>
      </w:r>
    </w:p>
    <w:p w14:paraId="5107AFE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（3）如发现承包人供应的材料、设备属于假冒伪劣产品时，承包人除应按合同约定无条件退货并更换合格产品外，发包人还有权要求承包人支付合格产品市场价值二倍的违约金。</w:t>
      </w:r>
    </w:p>
    <w:p w14:paraId="77E7CF3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4）本工程未经发包人同意不得分包或转包。承包人不得将其承包的全部工程转包给他人，也不得将其承包的全部工程肢解以后以分包的名义分别转包给他人，如经发现，发包人有权单方面解除合同，承包人应按分包或转包工程项目审核造价总额的30%支付违约金。</w:t>
      </w:r>
    </w:p>
    <w:p w14:paraId="0B126FD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5）不论双方因任何事项而发生纠纷时，若承包人或承包人的管理人员或施工队负责人带领、指使、教唆、怂恿工人或其他人员围攻、殴打、谩骂发包人人员、或围困发包人办公场所、工地，妨碍、影响了发包人的正常工作、经营秩序的，或因本工程民工工资问题到有关部门上访的，一旦这种情况出现时，承包人除应立即阻止外，每次承包人均应向发包人支付2万元/次/人违约金。</w:t>
      </w:r>
    </w:p>
    <w:p w14:paraId="67A4265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u w:val="single"/>
        </w:rPr>
        <w:t>（6）合同解除后，不影响双方在合同中约定的结算和质保金的效力，亦不能免除承包人对已完工程项目的保修责任</w:t>
      </w:r>
      <w:r>
        <w:rPr>
          <w:rFonts w:hint="eastAsia" w:ascii="宋体" w:hAnsi="宋体" w:eastAsia="宋体" w:cs="宋体"/>
          <w:color w:val="auto"/>
          <w:kern w:val="0"/>
          <w:sz w:val="21"/>
          <w:szCs w:val="21"/>
          <w:highlight w:val="none"/>
          <w:lang w:val="en-US" w:eastAsia="zh-CN" w:bidi="ar"/>
        </w:rPr>
        <w:t>。</w:t>
      </w:r>
    </w:p>
    <w:p w14:paraId="19F85C92">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84" w:name="_Toc2401"/>
      <w:bookmarkStart w:id="685" w:name="_Toc31716"/>
      <w:bookmarkStart w:id="686" w:name="_Toc351203649"/>
      <w:bookmarkStart w:id="687" w:name="_Toc27652"/>
      <w:bookmarkStart w:id="688" w:name="_Toc6877"/>
      <w:bookmarkStart w:id="689" w:name="_Toc17926"/>
      <w:r>
        <w:rPr>
          <w:rFonts w:hint="eastAsia" w:ascii="宋体" w:hAnsi="宋体" w:eastAsia="宋体" w:cs="宋体"/>
          <w:b w:val="0"/>
          <w:bCs w:val="0"/>
          <w:color w:val="auto"/>
          <w:kern w:val="2"/>
          <w:sz w:val="21"/>
          <w:szCs w:val="21"/>
          <w:highlight w:val="none"/>
          <w:lang w:val="en-US" w:eastAsia="zh-CN" w:bidi="ar-SA"/>
        </w:rPr>
        <w:t>17. 不可抗力</w:t>
      </w:r>
      <w:bookmarkEnd w:id="684"/>
      <w:bookmarkEnd w:id="685"/>
      <w:bookmarkEnd w:id="686"/>
      <w:bookmarkEnd w:id="687"/>
      <w:bookmarkEnd w:id="688"/>
      <w:bookmarkEnd w:id="689"/>
      <w:r>
        <w:rPr>
          <w:rFonts w:hint="eastAsia" w:ascii="宋体" w:hAnsi="宋体" w:eastAsia="宋体" w:cs="宋体"/>
          <w:b w:val="0"/>
          <w:bCs w:val="0"/>
          <w:color w:val="auto"/>
          <w:kern w:val="2"/>
          <w:sz w:val="21"/>
          <w:szCs w:val="21"/>
          <w:highlight w:val="none"/>
          <w:lang w:val="en-US" w:eastAsia="zh-CN" w:bidi="ar-SA"/>
        </w:rPr>
        <w:t xml:space="preserve"> </w:t>
      </w:r>
      <w:bookmarkEnd w:id="682"/>
    </w:p>
    <w:p w14:paraId="51E9294E">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17.1 不可抗力的确认</w:t>
      </w:r>
    </w:p>
    <w:p w14:paraId="4882B61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 xml:space="preserve">除通用合同条款约定的不可抗力事件之外，视为不可抗力的其他情形： </w:t>
      </w:r>
      <w:r>
        <w:rPr>
          <w:rFonts w:hint="eastAsia" w:ascii="宋体" w:hAnsi="宋体" w:eastAsia="宋体" w:cs="宋体"/>
          <w:color w:val="auto"/>
          <w:kern w:val="0"/>
          <w:sz w:val="21"/>
          <w:szCs w:val="21"/>
          <w:highlight w:val="none"/>
          <w:u w:val="single"/>
        </w:rPr>
        <w:t xml:space="preserve"> </w:t>
      </w:r>
    </w:p>
    <w:p w14:paraId="40C1178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（1）6.5级以上的地震；</w:t>
      </w:r>
    </w:p>
    <w:p w14:paraId="1573AB4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（2）持续24小时12级以上的大风；</w:t>
      </w:r>
    </w:p>
    <w:p w14:paraId="3ABD0A1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（3）持续降雨24小时且降雨量为200mm以上；</w:t>
      </w:r>
    </w:p>
    <w:p w14:paraId="72FC81C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（4）40摄氏度以上并持续3天以上的高温天气。</w:t>
      </w:r>
    </w:p>
    <w:p w14:paraId="1215B00A">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上述气象情况以气象部门发布的公告为准</w:t>
      </w:r>
      <w:r>
        <w:rPr>
          <w:rFonts w:hint="eastAsia" w:ascii="宋体" w:hAnsi="宋体" w:eastAsia="宋体" w:cs="宋体"/>
          <w:color w:val="auto"/>
          <w:kern w:val="0"/>
          <w:sz w:val="21"/>
          <w:szCs w:val="21"/>
          <w:highlight w:val="none"/>
          <w:lang w:val="en-US" w:eastAsia="zh-CN" w:bidi="ar"/>
        </w:rPr>
        <w:t>。</w:t>
      </w:r>
    </w:p>
    <w:p w14:paraId="58E2CFB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因不可抗力解除合同</w:t>
      </w:r>
    </w:p>
    <w:p w14:paraId="454D88C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60 </w:t>
      </w:r>
      <w:r>
        <w:rPr>
          <w:rFonts w:hint="eastAsia" w:ascii="宋体" w:hAnsi="宋体" w:eastAsia="宋体" w:cs="宋体"/>
          <w:color w:val="auto"/>
          <w:sz w:val="21"/>
          <w:szCs w:val="21"/>
          <w:highlight w:val="none"/>
        </w:rPr>
        <w:t>天内完成款项的支付。</w:t>
      </w:r>
    </w:p>
    <w:p w14:paraId="0E04845D">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90" w:name="_Toc16507"/>
      <w:bookmarkStart w:id="691" w:name="_Toc32492"/>
      <w:bookmarkStart w:id="692" w:name="_Toc9578"/>
      <w:bookmarkStart w:id="693" w:name="_Toc24172"/>
      <w:bookmarkStart w:id="694" w:name="_Toc19062"/>
      <w:bookmarkStart w:id="695" w:name="_Toc351203650"/>
      <w:r>
        <w:rPr>
          <w:rFonts w:hint="eastAsia" w:ascii="宋体" w:hAnsi="宋体" w:eastAsia="宋体" w:cs="宋体"/>
          <w:b w:val="0"/>
          <w:bCs w:val="0"/>
          <w:color w:val="auto"/>
          <w:kern w:val="2"/>
          <w:sz w:val="21"/>
          <w:szCs w:val="21"/>
          <w:highlight w:val="none"/>
          <w:lang w:val="en-US" w:eastAsia="zh-CN" w:bidi="ar-SA"/>
        </w:rPr>
        <w:t>18. 保险</w:t>
      </w:r>
      <w:bookmarkEnd w:id="690"/>
      <w:bookmarkEnd w:id="691"/>
      <w:bookmarkEnd w:id="692"/>
      <w:bookmarkEnd w:id="693"/>
      <w:bookmarkEnd w:id="694"/>
      <w:bookmarkEnd w:id="695"/>
    </w:p>
    <w:bookmarkEnd w:id="683"/>
    <w:p w14:paraId="16E8B8FC">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18.1 工程保险</w:t>
      </w:r>
    </w:p>
    <w:p w14:paraId="67E30FE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kern w:val="0"/>
          <w:sz w:val="21"/>
          <w:szCs w:val="21"/>
          <w:highlight w:val="none"/>
          <w:u w:val="single"/>
        </w:rPr>
        <w:t xml:space="preserve">  按合同通用条款执行   </w:t>
      </w:r>
      <w:r>
        <w:rPr>
          <w:rFonts w:hint="eastAsia" w:ascii="宋体" w:hAnsi="宋体" w:eastAsia="宋体" w:cs="宋体"/>
          <w:color w:val="auto"/>
          <w:kern w:val="0"/>
          <w:sz w:val="21"/>
          <w:szCs w:val="21"/>
          <w:highlight w:val="none"/>
        </w:rPr>
        <w:t>。</w:t>
      </w:r>
    </w:p>
    <w:p w14:paraId="44E0084F">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18.3 其他保险</w:t>
      </w:r>
    </w:p>
    <w:p w14:paraId="475764A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kern w:val="0"/>
          <w:sz w:val="21"/>
          <w:szCs w:val="21"/>
          <w:highlight w:val="none"/>
          <w:u w:val="single"/>
        </w:rPr>
        <w:t xml:space="preserve">  按合同通用条款执行   </w:t>
      </w:r>
      <w:r>
        <w:rPr>
          <w:rFonts w:hint="eastAsia" w:ascii="宋体" w:hAnsi="宋体" w:eastAsia="宋体" w:cs="宋体"/>
          <w:color w:val="auto"/>
          <w:kern w:val="0"/>
          <w:sz w:val="21"/>
          <w:szCs w:val="21"/>
          <w:highlight w:val="none"/>
        </w:rPr>
        <w:t>。</w:t>
      </w:r>
    </w:p>
    <w:p w14:paraId="458735E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是   </w:t>
      </w:r>
      <w:r>
        <w:rPr>
          <w:rFonts w:hint="eastAsia" w:ascii="宋体" w:hAnsi="宋体" w:eastAsia="宋体" w:cs="宋体"/>
          <w:color w:val="auto"/>
          <w:sz w:val="21"/>
          <w:szCs w:val="21"/>
          <w:highlight w:val="none"/>
        </w:rPr>
        <w:t>。</w:t>
      </w:r>
    </w:p>
    <w:p w14:paraId="4B8D7F9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18.7 通知义务</w:t>
      </w:r>
    </w:p>
    <w:p w14:paraId="7E5C936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关于变更保险合同时的通知义务的约定：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bookmarkEnd w:id="654"/>
    <w:bookmarkEnd w:id="655"/>
    <w:bookmarkEnd w:id="656"/>
    <w:bookmarkEnd w:id="657"/>
    <w:bookmarkEnd w:id="658"/>
    <w:bookmarkEnd w:id="659"/>
    <w:bookmarkEnd w:id="660"/>
    <w:bookmarkEnd w:id="661"/>
    <w:bookmarkEnd w:id="662"/>
    <w:bookmarkEnd w:id="663"/>
    <w:bookmarkEnd w:id="664"/>
    <w:bookmarkEnd w:id="665"/>
    <w:p w14:paraId="5C32437F">
      <w:pPr>
        <w:pStyle w:val="6"/>
        <w:pageBreakBefore w:val="0"/>
        <w:kinsoku/>
        <w:wordWrap/>
        <w:overflowPunct/>
        <w:topLinePunct w:val="0"/>
        <w:bidi w:val="0"/>
        <w:snapToGrid/>
        <w:spacing w:after="0" w:afterLines="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696" w:name="_Toc351203651"/>
      <w:r>
        <w:rPr>
          <w:rFonts w:hint="eastAsia" w:ascii="宋体" w:hAnsi="宋体" w:eastAsia="宋体" w:cs="宋体"/>
          <w:b w:val="0"/>
          <w:bCs w:val="0"/>
          <w:color w:val="auto"/>
          <w:kern w:val="2"/>
          <w:sz w:val="21"/>
          <w:szCs w:val="21"/>
          <w:highlight w:val="none"/>
          <w:lang w:val="en-US" w:eastAsia="zh-CN" w:bidi="ar-SA"/>
        </w:rPr>
        <w:t>20. 争议解决</w:t>
      </w:r>
      <w:bookmarkEnd w:id="696"/>
    </w:p>
    <w:bookmarkEnd w:id="666"/>
    <w:bookmarkEnd w:id="667"/>
    <w:p w14:paraId="7D9A882F">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20.3 争</w:t>
      </w:r>
      <w:bookmarkEnd w:id="668"/>
      <w:r>
        <w:rPr>
          <w:rFonts w:hint="eastAsia" w:ascii="宋体" w:hAnsi="宋体" w:eastAsia="宋体" w:cs="宋体"/>
          <w:b w:val="0"/>
          <w:bCs w:val="0"/>
          <w:color w:val="auto"/>
          <w:kern w:val="2"/>
          <w:sz w:val="21"/>
          <w:szCs w:val="21"/>
          <w:highlight w:val="none"/>
          <w:lang w:val="en-US" w:eastAsia="zh-CN" w:bidi="ar-SA"/>
        </w:rPr>
        <w:t>议评审</w:t>
      </w:r>
    </w:p>
    <w:p w14:paraId="523745D1">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242092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 争议评审小组的确定</w:t>
      </w:r>
    </w:p>
    <w:p w14:paraId="118AEBC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C812C7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00F4D28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F1C581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4F3743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.2 争议评审小组的决定</w:t>
      </w:r>
    </w:p>
    <w:p w14:paraId="000C37A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4C3E531">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20.4仲裁或诉讼</w:t>
      </w:r>
      <w:bookmarkEnd w:id="669"/>
    </w:p>
    <w:p w14:paraId="7C5D6363">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种方式解决：</w:t>
      </w:r>
    </w:p>
    <w:p w14:paraId="4C9A930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仲裁委员会申请仲裁；</w:t>
      </w:r>
    </w:p>
    <w:p w14:paraId="304BBF8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
        </w:rPr>
        <w:t>项目所在地具有管辖权的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bookmarkEnd w:id="670"/>
      <w:bookmarkEnd w:id="671"/>
      <w:bookmarkEnd w:id="672"/>
      <w:bookmarkEnd w:id="673"/>
      <w:bookmarkEnd w:id="674"/>
      <w:bookmarkEnd w:id="675"/>
      <w:bookmarkStart w:id="697" w:name="_Toc51829185"/>
      <w:bookmarkStart w:id="698" w:name="_Toc54768823"/>
    </w:p>
    <w:p w14:paraId="68F15FEF">
      <w:pPr>
        <w:pageBreakBefore w:val="0"/>
        <w:kinsoku/>
        <w:wordWrap/>
        <w:overflowPunct/>
        <w:topLinePunct w:val="0"/>
        <w:bidi w:val="0"/>
        <w:snapToGrid/>
        <w:spacing w:after="0" w:afterLines="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21.补充条款</w:t>
      </w:r>
      <w:bookmarkEnd w:id="697"/>
      <w:bookmarkEnd w:id="698"/>
    </w:p>
    <w:p w14:paraId="0518C13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b w:val="0"/>
          <w:bCs w:val="0"/>
          <w:color w:val="auto"/>
          <w:kern w:val="2"/>
          <w:sz w:val="21"/>
          <w:szCs w:val="21"/>
          <w:highlight w:val="none"/>
          <w:lang w:val="en-US" w:eastAsia="zh-CN" w:bidi="ar-SA"/>
        </w:rPr>
        <w:t>21.1</w:t>
      </w:r>
      <w:r>
        <w:rPr>
          <w:rFonts w:hint="eastAsia" w:ascii="宋体" w:hAnsi="宋体" w:eastAsia="宋体" w:cs="宋体"/>
          <w:color w:val="auto"/>
          <w:kern w:val="2"/>
          <w:sz w:val="21"/>
          <w:szCs w:val="21"/>
          <w:highlight w:val="none"/>
          <w:lang w:val="en-US" w:eastAsia="zh-CN" w:bidi="ar"/>
        </w:rPr>
        <w:t xml:space="preserve"> 本合同未尽事宜，按照本招标文件的有关规定、中标人的投标文件及其澄清、说明或者补充文件执行。</w:t>
      </w:r>
    </w:p>
    <w:p w14:paraId="639CA54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b/>
          <w:color w:val="auto"/>
          <w:sz w:val="21"/>
          <w:szCs w:val="21"/>
          <w:highlight w:val="none"/>
          <w:lang w:val="en-US"/>
        </w:rPr>
      </w:pPr>
      <w:r>
        <w:rPr>
          <w:rFonts w:hint="eastAsia" w:ascii="宋体" w:hAnsi="宋体" w:eastAsia="宋体" w:cs="宋体"/>
          <w:b w:val="0"/>
          <w:bCs w:val="0"/>
          <w:color w:val="auto"/>
          <w:kern w:val="2"/>
          <w:sz w:val="21"/>
          <w:szCs w:val="21"/>
          <w:highlight w:val="none"/>
          <w:lang w:val="en-US" w:eastAsia="zh-CN" w:bidi="ar-SA"/>
        </w:rPr>
        <w:t>21.2</w:t>
      </w:r>
      <w:r>
        <w:rPr>
          <w:rFonts w:hint="eastAsia" w:ascii="宋体" w:hAnsi="宋体" w:eastAsia="宋体" w:cs="宋体"/>
          <w:color w:val="auto"/>
          <w:kern w:val="2"/>
          <w:sz w:val="21"/>
          <w:szCs w:val="21"/>
          <w:highlight w:val="none"/>
          <w:lang w:val="en-US" w:eastAsia="zh-CN" w:bidi="ar"/>
        </w:rPr>
        <w:t xml:space="preserve"> 其余未尽事宜，双方另行签订补充合同。</w:t>
      </w:r>
    </w:p>
    <w:p w14:paraId="1CB825A4">
      <w:pPr>
        <w:keepNext w:val="0"/>
        <w:keepLines w:val="0"/>
        <w:pageBreakBefore w:val="0"/>
        <w:widowControl/>
        <w:suppressLineNumbers w:val="0"/>
        <w:kinsoku/>
        <w:overflowPunct/>
        <w:bidi w:val="0"/>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eastAsia="zh-CN"/>
        </w:rPr>
      </w:pPr>
    </w:p>
    <w:p w14:paraId="4152DCDF">
      <w:pPr>
        <w:keepNext w:val="0"/>
        <w:keepLines w:val="0"/>
        <w:pageBreakBefore w:val="0"/>
        <w:widowControl/>
        <w:suppressLineNumbers w:val="0"/>
        <w:kinsoku/>
        <w:overflowPunct/>
        <w:bidi w:val="0"/>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01E99373">
      <w:pPr>
        <w:keepNext w:val="0"/>
        <w:keepLines w:val="0"/>
        <w:pageBreakBefore w:val="0"/>
        <w:widowControl/>
        <w:suppressLineNumbers w:val="0"/>
        <w:kinsoku/>
        <w:overflowPunct/>
        <w:bidi w:val="0"/>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eastAsia="zh-CN"/>
        </w:rPr>
      </w:pPr>
    </w:p>
    <w:p w14:paraId="085AB9D1">
      <w:pPr>
        <w:pStyle w:val="2"/>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78D2C4C1">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39D4E1DA">
      <w:pPr>
        <w:pStyle w:val="2"/>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1F9547B4">
      <w:pPr>
        <w:pageBreakBefore w:val="0"/>
        <w:kinsoku/>
        <w:overflowPunct/>
        <w:bidi w:val="0"/>
        <w:spacing w:after="0" w:afterLines="0" w:line="360" w:lineRule="auto"/>
        <w:textAlignment w:val="auto"/>
        <w:rPr>
          <w:rFonts w:hint="eastAsia"/>
          <w:lang w:val="en-US" w:eastAsia="zh-CN"/>
        </w:rPr>
      </w:pPr>
    </w:p>
    <w:p w14:paraId="12B669A0">
      <w:pPr>
        <w:pStyle w:val="2"/>
        <w:pageBreakBefore w:val="0"/>
        <w:kinsoku/>
        <w:overflowPunct/>
        <w:bidi w:val="0"/>
        <w:spacing w:after="0" w:afterLines="0" w:line="360" w:lineRule="auto"/>
        <w:textAlignment w:val="auto"/>
        <w:rPr>
          <w:rFonts w:hint="eastAsia" w:ascii="宋体" w:hAnsi="宋体" w:eastAsia="宋体" w:cs="宋体"/>
          <w:color w:val="auto"/>
          <w:sz w:val="21"/>
          <w:szCs w:val="21"/>
          <w:lang w:val="en-US" w:eastAsia="zh-CN"/>
        </w:rPr>
      </w:pPr>
    </w:p>
    <w:tbl>
      <w:tblPr>
        <w:tblStyle w:val="35"/>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0D3C65F5">
        <w:tblPrEx>
          <w:tblCellMar>
            <w:top w:w="0" w:type="dxa"/>
            <w:left w:w="108" w:type="dxa"/>
            <w:bottom w:w="0" w:type="dxa"/>
            <w:right w:w="108" w:type="dxa"/>
          </w:tblCellMar>
        </w:tblPrEx>
        <w:tc>
          <w:tcPr>
            <w:tcW w:w="4507" w:type="dxa"/>
            <w:noWrap w:val="0"/>
            <w:vAlign w:val="top"/>
          </w:tcPr>
          <w:p w14:paraId="7356E2B4">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发包人：（公章）</w:t>
            </w:r>
          </w:p>
          <w:p w14:paraId="0E6E90A1">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p w14:paraId="45825E5D">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c>
          <w:tcPr>
            <w:tcW w:w="4565" w:type="dxa"/>
            <w:noWrap w:val="0"/>
            <w:vAlign w:val="top"/>
          </w:tcPr>
          <w:p w14:paraId="18AB1A2E">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承包人：（公章）</w:t>
            </w:r>
          </w:p>
          <w:p w14:paraId="2726B0B1">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p w14:paraId="0691F373">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r>
      <w:tr w14:paraId="4079550E">
        <w:tblPrEx>
          <w:tblCellMar>
            <w:top w:w="0" w:type="dxa"/>
            <w:left w:w="108" w:type="dxa"/>
            <w:bottom w:w="0" w:type="dxa"/>
            <w:right w:w="108" w:type="dxa"/>
          </w:tblCellMar>
        </w:tblPrEx>
        <w:tc>
          <w:tcPr>
            <w:tcW w:w="4507" w:type="dxa"/>
            <w:noWrap w:val="0"/>
            <w:vAlign w:val="top"/>
          </w:tcPr>
          <w:p w14:paraId="06C0864F">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法定代表人或其委托代理人：</w:t>
            </w:r>
          </w:p>
          <w:p w14:paraId="227D0CD4">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（签字）</w:t>
            </w:r>
          </w:p>
          <w:p w14:paraId="17469BC3">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c>
          <w:tcPr>
            <w:tcW w:w="4565" w:type="dxa"/>
            <w:noWrap w:val="0"/>
            <w:vAlign w:val="top"/>
          </w:tcPr>
          <w:p w14:paraId="3FDB02D4">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法定代表人或其委托代理人：</w:t>
            </w:r>
          </w:p>
          <w:p w14:paraId="032451F3">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（签字）</w:t>
            </w:r>
          </w:p>
          <w:p w14:paraId="51E751A5">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r>
      <w:tr w14:paraId="65B7084C">
        <w:tblPrEx>
          <w:tblCellMar>
            <w:top w:w="0" w:type="dxa"/>
            <w:left w:w="108" w:type="dxa"/>
            <w:bottom w:w="0" w:type="dxa"/>
            <w:right w:w="108" w:type="dxa"/>
          </w:tblCellMar>
        </w:tblPrEx>
        <w:tc>
          <w:tcPr>
            <w:tcW w:w="4507" w:type="dxa"/>
            <w:noWrap w:val="0"/>
            <w:vAlign w:val="top"/>
          </w:tcPr>
          <w:p w14:paraId="2ECED95F">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w:t>
            </w:r>
            <w:r>
              <w:rPr>
                <w:rFonts w:hint="eastAsia" w:ascii="宋体" w:hAnsi="宋体" w:eastAsia="宋体" w:cs="宋体"/>
                <w:color w:val="auto"/>
                <w:kern w:val="0"/>
                <w:sz w:val="21"/>
                <w:szCs w:val="21"/>
                <w:u w:val="single"/>
              </w:rPr>
              <w:t xml:space="preserve">            </w:t>
            </w:r>
          </w:p>
          <w:p w14:paraId="3798886A">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w:t>
            </w:r>
            <w:r>
              <w:rPr>
                <w:rFonts w:hint="eastAsia" w:ascii="宋体" w:hAnsi="宋体" w:eastAsia="宋体" w:cs="宋体"/>
                <w:color w:val="auto"/>
                <w:kern w:val="0"/>
                <w:sz w:val="21"/>
                <w:szCs w:val="21"/>
                <w:u w:val="single"/>
              </w:rPr>
              <w:t xml:space="preserve">                       </w:t>
            </w:r>
          </w:p>
          <w:p w14:paraId="49D577B9">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kern w:val="0"/>
                <w:sz w:val="21"/>
                <w:szCs w:val="21"/>
                <w:u w:val="single"/>
              </w:rPr>
              <w:t xml:space="preserve">                      </w:t>
            </w:r>
          </w:p>
          <w:p w14:paraId="22B1BAE4">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r>
              <w:rPr>
                <w:rFonts w:hint="eastAsia" w:ascii="宋体" w:hAnsi="宋体" w:eastAsia="宋体" w:cs="宋体"/>
                <w:color w:val="auto"/>
                <w:kern w:val="0"/>
                <w:sz w:val="21"/>
                <w:szCs w:val="21"/>
                <w:u w:val="single"/>
              </w:rPr>
              <w:t xml:space="preserve">                 </w:t>
            </w:r>
          </w:p>
          <w:p w14:paraId="3572BA0C">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kern w:val="0"/>
                <w:sz w:val="21"/>
                <w:szCs w:val="21"/>
                <w:u w:val="single"/>
              </w:rPr>
              <w:t xml:space="preserve">                 </w:t>
            </w:r>
          </w:p>
          <w:p w14:paraId="5069F4D0">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kern w:val="0"/>
                <w:sz w:val="21"/>
                <w:szCs w:val="21"/>
                <w:u w:val="single"/>
              </w:rPr>
              <w:t xml:space="preserve">                       </w:t>
            </w:r>
          </w:p>
          <w:p w14:paraId="52F6F6A8">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传真： </w:t>
            </w:r>
            <w:r>
              <w:rPr>
                <w:rFonts w:hint="eastAsia" w:ascii="宋体" w:hAnsi="宋体" w:eastAsia="宋体" w:cs="宋体"/>
                <w:color w:val="auto"/>
                <w:kern w:val="0"/>
                <w:sz w:val="21"/>
                <w:szCs w:val="21"/>
                <w:u w:val="single"/>
              </w:rPr>
              <w:t xml:space="preserve">                      </w:t>
            </w:r>
          </w:p>
          <w:p w14:paraId="3DEB9F91">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kern w:val="0"/>
                <w:sz w:val="21"/>
                <w:szCs w:val="21"/>
                <w:u w:val="single"/>
              </w:rPr>
              <w:t xml:space="preserve">                    </w:t>
            </w:r>
          </w:p>
          <w:p w14:paraId="12BEF5C1">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kern w:val="0"/>
                <w:sz w:val="21"/>
                <w:szCs w:val="21"/>
                <w:u w:val="single"/>
              </w:rPr>
              <w:t xml:space="preserve">                   </w:t>
            </w:r>
          </w:p>
          <w:p w14:paraId="483415B5">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账号：</w:t>
            </w:r>
            <w:r>
              <w:rPr>
                <w:rFonts w:hint="eastAsia" w:ascii="宋体" w:hAnsi="宋体" w:eastAsia="宋体" w:cs="宋体"/>
                <w:color w:val="auto"/>
                <w:kern w:val="0"/>
                <w:sz w:val="21"/>
                <w:szCs w:val="21"/>
                <w:u w:val="single"/>
              </w:rPr>
              <w:t xml:space="preserve">                       </w:t>
            </w:r>
          </w:p>
        </w:tc>
        <w:tc>
          <w:tcPr>
            <w:tcW w:w="4565" w:type="dxa"/>
            <w:noWrap w:val="0"/>
            <w:vAlign w:val="top"/>
          </w:tcPr>
          <w:p w14:paraId="5A421E45">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59B50D68">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226928CD">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kern w:val="0"/>
                <w:sz w:val="21"/>
                <w:szCs w:val="21"/>
                <w:u w:val="single"/>
              </w:rPr>
              <w:t xml:space="preserve">                      </w:t>
            </w:r>
          </w:p>
          <w:p w14:paraId="75055BEA">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p>
          <w:p w14:paraId="500D984F">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kern w:val="0"/>
                <w:sz w:val="21"/>
                <w:szCs w:val="21"/>
                <w:u w:val="single"/>
              </w:rPr>
              <w:t xml:space="preserve">                 </w:t>
            </w:r>
          </w:p>
          <w:p w14:paraId="6AD863A8">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5CD559D6">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传真：</w:t>
            </w:r>
            <w:r>
              <w:rPr>
                <w:rFonts w:hint="eastAsia" w:ascii="宋体" w:hAnsi="宋体" w:eastAsia="宋体" w:cs="宋体"/>
                <w:color w:val="auto"/>
                <w:kern w:val="0"/>
                <w:sz w:val="21"/>
                <w:szCs w:val="21"/>
                <w:u w:val="single"/>
              </w:rPr>
              <w:t xml:space="preserve">                       </w:t>
            </w:r>
          </w:p>
          <w:p w14:paraId="5E37B490">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kern w:val="0"/>
                <w:sz w:val="21"/>
                <w:szCs w:val="21"/>
                <w:u w:val="single"/>
              </w:rPr>
              <w:t xml:space="preserve">                   </w:t>
            </w:r>
          </w:p>
          <w:p w14:paraId="7A69A20A">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7A5A70FF">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账号：</w:t>
            </w:r>
            <w:r>
              <w:rPr>
                <w:rFonts w:hint="eastAsia" w:ascii="宋体" w:hAnsi="宋体" w:eastAsia="宋体" w:cs="宋体"/>
                <w:color w:val="auto"/>
                <w:sz w:val="21"/>
                <w:szCs w:val="21"/>
                <w:u w:val="single"/>
              </w:rPr>
              <w:t xml:space="preserve">  </w:t>
            </w:r>
            <w:r>
              <w:rPr>
                <w:rFonts w:hint="eastAsia" w:hAnsi="宋体"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p>
        </w:tc>
      </w:tr>
    </w:tbl>
    <w:p w14:paraId="5ED0322E">
      <w:pPr>
        <w:pageBreakBefore w:val="0"/>
        <w:kinsoku/>
        <w:overflowPunct/>
        <w:bidi w:val="0"/>
        <w:spacing w:after="0" w:afterLines="0" w:line="360" w:lineRule="auto"/>
        <w:jc w:val="right"/>
        <w:textAlignment w:val="auto"/>
        <w:rPr>
          <w:rFonts w:hint="eastAsia" w:ascii="宋体" w:hAnsi="宋体" w:eastAsia="宋体" w:cs="宋体"/>
          <w:color w:val="auto"/>
          <w:sz w:val="21"/>
          <w:szCs w:val="21"/>
          <w:highlight w:val="none"/>
        </w:rPr>
      </w:pPr>
    </w:p>
    <w:p w14:paraId="603F8780">
      <w:pPr>
        <w:pStyle w:val="98"/>
        <w:keepNext w:val="0"/>
        <w:keepLines w:val="0"/>
        <w:pageBreakBefore w:val="0"/>
        <w:widowControl/>
        <w:kinsoku/>
        <w:overflowPunct/>
        <w:bidi w:val="0"/>
        <w:adjustRightInd w:val="0"/>
        <w:snapToGrid w:val="0"/>
        <w:spacing w:before="0" w:after="0" w:line="360" w:lineRule="auto"/>
        <w:textAlignment w:val="auto"/>
        <w:rPr>
          <w:rFonts w:hint="eastAsia" w:ascii="宋体" w:hAnsi="宋体" w:eastAsia="宋体" w:cs="宋体"/>
          <w:color w:val="auto"/>
          <w:sz w:val="21"/>
          <w:szCs w:val="21"/>
        </w:rPr>
      </w:pPr>
    </w:p>
    <w:p w14:paraId="7FE39324">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036F9F18">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AF8F7C2">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B68FBD1">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67273A88">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A49EBAA">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3ED6A71">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B9AE61B">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495B796">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6907CD9D">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A7F5515">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65D27265">
      <w:pPr>
        <w:pStyle w:val="98"/>
        <w:keepNext w:val="0"/>
        <w:keepLines w:val="0"/>
        <w:pageBreakBefore w:val="0"/>
        <w:widowControl/>
        <w:kinsoku/>
        <w:overflowPunct/>
        <w:bidi w:val="0"/>
        <w:adjustRightInd w:val="0"/>
        <w:snapToGrid w:val="0"/>
        <w:spacing w:before="0" w:after="0" w:line="360" w:lineRule="auto"/>
        <w:textAlignment w:val="auto"/>
        <w:rPr>
          <w:rFonts w:hint="eastAsia" w:ascii="宋体" w:hAnsi="宋体" w:eastAsia="宋体" w:cs="宋体"/>
          <w:color w:val="auto"/>
          <w:sz w:val="21"/>
          <w:szCs w:val="21"/>
        </w:rPr>
      </w:pPr>
      <w:bookmarkStart w:id="699" w:name="_Toc7481"/>
      <w:r>
        <w:rPr>
          <w:rFonts w:hint="eastAsia" w:ascii="宋体" w:hAnsi="宋体" w:eastAsia="宋体" w:cs="宋体"/>
          <w:color w:val="auto"/>
          <w:sz w:val="21"/>
          <w:szCs w:val="21"/>
        </w:rPr>
        <w:t>专用合同条件附件</w:t>
      </w:r>
      <w:bookmarkEnd w:id="125"/>
      <w:bookmarkEnd w:id="126"/>
      <w:bookmarkEnd w:id="699"/>
    </w:p>
    <w:p w14:paraId="21C1555E">
      <w:pPr>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p>
    <w:p w14:paraId="7EF9CB8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：工程质量保修书</w:t>
      </w:r>
    </w:p>
    <w:p w14:paraId="2829FC0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：承包人主要管理人员表</w:t>
      </w:r>
    </w:p>
    <w:p w14:paraId="31015007">
      <w:pPr>
        <w:pStyle w:val="2"/>
        <w:pageBreakBefore w:val="0"/>
        <w:kinsoku/>
        <w:overflowPunct/>
        <w:bidi w:val="0"/>
        <w:spacing w:after="0" w:afterLines="0" w:line="360" w:lineRule="auto"/>
        <w:ind w:firstLine="420" w:firstLineChars="200"/>
        <w:textAlignment w:val="auto"/>
        <w:rPr>
          <w:rFonts w:hint="eastAsia"/>
        </w:rPr>
      </w:pPr>
      <w:r>
        <w:rPr>
          <w:color w:val="auto"/>
          <w:sz w:val="21"/>
          <w:szCs w:val="21"/>
          <w:highlight w:val="none"/>
        </w:rPr>
        <w:t>附件</w:t>
      </w:r>
      <w:r>
        <w:rPr>
          <w:rFonts w:hint="eastAsia"/>
          <w:color w:val="auto"/>
          <w:sz w:val="21"/>
          <w:szCs w:val="21"/>
          <w:highlight w:val="none"/>
        </w:rPr>
        <w:t>3</w:t>
      </w:r>
      <w:r>
        <w:rPr>
          <w:color w:val="auto"/>
          <w:sz w:val="21"/>
          <w:szCs w:val="21"/>
          <w:highlight w:val="none"/>
        </w:rPr>
        <w:t>：履约担保</w:t>
      </w:r>
      <w:r>
        <w:rPr>
          <w:rFonts w:hint="eastAsia"/>
          <w:color w:val="auto"/>
          <w:sz w:val="21"/>
          <w:szCs w:val="21"/>
          <w:highlight w:val="none"/>
        </w:rPr>
        <w:t>格式</w:t>
      </w:r>
    </w:p>
    <w:p w14:paraId="7A47364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附件</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预付款保函格式</w:t>
      </w:r>
    </w:p>
    <w:p w14:paraId="6A209C1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：工程建设项目廉政责任书</w:t>
      </w:r>
    </w:p>
    <w:p w14:paraId="3BA22BE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：在建工程安全生产协议</w:t>
      </w:r>
    </w:p>
    <w:p w14:paraId="0644EE8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：施工参考品牌一览表</w:t>
      </w:r>
    </w:p>
    <w:p w14:paraId="0F8E299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rPr>
        <w:t>：工程资金监管协议主要条款</w:t>
      </w:r>
    </w:p>
    <w:p w14:paraId="1D110B1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p>
    <w:p w14:paraId="51F0CF77">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6F14A5B">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068855D">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2714CD9">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21292B4">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D305219">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68AC8D5">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385E1EC">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4930A7E">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27F957A">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209399F0">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00C80C0C">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DA1BC58">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6CDD8BEE">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166AF9B0">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221982D">
      <w:pPr>
        <w:pageBreakBefore w:val="0"/>
        <w:kinsoku/>
        <w:overflowPunct/>
        <w:bidi w:val="0"/>
        <w:spacing w:after="0" w:afterLines="0" w:line="360" w:lineRule="auto"/>
        <w:textAlignment w:val="auto"/>
        <w:rPr>
          <w:rFonts w:hint="eastAsia"/>
        </w:rPr>
      </w:pPr>
    </w:p>
    <w:p w14:paraId="0BF00FA1">
      <w:pPr>
        <w:pageBreakBefore w:val="0"/>
        <w:kinsoku/>
        <w:wordWrap/>
        <w:overflowPunct/>
        <w:topLinePunct w:val="0"/>
        <w:bidi w:val="0"/>
        <w:adjustRightInd/>
        <w:snapToGrid/>
        <w:spacing w:after="0" w:afterLines="0" w:line="360" w:lineRule="auto"/>
        <w:ind w:firstLine="0" w:firstLineChars="0"/>
        <w:jc w:val="left"/>
        <w:textAlignment w:val="auto"/>
        <w:rPr>
          <w:rFonts w:hint="eastAsia" w:ascii="宋体" w:hAnsi="宋体" w:eastAsia="宋体" w:cs="宋体"/>
          <w:color w:val="auto"/>
          <w:sz w:val="21"/>
          <w:szCs w:val="21"/>
        </w:rPr>
      </w:pPr>
    </w:p>
    <w:p w14:paraId="0C8F44B4">
      <w:pPr>
        <w:pStyle w:val="2"/>
        <w:rPr>
          <w:rFonts w:hint="eastAsia" w:ascii="宋体" w:hAnsi="宋体" w:eastAsia="宋体" w:cs="宋体"/>
          <w:color w:val="auto"/>
          <w:sz w:val="21"/>
          <w:szCs w:val="21"/>
        </w:rPr>
      </w:pPr>
    </w:p>
    <w:p w14:paraId="2AAFFFEA">
      <w:pPr>
        <w:rPr>
          <w:rFonts w:hint="eastAsia"/>
        </w:rPr>
      </w:pPr>
    </w:p>
    <w:p w14:paraId="77587428">
      <w:pPr>
        <w:pStyle w:val="80"/>
        <w:pageBreakBefore w:val="0"/>
        <w:numPr>
          <w:ilvl w:val="0"/>
          <w:numId w:val="0"/>
        </w:numPr>
        <w:kinsoku/>
        <w:overflowPunct/>
        <w:bidi w:val="0"/>
        <w:spacing w:after="0" w:afterLines="0" w:line="360" w:lineRule="auto"/>
        <w:textAlignment w:val="auto"/>
        <w:rPr>
          <w:rFonts w:hint="eastAsia" w:ascii="宋体" w:hAnsi="宋体" w:eastAsia="宋体" w:cs="宋体"/>
          <w:color w:val="auto"/>
          <w:sz w:val="21"/>
          <w:szCs w:val="21"/>
        </w:rPr>
      </w:pPr>
      <w:bookmarkStart w:id="700" w:name="_Toc1948"/>
      <w:bookmarkStart w:id="701" w:name="_Toc11256"/>
      <w:bookmarkStart w:id="702" w:name="_Toc20171895"/>
      <w:bookmarkStart w:id="703" w:name="_Toc54862354"/>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 xml:space="preserve"> 工程质量保修书</w:t>
      </w:r>
      <w:bookmarkEnd w:id="700"/>
      <w:bookmarkEnd w:id="701"/>
      <w:bookmarkEnd w:id="702"/>
      <w:bookmarkEnd w:id="703"/>
    </w:p>
    <w:p w14:paraId="787239E8">
      <w:pPr>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发包人（全称）：</w:t>
      </w:r>
      <w:r>
        <w:rPr>
          <w:rFonts w:hint="eastAsia" w:eastAsia="宋体" w:cs="宋体"/>
          <w:color w:val="auto"/>
          <w:sz w:val="21"/>
          <w:szCs w:val="21"/>
          <w:u w:val="single"/>
          <w:lang w:eastAsia="zh-CN"/>
        </w:rPr>
        <w:t>三亚市教育局</w:t>
      </w:r>
    </w:p>
    <w:p w14:paraId="06C3696E">
      <w:pPr>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承包人（全称）：</w:t>
      </w:r>
      <w:r>
        <w:rPr>
          <w:rFonts w:hint="eastAsia" w:eastAsia="宋体" w:cs="宋体"/>
          <w:color w:val="auto"/>
          <w:sz w:val="21"/>
          <w:szCs w:val="21"/>
          <w:u w:val="single"/>
          <w:lang w:eastAsia="zh-CN"/>
        </w:rPr>
        <w:t xml:space="preserve">         </w:t>
      </w:r>
      <w:r>
        <w:rPr>
          <w:rFonts w:hint="eastAsia" w:eastAsia="宋体" w:cs="宋体"/>
          <w:color w:val="auto"/>
          <w:sz w:val="21"/>
          <w:szCs w:val="21"/>
          <w:u w:val="single"/>
          <w:lang w:val="en-US" w:eastAsia="zh-CN"/>
        </w:rPr>
        <w:t xml:space="preserve">                   </w:t>
      </w:r>
      <w:r>
        <w:rPr>
          <w:rFonts w:hint="eastAsia"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p>
    <w:p w14:paraId="78C280C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发包人和承包人根据《中华人民共和国建筑法》和《建设工程质量管理条例》，经协商一致就</w:t>
      </w:r>
      <w:r>
        <w:rPr>
          <w:rFonts w:hint="eastAsia" w:eastAsia="宋体" w:cs="宋体"/>
          <w:color w:val="auto"/>
          <w:sz w:val="21"/>
          <w:szCs w:val="21"/>
          <w:u w:val="single"/>
          <w:lang w:eastAsia="zh-CN"/>
        </w:rPr>
        <w:t>人大附中三亚学校消防系统及风雨连廊修复等项目</w:t>
      </w:r>
      <w:r>
        <w:rPr>
          <w:rFonts w:hint="eastAsia" w:ascii="宋体" w:hAnsi="宋体" w:eastAsia="宋体" w:cs="宋体"/>
          <w:color w:val="auto"/>
          <w:sz w:val="21"/>
          <w:szCs w:val="21"/>
        </w:rPr>
        <w:t>（工程全称）订立工程质量保修书。</w:t>
      </w:r>
    </w:p>
    <w:p w14:paraId="6E261F6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一、工程质量保修范围和内容</w:t>
      </w:r>
    </w:p>
    <w:p w14:paraId="0906998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承包人在质量保修期内，按照有关法律规定和合同约定，承担工程质量保修责任。</w:t>
      </w:r>
    </w:p>
    <w:p w14:paraId="3E2EE18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1"/>
          <w:szCs w:val="21"/>
          <w:u w:val="single"/>
        </w:rPr>
        <w:t xml:space="preserve">  本工程承包范围内的全部工程内容  </w:t>
      </w:r>
      <w:r>
        <w:rPr>
          <w:rFonts w:hint="eastAsia" w:ascii="宋体" w:hAnsi="宋体" w:eastAsia="宋体" w:cs="宋体"/>
          <w:color w:val="auto"/>
          <w:sz w:val="21"/>
          <w:szCs w:val="21"/>
        </w:rPr>
        <w:t>。</w:t>
      </w:r>
    </w:p>
    <w:p w14:paraId="70F403B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208EE8B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根据《建设工程质量管理条例》及有关规定，工程的质量保修期如下：</w:t>
      </w:r>
    </w:p>
    <w:p w14:paraId="45171C6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1．地基基础工程和主体结构工程为设计文件规定的工程合理使用年限；</w:t>
      </w:r>
    </w:p>
    <w:p w14:paraId="19B525A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10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076F148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3．装修工程为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38B0E57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4．电气管线、给排水管道、设备安装工程为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52D1046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5．供热与供冷系统为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个采暖期、供冷期；</w:t>
      </w:r>
    </w:p>
    <w:p w14:paraId="2E488EAE">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6．住宅小区内的给排水设施、道路等配套工程为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41916D9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7．其他项目保修期限约定如下：</w:t>
      </w:r>
    </w:p>
    <w:p w14:paraId="757DC7B6">
      <w:pPr>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（1）电梯工程质量保修期为两年，且不少于电梯设备取得政府主管部门《电梯使用标志》合格证之日起一年；</w:t>
      </w:r>
    </w:p>
    <w:p w14:paraId="091A54AC">
      <w:pPr>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（2）其他项目保修期限约定如下：有国家规定的，按国家规定执行，无规定的保修期为二年。</w:t>
      </w:r>
    </w:p>
    <w:p w14:paraId="6B142D8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质量保修期自工程竣工验收合格之日起计算。</w:t>
      </w:r>
    </w:p>
    <w:p w14:paraId="0ACBEB6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三、缺陷责任期</w:t>
      </w:r>
    </w:p>
    <w:p w14:paraId="2D1EC53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工程缺陷责任期为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24</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个月，缺陷责任期自工程通过竣工验收之日起计算。单位/区段工程先于全部工程进行验收，单位/区段工程缺陷责任期自单位/区段工程验收合格之日起算</w:t>
      </w:r>
      <w:r>
        <w:rPr>
          <w:rFonts w:hint="eastAsia" w:ascii="宋体" w:hAnsi="宋体" w:eastAsia="宋体" w:cs="宋体"/>
          <w:color w:val="auto"/>
          <w:sz w:val="21"/>
          <w:szCs w:val="21"/>
          <w:lang w:val="en-US" w:eastAsia="zh-CN"/>
        </w:rPr>
        <w:t>;</w:t>
      </w:r>
    </w:p>
    <w:p w14:paraId="21D2823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缺陷责任期终止后，发包人应返还剩余的质量保证金。</w:t>
      </w:r>
    </w:p>
    <w:p w14:paraId="1740B14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四、质量保修责任</w:t>
      </w:r>
    </w:p>
    <w:p w14:paraId="39BA5AC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1．属于保修范围、内容的项目，承包人应当在接到保修通知之日起7天内派人保修。承包人不在约定期限内派人保修的，发包人可以委托他人修理。</w:t>
      </w:r>
    </w:p>
    <w:p w14:paraId="7935FB3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2．发生紧急事故需抢修的，承包人在接到事故通知后，应当立即到达事故现场抢修。</w:t>
      </w:r>
    </w:p>
    <w:p w14:paraId="4B2C3A9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5AF60C81">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4．质量保修完成后，由发包人组织验收。</w:t>
      </w:r>
    </w:p>
    <w:p w14:paraId="26D61CD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五、保修费用</w:t>
      </w:r>
    </w:p>
    <w:p w14:paraId="642402F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保修费用由造成质量缺陷的责任方承担。</w:t>
      </w:r>
    </w:p>
    <w:p w14:paraId="5F1DDC2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六、双方约定的其他工程质量保修事项：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9513FA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工程质量保修书由发包人、承包人在工程竣工验收前共同签署，作为工程</w:t>
      </w:r>
      <w:r>
        <w:rPr>
          <w:rFonts w:hint="eastAsia" w:eastAsia="宋体" w:cs="宋体"/>
          <w:color w:val="auto"/>
          <w:sz w:val="21"/>
          <w:szCs w:val="21"/>
          <w:lang w:eastAsia="zh-CN"/>
        </w:rPr>
        <w:t>施工</w:t>
      </w:r>
      <w:r>
        <w:rPr>
          <w:rFonts w:hint="eastAsia" w:ascii="宋体" w:hAnsi="宋体" w:eastAsia="宋体" w:cs="宋体"/>
          <w:color w:val="auto"/>
          <w:sz w:val="21"/>
          <w:szCs w:val="21"/>
        </w:rPr>
        <w:t>合同附件，其有效期限至保修期满。</w:t>
      </w:r>
    </w:p>
    <w:p w14:paraId="4E0BDCF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p>
    <w:p w14:paraId="6F4812A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发包人(公章)：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承包人(公章)：          </w:t>
      </w:r>
    </w:p>
    <w:p w14:paraId="7DDF9B04">
      <w:pPr>
        <w:pageBreakBefore w:val="0"/>
        <w:kinsoku/>
        <w:wordWrap/>
        <w:overflowPunct/>
        <w:topLinePunct w:val="0"/>
        <w:bidi w:val="0"/>
        <w:spacing w:after="0" w:afterLines="0" w:line="360" w:lineRule="auto"/>
        <w:ind w:left="4380" w:leftChars="250" w:hanging="3780" w:hangingChars="18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地  址：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地  址：</w:t>
      </w:r>
      <w:r>
        <w:rPr>
          <w:rFonts w:hint="eastAsia" w:eastAsia="宋体" w:cs="宋体"/>
          <w:color w:val="auto"/>
          <w:sz w:val="21"/>
          <w:szCs w:val="21"/>
          <w:lang w:eastAsia="zh-CN"/>
        </w:rPr>
        <w:t xml:space="preserve">          </w:t>
      </w:r>
      <w:r>
        <w:rPr>
          <w:rFonts w:hint="eastAsia" w:ascii="宋体" w:hAnsi="宋体" w:eastAsia="宋体" w:cs="宋体"/>
          <w:color w:val="auto"/>
          <w:sz w:val="21"/>
          <w:szCs w:val="21"/>
        </w:rPr>
        <w:t xml:space="preserve">       </w:t>
      </w:r>
    </w:p>
    <w:p w14:paraId="11FCD59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法定代表人(签字)：       </w:t>
      </w:r>
    </w:p>
    <w:p w14:paraId="1CD3BDF1">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委托代理人(签字)：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委托代理人(签字)：       </w:t>
      </w:r>
    </w:p>
    <w:p w14:paraId="1337DC7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电  话：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电  话：</w:t>
      </w:r>
      <w:r>
        <w:rPr>
          <w:rFonts w:hint="eastAsia" w:eastAsia="宋体" w:cs="宋体"/>
          <w:color w:val="auto"/>
          <w:sz w:val="21"/>
          <w:szCs w:val="21"/>
          <w:lang w:eastAsia="zh-CN"/>
        </w:rPr>
        <w:t xml:space="preserve">          </w:t>
      </w:r>
    </w:p>
    <w:p w14:paraId="6E42206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传  真：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传  真：  </w:t>
      </w:r>
    </w:p>
    <w:p w14:paraId="7CCCA835">
      <w:pPr>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开户银行：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开户银行：</w:t>
      </w:r>
      <w:r>
        <w:rPr>
          <w:rFonts w:hint="eastAsia" w:eastAsia="宋体" w:cs="宋体"/>
          <w:color w:val="auto"/>
          <w:sz w:val="21"/>
          <w:szCs w:val="21"/>
          <w:lang w:eastAsia="zh-CN"/>
        </w:rPr>
        <w:t xml:space="preserve">          </w:t>
      </w:r>
    </w:p>
    <w:p w14:paraId="41CE6C8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账  号：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账  号：</w:t>
      </w:r>
      <w:r>
        <w:rPr>
          <w:rFonts w:hint="eastAsia" w:eastAsia="宋体" w:cs="宋体"/>
          <w:color w:val="auto"/>
          <w:sz w:val="21"/>
          <w:szCs w:val="21"/>
          <w:lang w:eastAsia="zh-CN"/>
        </w:rPr>
        <w:t xml:space="preserve">          </w:t>
      </w:r>
      <w:r>
        <w:rPr>
          <w:rFonts w:hint="eastAsia" w:ascii="宋体" w:hAnsi="宋体" w:eastAsia="宋体" w:cs="宋体"/>
          <w:color w:val="auto"/>
          <w:sz w:val="21"/>
          <w:szCs w:val="21"/>
        </w:rPr>
        <w:t xml:space="preserve"> </w:t>
      </w:r>
    </w:p>
    <w:p w14:paraId="27FC6AD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邮政编码：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邮政编码：   </w:t>
      </w:r>
    </w:p>
    <w:p w14:paraId="3197A5A2">
      <w:pPr>
        <w:pageBreakBefore w:val="0"/>
        <w:kinsoku/>
        <w:wordWrap/>
        <w:overflowPunct/>
        <w:topLinePunct w:val="0"/>
        <w:bidi w:val="0"/>
        <w:adjustRightInd/>
        <w:snapToGrid/>
        <w:spacing w:after="0" w:afterLines="0"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14:paraId="1ABA3402">
      <w:pPr>
        <w:pStyle w:val="80"/>
        <w:pageBreakBefore w:val="0"/>
        <w:numPr>
          <w:ilvl w:val="0"/>
          <w:numId w:val="0"/>
        </w:numPr>
        <w:kinsoku/>
        <w:overflowPunct/>
        <w:bidi w:val="0"/>
        <w:spacing w:after="0" w:afterLines="0" w:line="360" w:lineRule="auto"/>
        <w:textAlignment w:val="auto"/>
        <w:rPr>
          <w:rFonts w:hint="eastAsia" w:ascii="宋体" w:hAnsi="宋体" w:eastAsia="宋体" w:cs="宋体"/>
          <w:color w:val="auto"/>
          <w:sz w:val="21"/>
          <w:szCs w:val="21"/>
        </w:rPr>
      </w:pPr>
      <w:bookmarkStart w:id="704" w:name="_Toc20171897"/>
      <w:bookmarkStart w:id="705" w:name="_Toc54862356"/>
      <w:bookmarkStart w:id="706" w:name="_Toc19242"/>
      <w:bookmarkStart w:id="707" w:name="_Toc32383"/>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 xml:space="preserve"> 承包人主要管理人员表</w:t>
      </w:r>
      <w:bookmarkEnd w:id="704"/>
      <w:bookmarkEnd w:id="705"/>
      <w:bookmarkEnd w:id="706"/>
      <w:bookmarkEnd w:id="707"/>
    </w:p>
    <w:tbl>
      <w:tblPr>
        <w:tblStyle w:val="35"/>
        <w:tblW w:w="90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02570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5202C280">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名    称</w:t>
            </w:r>
          </w:p>
        </w:tc>
        <w:tc>
          <w:tcPr>
            <w:tcW w:w="1418" w:type="dxa"/>
            <w:tcBorders>
              <w:top w:val="single" w:color="auto" w:sz="12" w:space="0"/>
              <w:bottom w:val="double" w:color="auto" w:sz="6" w:space="0"/>
            </w:tcBorders>
            <w:noWrap w:val="0"/>
            <w:vAlign w:val="center"/>
          </w:tcPr>
          <w:p w14:paraId="6EF41D5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1134" w:type="dxa"/>
            <w:tcBorders>
              <w:top w:val="single" w:color="auto" w:sz="12" w:space="0"/>
              <w:bottom w:val="double" w:color="auto" w:sz="6" w:space="0"/>
            </w:tcBorders>
            <w:noWrap w:val="0"/>
            <w:vAlign w:val="center"/>
          </w:tcPr>
          <w:p w14:paraId="7394194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职务</w:t>
            </w:r>
          </w:p>
        </w:tc>
        <w:tc>
          <w:tcPr>
            <w:tcW w:w="1134" w:type="dxa"/>
            <w:tcBorders>
              <w:top w:val="single" w:color="auto" w:sz="12" w:space="0"/>
              <w:bottom w:val="double" w:color="auto" w:sz="6" w:space="0"/>
            </w:tcBorders>
            <w:noWrap w:val="0"/>
            <w:vAlign w:val="center"/>
          </w:tcPr>
          <w:p w14:paraId="3838282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职称</w:t>
            </w:r>
          </w:p>
        </w:tc>
        <w:tc>
          <w:tcPr>
            <w:tcW w:w="3896" w:type="dxa"/>
            <w:tcBorders>
              <w:top w:val="single" w:color="auto" w:sz="12" w:space="0"/>
              <w:bottom w:val="double" w:color="auto" w:sz="6" w:space="0"/>
            </w:tcBorders>
            <w:noWrap w:val="0"/>
            <w:vAlign w:val="center"/>
          </w:tcPr>
          <w:p w14:paraId="2ADE6D91">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主要资历、经验及承担过的项目</w:t>
            </w:r>
          </w:p>
        </w:tc>
      </w:tr>
      <w:tr w14:paraId="4C817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3543473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一、总部人员</w:t>
            </w:r>
          </w:p>
        </w:tc>
      </w:tr>
      <w:tr w14:paraId="77518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675D57F1">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项目主管</w:t>
            </w:r>
          </w:p>
        </w:tc>
        <w:tc>
          <w:tcPr>
            <w:tcW w:w="1418" w:type="dxa"/>
            <w:tcBorders>
              <w:top w:val="nil"/>
            </w:tcBorders>
            <w:noWrap w:val="0"/>
            <w:vAlign w:val="center"/>
          </w:tcPr>
          <w:p w14:paraId="2C12C989">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tcBorders>
              <w:top w:val="nil"/>
            </w:tcBorders>
            <w:noWrap w:val="0"/>
            <w:vAlign w:val="center"/>
          </w:tcPr>
          <w:p w14:paraId="73CA580D">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tcBorders>
              <w:top w:val="nil"/>
            </w:tcBorders>
            <w:noWrap w:val="0"/>
            <w:vAlign w:val="center"/>
          </w:tcPr>
          <w:p w14:paraId="48A24DCF">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tcBorders>
              <w:top w:val="nil"/>
            </w:tcBorders>
            <w:noWrap w:val="0"/>
            <w:vAlign w:val="center"/>
          </w:tcPr>
          <w:p w14:paraId="58A08AF9">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A4C5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6E65B731">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50F74D05">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02336CC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45EF9C91">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noWrap w:val="0"/>
            <w:vAlign w:val="center"/>
          </w:tcPr>
          <w:p w14:paraId="428AFC6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4F0F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C1C7D14">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其他人员</w:t>
            </w:r>
          </w:p>
        </w:tc>
        <w:tc>
          <w:tcPr>
            <w:tcW w:w="1418" w:type="dxa"/>
            <w:noWrap w:val="0"/>
            <w:vAlign w:val="center"/>
          </w:tcPr>
          <w:p w14:paraId="5B1B3F8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60AF555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5F40A6A7">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noWrap w:val="0"/>
            <w:vAlign w:val="center"/>
          </w:tcPr>
          <w:p w14:paraId="28483527">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7B813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41A4CDC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2C92C15F">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7E7ADD93">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731DD492">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noWrap w:val="0"/>
            <w:vAlign w:val="center"/>
          </w:tcPr>
          <w:p w14:paraId="2886617F">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3AE44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6C2BD19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二、现场人员</w:t>
            </w:r>
          </w:p>
        </w:tc>
      </w:tr>
      <w:tr w14:paraId="6B2C54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9" w:hRule="atLeast"/>
          <w:jc w:val="center"/>
        </w:trPr>
        <w:tc>
          <w:tcPr>
            <w:tcW w:w="1505" w:type="dxa"/>
            <w:tcBorders>
              <w:top w:val="single" w:color="auto" w:sz="6" w:space="0"/>
              <w:bottom w:val="single" w:color="auto" w:sz="6" w:space="0"/>
            </w:tcBorders>
            <w:noWrap w:val="0"/>
            <w:vAlign w:val="center"/>
          </w:tcPr>
          <w:p w14:paraId="24BA4851">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项目经理</w:t>
            </w:r>
          </w:p>
        </w:tc>
        <w:tc>
          <w:tcPr>
            <w:tcW w:w="1418" w:type="dxa"/>
            <w:noWrap w:val="0"/>
            <w:vAlign w:val="center"/>
          </w:tcPr>
          <w:p w14:paraId="236B7861">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lang w:eastAsia="zh-CN"/>
              </w:rPr>
            </w:pPr>
            <w:r>
              <w:rPr>
                <w:rFonts w:hint="eastAsia" w:eastAsia="宋体" w:cs="宋体"/>
                <w:color w:val="auto"/>
                <w:sz w:val="21"/>
                <w:szCs w:val="21"/>
                <w:lang w:eastAsia="zh-CN"/>
              </w:rPr>
              <w:t xml:space="preserve">          </w:t>
            </w:r>
          </w:p>
        </w:tc>
        <w:tc>
          <w:tcPr>
            <w:tcW w:w="1134" w:type="dxa"/>
            <w:noWrap w:val="0"/>
            <w:vAlign w:val="center"/>
          </w:tcPr>
          <w:p w14:paraId="465F17D9">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353CEAC4">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3896" w:type="dxa"/>
            <w:noWrap w:val="0"/>
            <w:vAlign w:val="center"/>
          </w:tcPr>
          <w:p w14:paraId="227F5FC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p w14:paraId="2930AB03">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3B2C8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0E96FCD">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项目副经理</w:t>
            </w:r>
          </w:p>
        </w:tc>
        <w:tc>
          <w:tcPr>
            <w:tcW w:w="1418" w:type="dxa"/>
            <w:noWrap w:val="0"/>
            <w:vAlign w:val="center"/>
          </w:tcPr>
          <w:p w14:paraId="1936BBF7">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447A4F6C">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CB2D5BE">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29B21D6A">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66155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B6489E5">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施工负责人</w:t>
            </w:r>
          </w:p>
        </w:tc>
        <w:tc>
          <w:tcPr>
            <w:tcW w:w="1418" w:type="dxa"/>
            <w:noWrap w:val="0"/>
            <w:vAlign w:val="center"/>
          </w:tcPr>
          <w:p w14:paraId="496D93A5">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75B3CDE9">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AC3E126">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4F2C2197">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0BE87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94E381C">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技术负责人</w:t>
            </w:r>
          </w:p>
        </w:tc>
        <w:tc>
          <w:tcPr>
            <w:tcW w:w="1418" w:type="dxa"/>
            <w:noWrap w:val="0"/>
            <w:vAlign w:val="center"/>
          </w:tcPr>
          <w:p w14:paraId="0B98627D">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6E54CDA6">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6D7F2BC5">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3CA6DA5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6436F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3E607F9">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造价管理</w:t>
            </w:r>
          </w:p>
        </w:tc>
        <w:tc>
          <w:tcPr>
            <w:tcW w:w="1418" w:type="dxa"/>
            <w:noWrap w:val="0"/>
            <w:vAlign w:val="center"/>
          </w:tcPr>
          <w:p w14:paraId="1D57D853">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6E8D5A7">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5EF255F7">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5A6BB4E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4CA3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D7CF101">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质量管理</w:t>
            </w:r>
          </w:p>
        </w:tc>
        <w:tc>
          <w:tcPr>
            <w:tcW w:w="1418" w:type="dxa"/>
            <w:noWrap w:val="0"/>
            <w:vAlign w:val="center"/>
          </w:tcPr>
          <w:p w14:paraId="5D1EAA95">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6C85F50D">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3344506E">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7A13B577">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41F1F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D96F2AA">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计划管理</w:t>
            </w:r>
          </w:p>
        </w:tc>
        <w:tc>
          <w:tcPr>
            <w:tcW w:w="1418" w:type="dxa"/>
            <w:noWrap w:val="0"/>
            <w:vAlign w:val="center"/>
          </w:tcPr>
          <w:p w14:paraId="416A2B68">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4080345F">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F2C588B">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037238FD">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737A5D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A268E8D">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安全管理</w:t>
            </w:r>
          </w:p>
        </w:tc>
        <w:tc>
          <w:tcPr>
            <w:tcW w:w="1418" w:type="dxa"/>
            <w:noWrap w:val="0"/>
            <w:vAlign w:val="center"/>
          </w:tcPr>
          <w:p w14:paraId="6F345B3C">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555E8312">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4B8E34BC">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6E2FF4B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5C2EF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D05EA75">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环境管理</w:t>
            </w:r>
          </w:p>
        </w:tc>
        <w:tc>
          <w:tcPr>
            <w:tcW w:w="1418" w:type="dxa"/>
            <w:noWrap w:val="0"/>
            <w:vAlign w:val="center"/>
          </w:tcPr>
          <w:p w14:paraId="77246B80">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504D4535">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994044F">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2B579F42">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01C47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4A2F369C">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其他人员</w:t>
            </w:r>
          </w:p>
        </w:tc>
        <w:tc>
          <w:tcPr>
            <w:tcW w:w="1418" w:type="dxa"/>
            <w:noWrap w:val="0"/>
            <w:vAlign w:val="center"/>
          </w:tcPr>
          <w:p w14:paraId="58711883">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5BA143FB">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5FDAB723">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lang w:val="en-US" w:eastAsia="zh-CN"/>
              </w:rPr>
            </w:pPr>
          </w:p>
        </w:tc>
        <w:tc>
          <w:tcPr>
            <w:tcW w:w="3896" w:type="dxa"/>
            <w:noWrap w:val="0"/>
            <w:vAlign w:val="center"/>
          </w:tcPr>
          <w:p w14:paraId="11F8CD5A">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5D367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B55B5C7">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tcBorders>
              <w:bottom w:val="nil"/>
            </w:tcBorders>
            <w:noWrap w:val="0"/>
            <w:vAlign w:val="center"/>
          </w:tcPr>
          <w:p w14:paraId="75BE20A3">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tcBorders>
              <w:bottom w:val="nil"/>
            </w:tcBorders>
            <w:noWrap w:val="0"/>
            <w:vAlign w:val="center"/>
          </w:tcPr>
          <w:p w14:paraId="432C05AC">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tcBorders>
              <w:bottom w:val="nil"/>
            </w:tcBorders>
            <w:noWrap w:val="0"/>
            <w:vAlign w:val="center"/>
          </w:tcPr>
          <w:p w14:paraId="2E4A3980">
            <w:pPr>
              <w:pStyle w:val="16"/>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lang w:val="en-US" w:eastAsia="zh-CN"/>
              </w:rPr>
            </w:pPr>
          </w:p>
        </w:tc>
        <w:tc>
          <w:tcPr>
            <w:tcW w:w="3896" w:type="dxa"/>
            <w:tcBorders>
              <w:bottom w:val="nil"/>
            </w:tcBorders>
            <w:noWrap w:val="0"/>
            <w:vAlign w:val="center"/>
          </w:tcPr>
          <w:p w14:paraId="7A2A6300">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04837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4439A86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30212CCE">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F7F17F1">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4A5B50E4">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lang w:val="en-US" w:eastAsia="zh-CN"/>
              </w:rPr>
            </w:pPr>
          </w:p>
        </w:tc>
        <w:tc>
          <w:tcPr>
            <w:tcW w:w="3896" w:type="dxa"/>
            <w:noWrap w:val="0"/>
            <w:vAlign w:val="center"/>
          </w:tcPr>
          <w:p w14:paraId="6CCAD270">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34853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4B81D8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02476941">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3BA4CC95">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539437AA">
            <w:pPr>
              <w:pStyle w:val="16"/>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lang w:val="en-US" w:eastAsia="zh-CN"/>
              </w:rPr>
            </w:pPr>
          </w:p>
        </w:tc>
        <w:tc>
          <w:tcPr>
            <w:tcW w:w="3896" w:type="dxa"/>
            <w:noWrap w:val="0"/>
            <w:vAlign w:val="center"/>
          </w:tcPr>
          <w:p w14:paraId="36CFC94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4BD1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0FE4E54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32100002">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23E92B1">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56972A9A">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lang w:val="en-US" w:eastAsia="zh-CN"/>
              </w:rPr>
            </w:pPr>
          </w:p>
        </w:tc>
        <w:tc>
          <w:tcPr>
            <w:tcW w:w="3896" w:type="dxa"/>
            <w:noWrap w:val="0"/>
            <w:vAlign w:val="center"/>
          </w:tcPr>
          <w:p w14:paraId="738D716A">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6B6A55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6364DCD1">
            <w:pPr>
              <w:pStyle w:val="16"/>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p>
        </w:tc>
        <w:tc>
          <w:tcPr>
            <w:tcW w:w="1418" w:type="dxa"/>
            <w:tcBorders>
              <w:bottom w:val="single" w:color="auto" w:sz="12" w:space="0"/>
            </w:tcBorders>
            <w:noWrap w:val="0"/>
            <w:vAlign w:val="center"/>
          </w:tcPr>
          <w:p w14:paraId="25A9C131">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tcBorders>
              <w:bottom w:val="single" w:color="auto" w:sz="12" w:space="0"/>
            </w:tcBorders>
            <w:noWrap w:val="0"/>
            <w:vAlign w:val="center"/>
          </w:tcPr>
          <w:p w14:paraId="680F70C5">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tcBorders>
              <w:bottom w:val="single" w:color="auto" w:sz="12" w:space="0"/>
            </w:tcBorders>
            <w:noWrap w:val="0"/>
            <w:vAlign w:val="center"/>
          </w:tcPr>
          <w:p w14:paraId="1A7DA4D6">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tcBorders>
              <w:bottom w:val="single" w:color="auto" w:sz="12" w:space="0"/>
            </w:tcBorders>
            <w:noWrap w:val="0"/>
            <w:vAlign w:val="center"/>
          </w:tcPr>
          <w:p w14:paraId="0B23D938">
            <w:pPr>
              <w:pStyle w:val="16"/>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p>
        </w:tc>
      </w:tr>
    </w:tbl>
    <w:p w14:paraId="667FB053">
      <w:pPr>
        <w:pStyle w:val="7"/>
        <w:pageBreakBefore w:val="0"/>
        <w:kinsoku/>
        <w:overflowPunct/>
        <w:bidi w:val="0"/>
        <w:spacing w:before="0" w:after="0" w:afterLines="0" w:line="360" w:lineRule="auto"/>
        <w:ind w:left="0" w:firstLine="0" w:firstLineChars="0"/>
        <w:textAlignment w:val="auto"/>
        <w:rPr>
          <w:color w:val="auto"/>
          <w:sz w:val="21"/>
          <w:szCs w:val="21"/>
          <w:highlight w:val="none"/>
        </w:rPr>
      </w:pPr>
      <w:r>
        <w:rPr>
          <w:rFonts w:hint="eastAsia" w:ascii="宋体" w:hAnsi="宋体" w:eastAsia="宋体" w:cs="宋体"/>
          <w:color w:val="auto"/>
          <w:sz w:val="21"/>
          <w:szCs w:val="21"/>
        </w:rPr>
        <w:br w:type="page"/>
      </w:r>
      <w:bookmarkStart w:id="708" w:name="_Toc23664_WPSOffice_Level1"/>
      <w:bookmarkStart w:id="709" w:name="_Toc9386"/>
      <w:bookmarkStart w:id="710" w:name="_Toc12519"/>
      <w:bookmarkStart w:id="711" w:name="_Toc22100"/>
      <w:bookmarkStart w:id="712" w:name="_Toc10343"/>
      <w:bookmarkStart w:id="713" w:name="_Toc22595"/>
      <w:bookmarkStart w:id="714" w:name="_Toc7674"/>
      <w:bookmarkStart w:id="715" w:name="_Toc4780"/>
      <w:bookmarkStart w:id="716" w:name="_Toc29946_WPSOffice_Level1"/>
      <w:r>
        <w:rPr>
          <w:color w:val="auto"/>
          <w:sz w:val="21"/>
          <w:szCs w:val="21"/>
          <w:highlight w:val="none"/>
        </w:rPr>
        <w:t>附件</w:t>
      </w:r>
      <w:r>
        <w:rPr>
          <w:rFonts w:hint="eastAsia"/>
          <w:color w:val="auto"/>
          <w:sz w:val="21"/>
          <w:szCs w:val="21"/>
          <w:highlight w:val="none"/>
        </w:rPr>
        <w:t>3</w:t>
      </w:r>
      <w:r>
        <w:rPr>
          <w:color w:val="auto"/>
          <w:sz w:val="21"/>
          <w:szCs w:val="21"/>
          <w:highlight w:val="none"/>
        </w:rPr>
        <w:t>：履约担保</w:t>
      </w:r>
      <w:bookmarkEnd w:id="708"/>
      <w:r>
        <w:rPr>
          <w:rFonts w:hint="eastAsia"/>
          <w:color w:val="auto"/>
          <w:sz w:val="21"/>
          <w:szCs w:val="21"/>
          <w:highlight w:val="none"/>
        </w:rPr>
        <w:t>格式</w:t>
      </w:r>
      <w:bookmarkEnd w:id="709"/>
    </w:p>
    <w:p w14:paraId="6835D217">
      <w:pPr>
        <w:pageBreakBefore w:val="0"/>
        <w:kinsoku/>
        <w:overflowPunct/>
        <w:bidi w:val="0"/>
        <w:spacing w:after="0" w:afterLines="0" w:line="360" w:lineRule="auto"/>
        <w:ind w:left="3375" w:right="3375"/>
        <w:jc w:val="center"/>
        <w:textAlignment w:val="auto"/>
        <w:rPr>
          <w:rFonts w:hint="eastAsia" w:cs="宋体"/>
          <w:b/>
          <w:color w:val="auto"/>
          <w:sz w:val="21"/>
          <w:szCs w:val="21"/>
          <w:highlight w:val="none"/>
        </w:rPr>
      </w:pPr>
      <w:r>
        <w:rPr>
          <w:rFonts w:hint="eastAsia" w:cs="宋体"/>
          <w:b/>
          <w:color w:val="auto"/>
          <w:sz w:val="21"/>
          <w:szCs w:val="21"/>
          <w:highlight w:val="none"/>
        </w:rPr>
        <w:t>履约担保</w:t>
      </w:r>
    </w:p>
    <w:p w14:paraId="1261B08D">
      <w:pPr>
        <w:pStyle w:val="16"/>
        <w:pageBreakBefore w:val="0"/>
        <w:kinsoku/>
        <w:overflowPunct/>
        <w:bidi w:val="0"/>
        <w:spacing w:after="0" w:afterLines="0" w:line="360" w:lineRule="auto"/>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XXX公司</w:t>
      </w:r>
      <w:r>
        <w:rPr>
          <w:rFonts w:hint="eastAsia" w:ascii="宋体" w:hAnsi="宋体" w:cs="宋体"/>
          <w:color w:val="auto"/>
          <w:sz w:val="21"/>
          <w:szCs w:val="21"/>
          <w:highlight w:val="none"/>
        </w:rPr>
        <w:t>：</w:t>
      </w:r>
    </w:p>
    <w:p w14:paraId="3F88786E">
      <w:pPr>
        <w:pStyle w:val="16"/>
        <w:pageBreakBefore w:val="0"/>
        <w:kinsoku/>
        <w:overflowPunct/>
        <w:bidi w:val="0"/>
        <w:spacing w:after="0" w:afterLines="0" w:line="360" w:lineRule="auto"/>
        <w:ind w:left="679"/>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鉴于</w:t>
      </w:r>
      <w:r>
        <w:rPr>
          <w:rFonts w:hint="eastAsia" w:ascii="宋体" w:hAnsi="宋体" w:cs="宋体"/>
          <w:color w:val="auto"/>
          <w:sz w:val="21"/>
          <w:szCs w:val="21"/>
          <w:highlight w:val="none"/>
          <w:u w:val="single"/>
        </w:rPr>
        <w:t xml:space="preserve">                                              </w:t>
      </w:r>
    </w:p>
    <w:p w14:paraId="043E9214">
      <w:pPr>
        <w:pStyle w:val="16"/>
        <w:pageBreakBefore w:val="0"/>
        <w:kinsoku/>
        <w:overflowPunct/>
        <w:bidi w:val="0"/>
        <w:spacing w:after="0" w:afterLines="0" w:line="360" w:lineRule="auto"/>
        <w:ind w:right="302"/>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以下简称“你方</w:t>
      </w:r>
      <w:r>
        <w:rPr>
          <w:rFonts w:hint="eastAsia" w:ascii="宋体" w:hAnsi="宋体" w:cs="宋体"/>
          <w:color w:val="auto"/>
          <w:sz w:val="21"/>
          <w:szCs w:val="21"/>
          <w:highlight w:val="none"/>
        </w:rPr>
        <w:t>”）</w:t>
      </w:r>
      <w:r>
        <w:rPr>
          <w:rFonts w:hint="eastAsia" w:ascii="宋体" w:hAnsi="宋体" w:cs="宋体"/>
          <w:color w:val="auto"/>
          <w:spacing w:val="17"/>
          <w:sz w:val="21"/>
          <w:szCs w:val="21"/>
          <w:highlight w:val="none"/>
        </w:rPr>
        <w:t xml:space="preserve">与 </w:t>
      </w:r>
      <w:r>
        <w:rPr>
          <w:rFonts w:hint="eastAsia" w:ascii="宋体" w:hAnsi="宋体" w:cs="宋体"/>
          <w:color w:val="auto"/>
          <w:spacing w:val="-3"/>
          <w:sz w:val="21"/>
          <w:szCs w:val="21"/>
          <w:highlight w:val="none"/>
          <w:u w:val="single"/>
        </w:rPr>
        <w:t xml:space="preserve">                </w:t>
      </w:r>
      <w:r>
        <w:rPr>
          <w:rFonts w:hint="eastAsia" w:ascii="宋体" w:hAnsi="宋体" w:cs="宋体"/>
          <w:color w:val="auto"/>
          <w:spacing w:val="-2"/>
          <w:sz w:val="21"/>
          <w:szCs w:val="21"/>
          <w:highlight w:val="none"/>
        </w:rPr>
        <w:t xml:space="preserve">(以下称“承包人”)于 </w:t>
      </w:r>
      <w:r>
        <w:rPr>
          <w:rFonts w:hint="eastAsia" w:ascii="宋体" w:hAnsi="宋体" w:cs="宋体"/>
          <w:color w:val="auto"/>
          <w:sz w:val="21"/>
          <w:szCs w:val="21"/>
          <w:highlight w:val="none"/>
        </w:rPr>
        <w:t xml:space="preserve">   </w:t>
      </w:r>
      <w:r>
        <w:rPr>
          <w:rFonts w:hint="eastAsia" w:ascii="宋体" w:hAnsi="宋体" w:cs="宋体"/>
          <w:color w:val="auto"/>
          <w:spacing w:val="-24"/>
          <w:sz w:val="21"/>
          <w:szCs w:val="21"/>
          <w:highlight w:val="none"/>
        </w:rPr>
        <w:t xml:space="preserve">年 </w:t>
      </w:r>
      <w:r>
        <w:rPr>
          <w:rFonts w:hint="eastAsia" w:ascii="宋体" w:hAnsi="宋体" w:cs="宋体"/>
          <w:color w:val="auto"/>
          <w:sz w:val="21"/>
          <w:szCs w:val="21"/>
          <w:highlight w:val="none"/>
        </w:rPr>
        <w:t xml:space="preserve">   </w:t>
      </w:r>
      <w:r>
        <w:rPr>
          <w:rFonts w:hint="eastAsia" w:ascii="宋体" w:hAnsi="宋体" w:cs="宋体"/>
          <w:color w:val="auto"/>
          <w:spacing w:val="-48"/>
          <w:sz w:val="21"/>
          <w:szCs w:val="21"/>
          <w:highlight w:val="none"/>
        </w:rPr>
        <w:t xml:space="preserve">月 </w:t>
      </w:r>
      <w:r>
        <w:rPr>
          <w:rFonts w:hint="eastAsia" w:ascii="宋体" w:hAnsi="宋体" w:cs="宋体"/>
          <w:color w:val="auto"/>
          <w:sz w:val="21"/>
          <w:szCs w:val="21"/>
          <w:highlight w:val="none"/>
        </w:rPr>
        <w:t xml:space="preserve">   </w:t>
      </w:r>
      <w:r>
        <w:rPr>
          <w:rFonts w:hint="eastAsia" w:ascii="宋体" w:hAnsi="宋体" w:cs="宋体"/>
          <w:color w:val="auto"/>
          <w:spacing w:val="-24"/>
          <w:sz w:val="21"/>
          <w:szCs w:val="21"/>
          <w:highlight w:val="none"/>
        </w:rPr>
        <w:t>日就</w:t>
      </w:r>
      <w:r>
        <w:rPr>
          <w:rFonts w:hint="eastAsia" w:ascii="宋体" w:hAnsi="宋体" w:cs="宋体"/>
          <w:color w:val="auto"/>
          <w:spacing w:val="-3"/>
          <w:sz w:val="21"/>
          <w:szCs w:val="21"/>
          <w:highlight w:val="none"/>
          <w:u w:val="single"/>
        </w:rPr>
        <w:t xml:space="preserve">                          </w:t>
      </w:r>
      <w:r>
        <w:rPr>
          <w:rFonts w:hint="eastAsia" w:ascii="宋体" w:hAnsi="宋体" w:cs="宋体"/>
          <w:color w:val="auto"/>
          <w:sz w:val="21"/>
          <w:szCs w:val="21"/>
          <w:highlight w:val="none"/>
          <w:u w:val="single"/>
        </w:rPr>
        <w:t>项目</w:t>
      </w:r>
      <w:r>
        <w:rPr>
          <w:rFonts w:hint="eastAsia" w:ascii="宋体" w:hAnsi="宋体" w:cs="宋体"/>
          <w:color w:val="auto"/>
          <w:spacing w:val="-3"/>
          <w:sz w:val="21"/>
          <w:szCs w:val="21"/>
          <w:highlight w:val="none"/>
        </w:rPr>
        <w:t>施工及有关事项协商一致共同签订《          》。我方愿意就承包人履行与你方签订的合同，向你方提供无条件、不可撤销、见索即付的担保。</w:t>
      </w:r>
    </w:p>
    <w:p w14:paraId="3E210FC3">
      <w:pPr>
        <w:pStyle w:val="95"/>
        <w:pageBreakBefore w:val="0"/>
        <w:numPr>
          <w:ilvl w:val="0"/>
          <w:numId w:val="16"/>
        </w:numPr>
        <w:tabs>
          <w:tab w:val="left" w:pos="542"/>
          <w:tab w:val="clear" w:pos="993"/>
        </w:tabs>
        <w:kinsoku/>
        <w:overflowPunct/>
        <w:bidi w:val="0"/>
        <w:spacing w:after="0" w:afterLines="0" w:line="360" w:lineRule="auto"/>
        <w:ind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担保金额人民币</w:t>
      </w:r>
      <w:r>
        <w:rPr>
          <w:rFonts w:hint="eastAsia" w:ascii="宋体" w:hAnsi="宋体" w:cs="宋体"/>
          <w:color w:val="auto"/>
          <w:sz w:val="21"/>
          <w:szCs w:val="21"/>
          <w:highlight w:val="none"/>
        </w:rPr>
        <w:t>（</w:t>
      </w:r>
      <w:r>
        <w:rPr>
          <w:rFonts w:hint="eastAsia" w:ascii="宋体" w:hAnsi="宋体" w:cs="宋体"/>
          <w:color w:val="auto"/>
          <w:spacing w:val="-2"/>
          <w:sz w:val="21"/>
          <w:szCs w:val="21"/>
          <w:highlight w:val="none"/>
        </w:rPr>
        <w:t>大写</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u w:val="single"/>
        </w:rPr>
        <w:t xml:space="preserve">                 </w:t>
      </w:r>
      <w:r>
        <w:rPr>
          <w:rFonts w:hint="eastAsia" w:ascii="宋体" w:hAnsi="宋体" w:cs="宋体"/>
          <w:color w:val="auto"/>
          <w:sz w:val="21"/>
          <w:szCs w:val="21"/>
          <w:highlight w:val="none"/>
        </w:rPr>
        <w:t>（¥          元 ）</w:t>
      </w:r>
    </w:p>
    <w:p w14:paraId="45FD7090">
      <w:pPr>
        <w:pStyle w:val="95"/>
        <w:pageBreakBefore w:val="0"/>
        <w:numPr>
          <w:ilvl w:val="0"/>
          <w:numId w:val="16"/>
        </w:numPr>
        <w:tabs>
          <w:tab w:val="left" w:pos="542"/>
          <w:tab w:val="clear" w:pos="993"/>
        </w:tabs>
        <w:kinsoku/>
        <w:overflowPunct/>
        <w:bidi w:val="0"/>
        <w:spacing w:after="0" w:afterLines="0" w:line="360" w:lineRule="auto"/>
        <w:ind w:left="120" w:right="652"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担保有效期    年</w:t>
      </w:r>
      <w:r>
        <w:rPr>
          <w:rFonts w:hint="eastAsia" w:ascii="宋体" w:hAnsi="宋体" w:cs="宋体"/>
          <w:color w:val="auto"/>
          <w:sz w:val="21"/>
          <w:szCs w:val="21"/>
          <w:highlight w:val="none"/>
        </w:rPr>
        <w:t xml:space="preserve">（   </w:t>
      </w:r>
      <w:r>
        <w:rPr>
          <w:rFonts w:hint="eastAsia" w:ascii="宋体" w:hAnsi="宋体" w:cs="宋体"/>
          <w:color w:val="auto"/>
          <w:spacing w:val="-23"/>
          <w:sz w:val="21"/>
          <w:szCs w:val="21"/>
          <w:highlight w:val="none"/>
        </w:rPr>
        <w:t xml:space="preserve"> 个月</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，自担保办理完成</w:t>
      </w:r>
      <w:r>
        <w:rPr>
          <w:rFonts w:hint="eastAsia" w:ascii="宋体" w:hAnsi="宋体" w:cs="宋体"/>
          <w:color w:val="auto"/>
          <w:sz w:val="21"/>
          <w:szCs w:val="21"/>
          <w:highlight w:val="none"/>
        </w:rPr>
        <w:t>（</w:t>
      </w:r>
      <w:r>
        <w:rPr>
          <w:rFonts w:hint="eastAsia" w:ascii="宋体" w:hAnsi="宋体" w:cs="宋体"/>
          <w:color w:val="auto"/>
          <w:spacing w:val="-2"/>
          <w:sz w:val="21"/>
          <w:szCs w:val="21"/>
          <w:highlight w:val="none"/>
        </w:rPr>
        <w:t>即担保人盖章</w:t>
      </w:r>
      <w:r>
        <w:rPr>
          <w:rFonts w:hint="eastAsia" w:ascii="宋体" w:hAnsi="宋体" w:cs="宋体"/>
          <w:color w:val="auto"/>
          <w:spacing w:val="-3"/>
          <w:sz w:val="21"/>
          <w:szCs w:val="21"/>
          <w:highlight w:val="none"/>
        </w:rPr>
        <w:t>）</w:t>
      </w:r>
      <w:r>
        <w:rPr>
          <w:rFonts w:hint="eastAsia" w:ascii="宋体" w:hAnsi="宋体" w:cs="宋体"/>
          <w:color w:val="auto"/>
          <w:spacing w:val="-1"/>
          <w:sz w:val="21"/>
          <w:szCs w:val="21"/>
          <w:highlight w:val="none"/>
        </w:rPr>
        <w:t>之日起生效。</w:t>
      </w:r>
    </w:p>
    <w:p w14:paraId="1F6B049C">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在本担保有效期内，因承包人违反合同约定的义务给你方造成经济损失时，我方在收到你方以书面形式</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无须你方提出任何证明或证据</w:t>
      </w:r>
      <w:r>
        <w:rPr>
          <w:rFonts w:hint="eastAsia" w:ascii="宋体" w:hAnsi="宋体" w:cs="宋体"/>
          <w:color w:val="auto"/>
          <w:sz w:val="21"/>
          <w:szCs w:val="21"/>
          <w:highlight w:val="none"/>
        </w:rPr>
        <w:t>）</w:t>
      </w:r>
      <w:r>
        <w:rPr>
          <w:rFonts w:hint="eastAsia" w:ascii="宋体" w:hAnsi="宋体" w:cs="宋体"/>
          <w:color w:val="auto"/>
          <w:spacing w:val="-7"/>
          <w:sz w:val="21"/>
          <w:szCs w:val="21"/>
          <w:highlight w:val="none"/>
        </w:rPr>
        <w:t xml:space="preserve">提出的在担保金额内的赔偿要求后，在 </w:t>
      </w:r>
      <w:r>
        <w:rPr>
          <w:rFonts w:hint="eastAsia" w:ascii="宋体" w:hAnsi="宋体" w:cs="宋体"/>
          <w:color w:val="auto"/>
          <w:sz w:val="21"/>
          <w:szCs w:val="21"/>
          <w:highlight w:val="none"/>
        </w:rPr>
        <w:t>7</w:t>
      </w:r>
      <w:r>
        <w:rPr>
          <w:rFonts w:hint="eastAsia" w:ascii="宋体" w:hAnsi="宋体" w:cs="宋体"/>
          <w:color w:val="auto"/>
          <w:spacing w:val="-10"/>
          <w:sz w:val="21"/>
          <w:szCs w:val="21"/>
          <w:highlight w:val="none"/>
        </w:rPr>
        <w:t xml:space="preserve"> 天内无条件支付。</w:t>
      </w:r>
    </w:p>
    <w:p w14:paraId="4C1C71F0">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你方和承包人按合同约定变更合同时，我方承担本担保规定的义</w:t>
      </w:r>
      <w:r>
        <w:rPr>
          <w:rFonts w:hint="eastAsia" w:ascii="宋体" w:hAnsi="宋体" w:cs="宋体"/>
          <w:color w:val="auto"/>
          <w:spacing w:val="-2"/>
          <w:sz w:val="21"/>
          <w:szCs w:val="21"/>
          <w:highlight w:val="none"/>
        </w:rPr>
        <w:t>务不变。</w:t>
      </w:r>
    </w:p>
    <w:p w14:paraId="75A5A33A">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因本保函发生的纠纷，可由双方协商解决，协商不成的，任何一方均可提请</w:t>
      </w:r>
      <w:r>
        <w:rPr>
          <w:rFonts w:hint="eastAsia" w:ascii="宋体" w:hAnsi="宋体" w:cs="宋体"/>
          <w:color w:val="auto"/>
          <w:sz w:val="21"/>
          <w:szCs w:val="21"/>
          <w:highlight w:val="none"/>
          <w:u w:val="single"/>
        </w:rPr>
        <w:t>海南</w:t>
      </w:r>
      <w:r>
        <w:rPr>
          <w:rFonts w:hint="eastAsia" w:ascii="宋体" w:hAnsi="宋体" w:cs="宋体"/>
          <w:color w:val="auto"/>
          <w:spacing w:val="-3"/>
          <w:sz w:val="21"/>
          <w:szCs w:val="21"/>
          <w:highlight w:val="none"/>
        </w:rPr>
        <w:t>仲裁委员会仲裁。</w:t>
      </w:r>
    </w:p>
    <w:p w14:paraId="4BDE6720">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本保函自我方法定代表人</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或其授权代理人</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签字并加盖公章之</w:t>
      </w:r>
      <w:r>
        <w:rPr>
          <w:rFonts w:hint="eastAsia" w:ascii="宋体" w:hAnsi="宋体" w:cs="宋体"/>
          <w:color w:val="auto"/>
          <w:spacing w:val="-2"/>
          <w:sz w:val="21"/>
          <w:szCs w:val="21"/>
          <w:highlight w:val="none"/>
        </w:rPr>
        <w:t>日起生效。</w:t>
      </w:r>
    </w:p>
    <w:p w14:paraId="7B8DC79B">
      <w:pPr>
        <w:pStyle w:val="16"/>
        <w:pageBreakBefore w:val="0"/>
        <w:tabs>
          <w:tab w:val="left" w:pos="5929"/>
          <w:tab w:val="left" w:pos="6559"/>
          <w:tab w:val="left" w:pos="6628"/>
          <w:tab w:val="left" w:pos="6839"/>
        </w:tabs>
        <w:kinsoku/>
        <w:overflowPunct/>
        <w:bidi w:val="0"/>
        <w:spacing w:after="0" w:afterLines="0" w:line="360" w:lineRule="auto"/>
        <w:ind w:right="304"/>
        <w:textAlignment w:val="auto"/>
        <w:rPr>
          <w:rFonts w:hint="eastAsia" w:ascii="宋体" w:hAnsi="宋体" w:cs="宋体"/>
          <w:color w:val="auto"/>
          <w:spacing w:val="-14"/>
          <w:sz w:val="21"/>
          <w:szCs w:val="21"/>
          <w:highlight w:val="none"/>
        </w:rPr>
      </w:pPr>
      <w:r>
        <w:rPr>
          <w:rFonts w:hint="eastAsia" w:ascii="宋体" w:hAnsi="宋体" w:cs="宋体"/>
          <w:color w:val="auto"/>
          <w:sz w:val="21"/>
          <w:szCs w:val="21"/>
          <w:highlight w:val="none"/>
        </w:rPr>
        <w:t>担</w:t>
      </w:r>
      <w:r>
        <w:rPr>
          <w:rFonts w:hint="eastAsia" w:ascii="宋体" w:hAnsi="宋体" w:cs="宋体"/>
          <w:color w:val="auto"/>
          <w:spacing w:val="-3"/>
          <w:sz w:val="21"/>
          <w:szCs w:val="21"/>
          <w:highlight w:val="none"/>
        </w:rPr>
        <w:t>保</w:t>
      </w:r>
      <w:r>
        <w:rPr>
          <w:rFonts w:hint="eastAsia" w:ascii="宋体" w:hAnsi="宋体" w:cs="宋体"/>
          <w:color w:val="auto"/>
          <w:sz w:val="21"/>
          <w:szCs w:val="21"/>
          <w:highlight w:val="none"/>
        </w:rPr>
        <w:t>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ab/>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盖</w:t>
      </w:r>
      <w:r>
        <w:rPr>
          <w:rFonts w:hint="eastAsia" w:ascii="宋体" w:hAnsi="宋体" w:cs="宋体"/>
          <w:color w:val="auto"/>
          <w:sz w:val="21"/>
          <w:szCs w:val="21"/>
          <w:highlight w:val="none"/>
        </w:rPr>
        <w:t>单位</w:t>
      </w:r>
      <w:r>
        <w:rPr>
          <w:rFonts w:hint="eastAsia" w:ascii="宋体" w:hAnsi="宋体" w:cs="宋体"/>
          <w:color w:val="auto"/>
          <w:spacing w:val="-3"/>
          <w:sz w:val="21"/>
          <w:szCs w:val="21"/>
          <w:highlight w:val="none"/>
        </w:rPr>
        <w:t>章</w:t>
      </w:r>
      <w:r>
        <w:rPr>
          <w:rFonts w:hint="eastAsia" w:ascii="宋体" w:hAnsi="宋体" w:cs="宋体"/>
          <w:color w:val="auto"/>
          <w:spacing w:val="-14"/>
          <w:sz w:val="21"/>
          <w:szCs w:val="21"/>
          <w:highlight w:val="none"/>
        </w:rPr>
        <w:t xml:space="preserve">） </w:t>
      </w:r>
    </w:p>
    <w:p w14:paraId="465140F7">
      <w:pPr>
        <w:pStyle w:val="16"/>
        <w:pageBreakBefore w:val="0"/>
        <w:tabs>
          <w:tab w:val="left" w:pos="5929"/>
          <w:tab w:val="left" w:pos="6559"/>
          <w:tab w:val="left" w:pos="6628"/>
          <w:tab w:val="left" w:pos="6839"/>
        </w:tabs>
        <w:kinsoku/>
        <w:overflowPunct/>
        <w:bidi w:val="0"/>
        <w:spacing w:after="0" w:afterLines="0" w:line="360" w:lineRule="auto"/>
        <w:ind w:right="304"/>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法</w:t>
      </w:r>
      <w:r>
        <w:rPr>
          <w:rFonts w:hint="eastAsia" w:ascii="宋体" w:hAnsi="宋体" w:cs="宋体"/>
          <w:color w:val="auto"/>
          <w:spacing w:val="-3"/>
          <w:sz w:val="21"/>
          <w:szCs w:val="21"/>
          <w:highlight w:val="none"/>
        </w:rPr>
        <w:t>定</w:t>
      </w:r>
      <w:r>
        <w:rPr>
          <w:rFonts w:hint="eastAsia" w:ascii="宋体" w:hAnsi="宋体" w:cs="宋体"/>
          <w:color w:val="auto"/>
          <w:sz w:val="21"/>
          <w:szCs w:val="21"/>
          <w:highlight w:val="none"/>
        </w:rPr>
        <w:t>代表</w:t>
      </w:r>
      <w:r>
        <w:rPr>
          <w:rFonts w:hint="eastAsia" w:ascii="宋体" w:hAnsi="宋体" w:cs="宋体"/>
          <w:color w:val="auto"/>
          <w:spacing w:val="-3"/>
          <w:sz w:val="21"/>
          <w:szCs w:val="21"/>
          <w:highlight w:val="none"/>
        </w:rPr>
        <w:t>人</w:t>
      </w:r>
      <w:r>
        <w:rPr>
          <w:rFonts w:hint="eastAsia" w:ascii="宋体" w:hAnsi="宋体" w:cs="宋体"/>
          <w:color w:val="auto"/>
          <w:sz w:val="21"/>
          <w:szCs w:val="21"/>
          <w:highlight w:val="none"/>
        </w:rPr>
        <w:t>或其</w:t>
      </w:r>
      <w:r>
        <w:rPr>
          <w:rFonts w:hint="eastAsia" w:ascii="宋体" w:hAnsi="宋体" w:cs="宋体"/>
          <w:color w:val="auto"/>
          <w:spacing w:val="-3"/>
          <w:sz w:val="21"/>
          <w:szCs w:val="21"/>
          <w:highlight w:val="none"/>
        </w:rPr>
        <w:t>委</w:t>
      </w:r>
      <w:r>
        <w:rPr>
          <w:rFonts w:hint="eastAsia" w:ascii="宋体" w:hAnsi="宋体" w:cs="宋体"/>
          <w:color w:val="auto"/>
          <w:sz w:val="21"/>
          <w:szCs w:val="21"/>
          <w:highlight w:val="none"/>
        </w:rPr>
        <w:t>托代</w:t>
      </w:r>
      <w:r>
        <w:rPr>
          <w:rFonts w:hint="eastAsia" w:ascii="宋体" w:hAnsi="宋体" w:cs="宋体"/>
          <w:color w:val="auto"/>
          <w:spacing w:val="-3"/>
          <w:sz w:val="21"/>
          <w:szCs w:val="21"/>
          <w:highlight w:val="none"/>
        </w:rPr>
        <w:t>理</w:t>
      </w:r>
      <w:r>
        <w:rPr>
          <w:rFonts w:hint="eastAsia" w:ascii="宋体" w:hAnsi="宋体" w:cs="宋体"/>
          <w:color w:val="auto"/>
          <w:sz w:val="21"/>
          <w:szCs w:val="21"/>
          <w:highlight w:val="none"/>
        </w:rPr>
        <w:t>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ab/>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签</w:t>
      </w:r>
      <w:r>
        <w:rPr>
          <w:rFonts w:hint="eastAsia" w:ascii="宋体" w:hAnsi="宋体" w:cs="宋体"/>
          <w:color w:val="auto"/>
          <w:sz w:val="21"/>
          <w:szCs w:val="21"/>
          <w:highlight w:val="none"/>
        </w:rPr>
        <w:t xml:space="preserve">字 ） </w:t>
      </w:r>
    </w:p>
    <w:p w14:paraId="64EFDCE2">
      <w:pPr>
        <w:pStyle w:val="16"/>
        <w:pageBreakBefore w:val="0"/>
        <w:tabs>
          <w:tab w:val="left" w:pos="5929"/>
          <w:tab w:val="left" w:pos="6559"/>
          <w:tab w:val="left" w:pos="6628"/>
          <w:tab w:val="left" w:pos="6839"/>
        </w:tabs>
        <w:kinsoku/>
        <w:overflowPunct/>
        <w:bidi w:val="0"/>
        <w:spacing w:after="0" w:afterLines="0" w:line="360" w:lineRule="auto"/>
        <w:ind w:right="304"/>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地</w:t>
      </w:r>
      <w:r>
        <w:rPr>
          <w:rFonts w:hint="eastAsia" w:ascii="宋体" w:hAnsi="宋体" w:cs="宋体"/>
          <w:color w:val="auto"/>
          <w:spacing w:val="-3"/>
          <w:sz w:val="21"/>
          <w:szCs w:val="21"/>
          <w:highlight w:val="none"/>
        </w:rPr>
        <w:t>址</w:t>
      </w:r>
      <w:r>
        <w:rPr>
          <w:rFonts w:hint="eastAsia" w:ascii="宋体" w:hAnsi="宋体" w:cs="宋体"/>
          <w:color w:val="auto"/>
          <w:sz w:val="21"/>
          <w:szCs w:val="21"/>
          <w:highlight w:val="none"/>
        </w:rPr>
        <w:t>：</w:t>
      </w:r>
    </w:p>
    <w:p w14:paraId="6D2238F4">
      <w:pPr>
        <w:pStyle w:val="16"/>
        <w:pageBreakBefore w:val="0"/>
        <w:kinsoku/>
        <w:overflowPunct/>
        <w:bidi w:val="0"/>
        <w:spacing w:after="0" w:afterLines="0" w:line="360" w:lineRule="auto"/>
        <w:ind w:right="7022"/>
        <w:textAlignment w:val="auto"/>
        <w:rPr>
          <w:rFonts w:hint="eastAsia" w:ascii="宋体" w:hAnsi="宋体" w:cs="宋体"/>
          <w:color w:val="auto"/>
          <w:sz w:val="21"/>
          <w:szCs w:val="21"/>
          <w:highlight w:val="none"/>
        </w:rPr>
      </w:pPr>
      <w:r>
        <w:rPr>
          <w:rFonts w:hint="eastAsia" w:ascii="宋体" w:hAnsi="宋体" w:cs="宋体"/>
          <w:color w:val="auto"/>
          <w:spacing w:val="-5"/>
          <w:sz w:val="21"/>
          <w:szCs w:val="21"/>
          <w:highlight w:val="none"/>
        </w:rPr>
        <w:t xml:space="preserve">邮政编码： </w:t>
      </w:r>
      <w:r>
        <w:rPr>
          <w:rFonts w:hint="eastAsia" w:ascii="宋体" w:hAnsi="宋体" w:cs="宋体"/>
          <w:color w:val="auto"/>
          <w:spacing w:val="-2"/>
          <w:sz w:val="21"/>
          <w:szCs w:val="21"/>
          <w:highlight w:val="none"/>
        </w:rPr>
        <w:t>电话：</w:t>
      </w:r>
    </w:p>
    <w:p w14:paraId="711D463D">
      <w:pPr>
        <w:pStyle w:val="16"/>
        <w:pageBreakBefore w:val="0"/>
        <w:kinsoku/>
        <w:overflowPunct/>
        <w:bidi w:val="0"/>
        <w:spacing w:after="0" w:afterLines="0" w:line="360" w:lineRule="auto"/>
        <w:textAlignment w:val="auto"/>
        <w:rPr>
          <w:rFonts w:hint="eastAsia" w:ascii="宋体" w:hAnsi="宋体" w:cs="宋体"/>
          <w:color w:val="auto"/>
          <w:sz w:val="21"/>
          <w:szCs w:val="21"/>
          <w:highlight w:val="none"/>
        </w:rPr>
      </w:pPr>
      <w:r>
        <w:rPr>
          <w:rFonts w:hint="eastAsia" w:ascii="宋体" w:hAnsi="宋体" w:cs="宋体"/>
          <w:color w:val="auto"/>
          <w:spacing w:val="-2"/>
          <w:sz w:val="21"/>
          <w:szCs w:val="21"/>
          <w:highlight w:val="none"/>
        </w:rPr>
        <w:t>传真：</w:t>
      </w:r>
    </w:p>
    <w:p w14:paraId="1DE4B7B7">
      <w:pPr>
        <w:pStyle w:val="16"/>
        <w:pageBreakBefore w:val="0"/>
        <w:kinsoku/>
        <w:overflowPunct/>
        <w:bidi w:val="0"/>
        <w:spacing w:after="0" w:afterLines="0" w:line="360" w:lineRule="auto"/>
        <w:textAlignment w:val="auto"/>
        <w:rPr>
          <w:rFonts w:hint="eastAsia" w:ascii="宋体" w:hAnsi="宋体" w:cs="宋体"/>
          <w:color w:val="auto"/>
          <w:sz w:val="21"/>
          <w:szCs w:val="21"/>
          <w:highlight w:val="none"/>
        </w:rPr>
      </w:pPr>
    </w:p>
    <w:p w14:paraId="5B06C033">
      <w:pPr>
        <w:pStyle w:val="16"/>
        <w:pageBreakBefore w:val="0"/>
        <w:tabs>
          <w:tab w:val="left" w:pos="4600"/>
          <w:tab w:val="left" w:pos="5440"/>
          <w:tab w:val="left" w:pos="6280"/>
        </w:tabs>
        <w:kinsoku/>
        <w:overflowPunct/>
        <w:bidi w:val="0"/>
        <w:spacing w:after="0" w:afterLines="0" w:line="360" w:lineRule="auto"/>
        <w:ind w:left="3900"/>
        <w:textAlignment w:val="auto"/>
        <w:rPr>
          <w:rFonts w:hint="eastAsia" w:ascii="宋体" w:hAnsi="宋体" w:cs="宋体"/>
          <w:color w:val="auto"/>
          <w:sz w:val="21"/>
          <w:szCs w:val="21"/>
          <w:highlight w:val="none"/>
        </w:rPr>
        <w:sectPr>
          <w:footerReference r:id="rId5" w:type="default"/>
          <w:pgSz w:w="11910" w:h="16840"/>
          <w:pgMar w:top="1400" w:right="1680" w:bottom="280" w:left="1680" w:header="720" w:footer="720" w:gutter="0"/>
          <w:cols w:space="720" w:num="1"/>
        </w:sectPr>
      </w:pP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pacing w:val="-3"/>
          <w:sz w:val="21"/>
          <w:szCs w:val="21"/>
          <w:highlight w:val="none"/>
        </w:rPr>
        <w:t>年</w:t>
      </w:r>
      <w:r>
        <w:rPr>
          <w:rFonts w:hint="eastAsia" w:ascii="宋体" w:hAnsi="宋体" w:cs="宋体"/>
          <w:color w:val="auto"/>
          <w:spacing w:val="-3"/>
          <w:sz w:val="21"/>
          <w:szCs w:val="21"/>
          <w:highlight w:val="none"/>
          <w:u w:val="single"/>
        </w:rPr>
        <w:t xml:space="preserve"> </w:t>
      </w:r>
      <w:r>
        <w:rPr>
          <w:rFonts w:hint="eastAsia" w:ascii="宋体" w:hAnsi="宋体" w:cs="宋体"/>
          <w:color w:val="auto"/>
          <w:spacing w:val="-3"/>
          <w:sz w:val="21"/>
          <w:szCs w:val="21"/>
          <w:highlight w:val="none"/>
          <w:u w:val="single"/>
        </w:rPr>
        <w:tab/>
      </w:r>
      <w:r>
        <w:rPr>
          <w:rFonts w:hint="eastAsia" w:ascii="宋体" w:hAnsi="宋体" w:cs="宋体"/>
          <w:color w:val="auto"/>
          <w:spacing w:val="-3"/>
          <w:sz w:val="21"/>
          <w:szCs w:val="21"/>
          <w:highlight w:val="none"/>
        </w:rPr>
        <w:t>月</w:t>
      </w:r>
      <w:r>
        <w:rPr>
          <w:rFonts w:hint="eastAsia" w:ascii="宋体" w:hAnsi="宋体" w:cs="宋体"/>
          <w:color w:val="auto"/>
          <w:spacing w:val="-3"/>
          <w:sz w:val="21"/>
          <w:szCs w:val="21"/>
          <w:highlight w:val="none"/>
          <w:u w:val="single"/>
        </w:rPr>
        <w:t xml:space="preserve"> </w:t>
      </w:r>
      <w:r>
        <w:rPr>
          <w:rFonts w:hint="eastAsia" w:ascii="宋体" w:hAnsi="宋体" w:cs="宋体"/>
          <w:color w:val="auto"/>
          <w:spacing w:val="-3"/>
          <w:sz w:val="21"/>
          <w:szCs w:val="21"/>
          <w:highlight w:val="none"/>
          <w:u w:val="single"/>
        </w:rPr>
        <w:tab/>
      </w:r>
      <w:r>
        <w:rPr>
          <w:rFonts w:hint="eastAsia" w:ascii="宋体" w:hAnsi="宋体" w:cs="宋体"/>
          <w:color w:val="auto"/>
          <w:sz w:val="21"/>
          <w:szCs w:val="21"/>
          <w:highlight w:val="none"/>
        </w:rPr>
        <w:t>日</w:t>
      </w:r>
    </w:p>
    <w:p w14:paraId="0CDEF87B">
      <w:pPr>
        <w:pageBreakBefore w:val="0"/>
        <w:widowControl/>
        <w:kinsoku/>
        <w:overflowPunct/>
        <w:bidi w:val="0"/>
        <w:spacing w:after="0" w:afterLines="0" w:line="360" w:lineRule="auto"/>
        <w:ind w:firstLine="0" w:firstLineChars="0"/>
        <w:jc w:val="center"/>
        <w:textAlignment w:val="auto"/>
        <w:outlineLvl w:val="0"/>
        <w:rPr>
          <w:rFonts w:hint="eastAsia" w:ascii="宋体" w:hAnsi="宋体" w:eastAsia="宋体" w:cs="宋体"/>
          <w:color w:val="auto"/>
          <w:sz w:val="21"/>
          <w:szCs w:val="21"/>
        </w:rPr>
      </w:pPr>
    </w:p>
    <w:p w14:paraId="7B84198F">
      <w:pPr>
        <w:pageBreakBefore w:val="0"/>
        <w:widowControl/>
        <w:kinsoku/>
        <w:overflowPunct/>
        <w:bidi w:val="0"/>
        <w:spacing w:after="0" w:afterLines="0" w:line="360" w:lineRule="auto"/>
        <w:ind w:firstLine="0" w:firstLineChars="0"/>
        <w:jc w:val="both"/>
        <w:textAlignment w:val="auto"/>
        <w:outlineLvl w:val="0"/>
        <w:rPr>
          <w:rFonts w:hint="eastAsia"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eastAsia="zh-CN" w:bidi="ar-SA"/>
        </w:rPr>
        <w:t>附件</w:t>
      </w:r>
      <w:r>
        <w:rPr>
          <w:rFonts w:hint="eastAsia" w:eastAsia="宋体" w:cs="宋体"/>
          <w:b/>
          <w:color w:val="auto"/>
          <w:kern w:val="0"/>
          <w:sz w:val="21"/>
          <w:szCs w:val="21"/>
          <w:highlight w:val="none"/>
          <w:lang w:val="en-US" w:eastAsia="zh-CN" w:bidi="ar-SA"/>
        </w:rPr>
        <w:t>4</w:t>
      </w:r>
      <w:r>
        <w:rPr>
          <w:rFonts w:hint="eastAsia" w:ascii="宋体" w:hAnsi="宋体" w:eastAsia="宋体" w:cs="宋体"/>
          <w:b/>
          <w:color w:val="auto"/>
          <w:kern w:val="0"/>
          <w:sz w:val="21"/>
          <w:szCs w:val="21"/>
          <w:highlight w:val="none"/>
          <w:lang w:val="en-US" w:eastAsia="zh-CN" w:bidi="ar-SA"/>
        </w:rPr>
        <w:t>：</w:t>
      </w:r>
      <w:r>
        <w:rPr>
          <w:rFonts w:hint="eastAsia" w:ascii="宋体" w:hAnsi="宋体" w:eastAsia="宋体" w:cs="宋体"/>
          <w:b/>
          <w:color w:val="auto"/>
          <w:kern w:val="0"/>
          <w:sz w:val="21"/>
          <w:szCs w:val="21"/>
          <w:highlight w:val="none"/>
          <w:lang w:bidi="ar-SA"/>
        </w:rPr>
        <w:t>预付款保函格式</w:t>
      </w:r>
      <w:bookmarkEnd w:id="710"/>
      <w:bookmarkEnd w:id="711"/>
      <w:bookmarkEnd w:id="712"/>
      <w:bookmarkEnd w:id="713"/>
      <w:bookmarkEnd w:id="714"/>
      <w:bookmarkEnd w:id="715"/>
    </w:p>
    <w:p w14:paraId="5E320B2C">
      <w:pPr>
        <w:pageBreakBefore w:val="0"/>
        <w:widowControl/>
        <w:kinsoku/>
        <w:overflowPunct/>
        <w:bidi w:val="0"/>
        <w:spacing w:after="0" w:afterLines="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预付款保函</w:t>
      </w:r>
    </w:p>
    <w:p w14:paraId="5A32026E">
      <w:pPr>
        <w:pageBreakBefore w:val="0"/>
        <w:widowControl/>
        <w:kinsoku/>
        <w:overflowPunct/>
        <w:bidi w:val="0"/>
        <w:spacing w:after="0" w:afterLines="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保函编号： </w:t>
      </w:r>
    </w:p>
    <w:p w14:paraId="41C4C0F9">
      <w:pPr>
        <w:pageBreakBefore w:val="0"/>
        <w:widowControl/>
        <w:kinsoku/>
        <w:overflowPunct/>
        <w:bidi w:val="0"/>
        <w:spacing w:after="0" w:afterLines="0" w:line="360" w:lineRule="auto"/>
        <w:jc w:val="lef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致：XXX公司 </w:t>
      </w:r>
    </w:p>
    <w:p w14:paraId="6C7BC95F">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根据</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（以下称“你方”）与</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  （以下称“承包方”）于</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年</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月</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日签订的</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施工承包合同，承包人按约定的金额向你方提交一份无条件、不可撤销的预付款担保，即可有权得到你方支付的一笔相等金额的预付款。我行愿意出具无条件、不可撤销的保函为承包方担保。</w:t>
      </w:r>
    </w:p>
    <w:p w14:paraId="484D720D">
      <w:pPr>
        <w:pageBreakBefore w:val="0"/>
        <w:widowControl/>
        <w:kinsoku/>
        <w:overflowPunct/>
        <w:bidi w:val="0"/>
        <w:spacing w:after="0" w:afterLines="0" w:line="360" w:lineRule="auto"/>
        <w:ind w:firstLine="420" w:firstLineChars="200"/>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1.担保金额为人民币：</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元（大写：</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 </w:t>
      </w:r>
    </w:p>
    <w:p w14:paraId="68295398">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2.本保函自预付款支付给承包方之日起生效，至预付款扣回完毕之日止。最晚不超过</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年</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月</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日。</w:t>
      </w:r>
    </w:p>
    <w:p w14:paraId="442A87D8">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3.在本保函有效期内，</w:t>
      </w:r>
      <w:r>
        <w:rPr>
          <w:rFonts w:hint="eastAsia" w:ascii="宋体" w:hAnsi="宋体" w:eastAsia="宋体" w:cs="宋体"/>
          <w:b w:val="0"/>
          <w:bCs w:val="0"/>
          <w:color w:val="auto"/>
          <w:kern w:val="0"/>
          <w:sz w:val="21"/>
          <w:szCs w:val="21"/>
          <w:highlight w:val="none"/>
          <w:lang w:val="en-US" w:eastAsia="zh-Hans" w:bidi="ar"/>
        </w:rPr>
        <w:t>我行保证在收到你方的书面索赔通知后7日内</w:t>
      </w:r>
      <w:r>
        <w:rPr>
          <w:rFonts w:hint="eastAsia" w:ascii="宋体" w:hAnsi="宋体" w:eastAsia="宋体" w:cs="宋体"/>
          <w:color w:val="auto"/>
          <w:kern w:val="0"/>
          <w:sz w:val="21"/>
          <w:szCs w:val="21"/>
          <w:highlight w:val="none"/>
          <w:lang w:bidi="ar"/>
        </w:rPr>
        <w:t xml:space="preserve">，凭本保函原件，无条件、无追索地按你方提出的累计总额不超过上述金额的款项和按你方通知规定的方式付给你方。我行无权反对和不需要先向承包人索赔，并放弃向你方追索的权力。 </w:t>
      </w:r>
    </w:p>
    <w:p w14:paraId="0502B686">
      <w:pPr>
        <w:pageBreakBefore w:val="0"/>
        <w:widowControl/>
        <w:kinsoku/>
        <w:overflowPunct/>
        <w:bidi w:val="0"/>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我行特此确认并同意：我行受本保函制约的责任是连续的，不因</w:t>
      </w:r>
      <w:r>
        <w:rPr>
          <w:rFonts w:hint="eastAsia" w:eastAsia="宋体" w:cs="宋体"/>
          <w:color w:val="auto"/>
          <w:kern w:val="0"/>
          <w:sz w:val="21"/>
          <w:szCs w:val="21"/>
          <w:highlight w:val="none"/>
          <w:lang w:val="en-US" w:eastAsia="zh-CN" w:bidi="ar"/>
        </w:rPr>
        <w:t>施工</w:t>
      </w:r>
      <w:r>
        <w:rPr>
          <w:rFonts w:hint="eastAsia" w:ascii="宋体" w:hAnsi="宋体" w:eastAsia="宋体" w:cs="宋体"/>
          <w:color w:val="auto"/>
          <w:kern w:val="0"/>
          <w:sz w:val="21"/>
          <w:szCs w:val="21"/>
          <w:highlight w:val="none"/>
          <w:lang w:bidi="ar"/>
        </w:rPr>
        <w:t>合同的执行情况或</w:t>
      </w:r>
      <w:r>
        <w:rPr>
          <w:rFonts w:hint="eastAsia" w:eastAsia="宋体" w:cs="宋体"/>
          <w:color w:val="auto"/>
          <w:kern w:val="0"/>
          <w:sz w:val="21"/>
          <w:szCs w:val="21"/>
          <w:highlight w:val="none"/>
          <w:lang w:val="en-US" w:eastAsia="zh-CN" w:bidi="ar"/>
        </w:rPr>
        <w:t>施工</w:t>
      </w:r>
      <w:r>
        <w:rPr>
          <w:rFonts w:hint="eastAsia" w:ascii="宋体" w:hAnsi="宋体" w:eastAsia="宋体" w:cs="宋体"/>
          <w:color w:val="auto"/>
          <w:kern w:val="0"/>
          <w:sz w:val="21"/>
          <w:szCs w:val="21"/>
          <w:highlight w:val="none"/>
          <w:lang w:bidi="ar"/>
        </w:rPr>
        <w:t>合同约定以外的情况而受到不利影响，对合同条款或合同文件的任何修改、变更、增补、中止、终止或失效都不能削弱或影响我方受本保函制约的责任，并不需通知我行。</w:t>
      </w:r>
    </w:p>
    <w:p w14:paraId="4227BF07">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4.本保函项下所有权利和义务均受中华人民共和国法律管辖和制约。 </w:t>
      </w:r>
    </w:p>
    <w:p w14:paraId="4ED9542D">
      <w:pPr>
        <w:pageBreakBefore w:val="0"/>
        <w:widowControl/>
        <w:kinsoku/>
        <w:overflowPunct/>
        <w:bidi w:val="0"/>
        <w:spacing w:after="0" w:afterLines="0" w:line="360" w:lineRule="auto"/>
        <w:jc w:val="left"/>
        <w:textAlignment w:val="auto"/>
        <w:rPr>
          <w:rFonts w:hint="eastAsia" w:ascii="宋体" w:hAnsi="宋体" w:eastAsia="宋体" w:cs="宋体"/>
          <w:color w:val="auto"/>
          <w:sz w:val="21"/>
          <w:szCs w:val="21"/>
          <w:highlight w:val="none"/>
        </w:rPr>
      </w:pPr>
    </w:p>
    <w:p w14:paraId="69E94AD4">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担保人：</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（盖单位公章） </w:t>
      </w:r>
    </w:p>
    <w:p w14:paraId="2F74F92B">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法定代表人或有权签字人：</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（签字） </w:t>
      </w:r>
    </w:p>
    <w:p w14:paraId="43DFC7BD">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u w:val="single"/>
          <w:lang w:bidi="ar"/>
        </w:rPr>
      </w:pPr>
      <w:r>
        <w:rPr>
          <w:rFonts w:hint="eastAsia" w:ascii="宋体" w:hAnsi="宋体" w:eastAsia="宋体" w:cs="宋体"/>
          <w:color w:val="auto"/>
          <w:kern w:val="0"/>
          <w:sz w:val="21"/>
          <w:szCs w:val="21"/>
          <w:highlight w:val="none"/>
          <w:lang w:bidi="ar"/>
        </w:rPr>
        <w:t>地 址：</w:t>
      </w:r>
      <w:r>
        <w:rPr>
          <w:rFonts w:hint="eastAsia" w:ascii="宋体" w:hAnsi="宋体" w:eastAsia="宋体" w:cs="宋体"/>
          <w:color w:val="auto"/>
          <w:kern w:val="0"/>
          <w:sz w:val="21"/>
          <w:szCs w:val="21"/>
          <w:highlight w:val="none"/>
          <w:u w:val="single"/>
          <w:lang w:bidi="ar"/>
        </w:rPr>
        <w:t xml:space="preserve">                </w:t>
      </w:r>
    </w:p>
    <w:p w14:paraId="18855D58">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邮政编码：</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 </w:t>
      </w:r>
    </w:p>
    <w:p w14:paraId="6B885CE3">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电 话： </w:t>
      </w:r>
      <w:r>
        <w:rPr>
          <w:rFonts w:hint="eastAsia" w:ascii="宋体" w:hAnsi="宋体" w:eastAsia="宋体" w:cs="宋体"/>
          <w:color w:val="auto"/>
          <w:kern w:val="0"/>
          <w:sz w:val="21"/>
          <w:szCs w:val="21"/>
          <w:highlight w:val="none"/>
          <w:u w:val="single"/>
          <w:lang w:bidi="ar"/>
        </w:rPr>
        <w:t xml:space="preserve">                </w:t>
      </w:r>
    </w:p>
    <w:p w14:paraId="5F91B758">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传 真： </w:t>
      </w:r>
      <w:r>
        <w:rPr>
          <w:rFonts w:hint="eastAsia" w:ascii="宋体" w:hAnsi="宋体" w:eastAsia="宋体" w:cs="宋体"/>
          <w:color w:val="auto"/>
          <w:kern w:val="0"/>
          <w:sz w:val="21"/>
          <w:szCs w:val="21"/>
          <w:highlight w:val="none"/>
          <w:u w:val="single"/>
          <w:lang w:bidi="ar"/>
        </w:rPr>
        <w:t xml:space="preserve">                </w:t>
      </w:r>
    </w:p>
    <w:p w14:paraId="3342ACBC">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日 期：</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年</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月</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日</w:t>
      </w:r>
    </w:p>
    <w:p w14:paraId="2B49D574">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620F12A8">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bookmarkStart w:id="717" w:name="_Toc4936"/>
      <w:bookmarkStart w:id="718" w:name="_Toc7235"/>
    </w:p>
    <w:p w14:paraId="69A14A1A">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0528DAFF">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0871E28F">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4EE51B73">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2ABCC26D">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65A0F082">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w:t>
      </w:r>
      <w:r>
        <w:rPr>
          <w:rFonts w:hint="eastAsia" w:eastAsia="宋体" w:cs="宋体"/>
          <w:b/>
          <w:color w:val="auto"/>
          <w:sz w:val="21"/>
          <w:szCs w:val="21"/>
          <w:highlight w:val="none"/>
          <w:lang w:val="en-US" w:eastAsia="zh-CN"/>
        </w:rPr>
        <w:t>5</w:t>
      </w:r>
      <w:r>
        <w:rPr>
          <w:rFonts w:hint="eastAsia" w:ascii="宋体" w:hAnsi="宋体" w:eastAsia="宋体" w:cs="宋体"/>
          <w:b/>
          <w:color w:val="auto"/>
          <w:sz w:val="21"/>
          <w:szCs w:val="21"/>
          <w:highlight w:val="none"/>
        </w:rPr>
        <w:t>：工程建设项目廉政责任书</w:t>
      </w:r>
      <w:bookmarkEnd w:id="716"/>
      <w:bookmarkEnd w:id="717"/>
      <w:bookmarkEnd w:id="718"/>
    </w:p>
    <w:p w14:paraId="40F48DF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发包人：</w:t>
      </w:r>
      <w:r>
        <w:rPr>
          <w:rFonts w:hint="eastAsia" w:eastAsia="宋体" w:cs="宋体"/>
          <w:color w:val="auto"/>
          <w:sz w:val="21"/>
          <w:szCs w:val="21"/>
          <w:highlight w:val="none"/>
          <w:u w:val="single"/>
          <w:lang w:eastAsia="zh-CN"/>
        </w:rPr>
        <w:t>三亚市教育局</w:t>
      </w:r>
    </w:p>
    <w:p w14:paraId="5856D6B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承包人：</w:t>
      </w:r>
      <w:r>
        <w:rPr>
          <w:rFonts w:hint="eastAsia" w:eastAsia="宋体" w:cs="宋体"/>
          <w:color w:val="auto"/>
          <w:sz w:val="21"/>
          <w:szCs w:val="21"/>
          <w:highlight w:val="none"/>
          <w:u w:val="single"/>
          <w:lang w:eastAsia="zh-CN"/>
        </w:rPr>
        <w:t xml:space="preserve">      </w:t>
      </w:r>
      <w:r>
        <w:rPr>
          <w:rFonts w:hint="eastAsia" w:eastAsia="宋体" w:cs="宋体"/>
          <w:color w:val="auto"/>
          <w:sz w:val="21"/>
          <w:szCs w:val="21"/>
          <w:highlight w:val="none"/>
          <w:u w:val="single"/>
          <w:lang w:val="en-US" w:eastAsia="zh-CN"/>
        </w:rPr>
        <w:t xml:space="preserve">                     </w:t>
      </w:r>
      <w:r>
        <w:rPr>
          <w:rFonts w:hint="eastAsia"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1681325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加强工程建设廉政建设，规范建设工程各项活动中发包人承包人双方的行为，防止谋取不正当利益的违法违纪想象的发生，保护国家、集体和当事人的合法权益，根据国家有关工程建设的法律法规和廉政建设的有关规定，订立本廉政责任书。</w:t>
      </w:r>
    </w:p>
    <w:p w14:paraId="276678A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19" w:name="_Toc11318_WPSOffice_Level2"/>
      <w:r>
        <w:rPr>
          <w:rFonts w:hint="eastAsia" w:ascii="宋体" w:hAnsi="宋体" w:eastAsia="宋体" w:cs="宋体"/>
          <w:color w:val="auto"/>
          <w:sz w:val="21"/>
          <w:szCs w:val="21"/>
          <w:highlight w:val="none"/>
        </w:rPr>
        <w:t>一、双方的责任</w:t>
      </w:r>
      <w:bookmarkEnd w:id="719"/>
    </w:p>
    <w:p w14:paraId="6FFC801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1.1应严格遵守国家关于建设工程的有关法律、法规，相关政策，以及廉政建设的各项规定。</w:t>
      </w:r>
    </w:p>
    <w:p w14:paraId="309B237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1.2严格执行建设工程合同文件，自觉按合同办事。</w:t>
      </w:r>
    </w:p>
    <w:p w14:paraId="1968C7F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1.3各项活动必须坚持公开、公平、公正、诚信、透明的原则（除法律法规另有规定者外），不得为获取不正当的利益，损害国家、集体和对方利益，不得违反建设工程管理的规章制度。</w:t>
      </w:r>
    </w:p>
    <w:p w14:paraId="3EF7728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1.4发现对方在业务活动中有违规、违纪、违法行为的，应及时提醒对方，情节严重的，应向其上级主管部门或纪检监察、司法等有关机关举报。</w:t>
      </w:r>
    </w:p>
    <w:p w14:paraId="28D25C0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0" w:name="_Toc16933_WPSOffice_Level2"/>
      <w:r>
        <w:rPr>
          <w:rFonts w:hint="eastAsia" w:ascii="宋体" w:hAnsi="宋体" w:eastAsia="宋体" w:cs="宋体"/>
          <w:color w:val="auto"/>
          <w:sz w:val="21"/>
          <w:szCs w:val="21"/>
          <w:highlight w:val="none"/>
        </w:rPr>
        <w:t>二、发包人责任</w:t>
      </w:r>
      <w:bookmarkEnd w:id="720"/>
    </w:p>
    <w:p w14:paraId="43022AC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发包人的领导和从事该建设工程项目的工作人员，在工程建设的事前、事中、事后应遵守以下规定：</w:t>
      </w:r>
    </w:p>
    <w:p w14:paraId="2CDB0BF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2.1不得向承包人和相关单位索要或接受回扣、礼金、有价证券、贵重物品和好处费、感谢费等。</w:t>
      </w:r>
    </w:p>
    <w:p w14:paraId="12C7CA7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2.2不得在承包人和相关单位报销任何应由发包人或个人支付的费用。</w:t>
      </w:r>
    </w:p>
    <w:p w14:paraId="4571805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2.3不得要求、暗示或接受承包人和相关单位为个人装修住房、婚丧嫁娶、配偶子女的工作安排以及出国（境）、旅游等提供方便。</w:t>
      </w:r>
    </w:p>
    <w:p w14:paraId="0DA73C2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2.4不得参加有可能影响公正执行公务的承包人和相关单位的宴请和健身、娱乐等活动。</w:t>
      </w:r>
    </w:p>
    <w:p w14:paraId="030C837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2.5不准向承包人和相关单位介绍或为配偶、子女、亲属参与同发包人工程建设管理合同有关的业务活动；不得以任何理由要求承包人和相关单位使用某种产品、材料和设备。</w:t>
      </w:r>
    </w:p>
    <w:p w14:paraId="5F9ADA1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1" w:name="_Toc21217_WPSOffice_Level2"/>
      <w:r>
        <w:rPr>
          <w:rFonts w:hint="eastAsia" w:ascii="宋体" w:hAnsi="宋体" w:eastAsia="宋体" w:cs="宋体"/>
          <w:color w:val="auto"/>
          <w:sz w:val="21"/>
          <w:szCs w:val="21"/>
          <w:highlight w:val="none"/>
        </w:rPr>
        <w:t>三、承包人责任</w:t>
      </w:r>
      <w:bookmarkEnd w:id="721"/>
    </w:p>
    <w:p w14:paraId="3E627761">
      <w:pPr>
        <w:pageBreakBefore w:val="0"/>
        <w:kinsoku/>
        <w:overflowPunct/>
        <w:bidi w:val="0"/>
        <w:spacing w:after="0" w:afterLines="0"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应与发包人保持正常的业务交往，按照有关法律法规和程序开展业务工作，严格执行工程建设的有关方针、政策，执行工程建设强制性标准，并遵守以下规定：</w:t>
      </w:r>
    </w:p>
    <w:p w14:paraId="7F800E8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3.1不得以任何理由向发包人、相关单位及其工作人员索要、接受或赠送礼金、有价证券、贵重物品及回扣、好处费、感谢费等。</w:t>
      </w:r>
    </w:p>
    <w:p w14:paraId="4F416E4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3.2不得以任何理由为发包人和相关单位报销应由对方或个人支付的费用。</w:t>
      </w:r>
    </w:p>
    <w:p w14:paraId="250B613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3.3不得接受或暗示为发包人、相关单位或个人装修住房、婚丧嫁娶、配偶子女的工作安排以及出国（境）、旅游等提供方便。</w:t>
      </w:r>
    </w:p>
    <w:p w14:paraId="44180A6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3.4不准以任何理由为发包人、相关单位或个人组织有可能影响公正执行公务的宴请、健身、娱乐等活动。</w:t>
      </w:r>
    </w:p>
    <w:p w14:paraId="1085395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2" w:name="_Toc22725_WPSOffice_Level2"/>
      <w:r>
        <w:rPr>
          <w:rFonts w:hint="eastAsia" w:ascii="宋体" w:hAnsi="宋体" w:eastAsia="宋体" w:cs="宋体"/>
          <w:color w:val="auto"/>
          <w:sz w:val="21"/>
          <w:szCs w:val="21"/>
          <w:highlight w:val="none"/>
        </w:rPr>
        <w:t>四、违约责任</w:t>
      </w:r>
      <w:bookmarkEnd w:id="722"/>
    </w:p>
    <w:p w14:paraId="730624A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4.1发包人工作人员有违反本责任书第一、二条责任行为的，依据有关法律法规给予处理；涉嫌犯罪，移交司法机关追究刑事责任；给承包人单位造成经济损失的，应予以赔偿。</w:t>
      </w:r>
    </w:p>
    <w:p w14:paraId="19AA2A5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4.2承包人工作人员有违反本责任书第一、三条责任行为的，依据有关法律法规给予处理；涉嫌犯罪的，移交司法机关追究刑事责任；给发包人单位造成经济损失的，应予以赔偿。</w:t>
      </w:r>
    </w:p>
    <w:p w14:paraId="264CA14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4.3本责任书作为工程施工合同的附件，与工程施工合同具有同等法律效力。经双方签署后立即生效。</w:t>
      </w:r>
    </w:p>
    <w:p w14:paraId="0308142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3" w:name="_Toc20418_WPSOffice_Level2"/>
      <w:r>
        <w:rPr>
          <w:rFonts w:hint="eastAsia" w:ascii="宋体" w:hAnsi="宋体" w:eastAsia="宋体" w:cs="宋体"/>
          <w:color w:val="auto"/>
          <w:sz w:val="21"/>
          <w:szCs w:val="21"/>
          <w:highlight w:val="none"/>
        </w:rPr>
        <w:t>五、责任书有效期</w:t>
      </w:r>
      <w:bookmarkEnd w:id="723"/>
    </w:p>
    <w:p w14:paraId="4DC85E6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本责任书的有效期为双方签署之日起至该工程项目竣工验收合格时止。</w:t>
      </w:r>
    </w:p>
    <w:p w14:paraId="66E3021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4" w:name="_Toc32254_WPSOffice_Level2"/>
      <w:r>
        <w:rPr>
          <w:rFonts w:hint="eastAsia" w:ascii="宋体" w:hAnsi="宋体" w:eastAsia="宋体" w:cs="宋体"/>
          <w:color w:val="auto"/>
          <w:sz w:val="21"/>
          <w:szCs w:val="21"/>
          <w:highlight w:val="none"/>
        </w:rPr>
        <w:t>六、责任书份数</w:t>
      </w:r>
      <w:bookmarkEnd w:id="724"/>
    </w:p>
    <w:p w14:paraId="49BA0CA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本责任书一式拾份，发包人执陆份，承包人执肆份。</w:t>
      </w:r>
    </w:p>
    <w:p w14:paraId="2468C6F5">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18159A8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p>
    <w:p w14:paraId="043D941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发包人：（盖章）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承包人：（盖章）</w:t>
      </w:r>
    </w:p>
    <w:p w14:paraId="0516C5E1">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6B42FBB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p>
    <w:p w14:paraId="435C091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p>
    <w:p w14:paraId="457724D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p>
    <w:p w14:paraId="40F2EA9A">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eastAsia="zh-CN"/>
        </w:rPr>
      </w:pP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p>
    <w:p w14:paraId="361937C8">
      <w:pPr>
        <w:pStyle w:val="7"/>
        <w:pageBreakBefore w:val="0"/>
        <w:kinsoku/>
        <w:overflowPunct/>
        <w:bidi w:val="0"/>
        <w:spacing w:before="0" w:after="0" w:afterLines="0" w:line="360" w:lineRule="auto"/>
        <w:ind w:left="0" w:firstLine="0" w:firstLineChars="0"/>
        <w:jc w:val="center"/>
        <w:textAlignment w:val="auto"/>
        <w:outlineLvl w:val="0"/>
        <w:rPr>
          <w:rFonts w:hint="eastAsia" w:ascii="宋体" w:hAnsi="宋体" w:eastAsia="宋体" w:cs="宋体"/>
          <w:color w:val="auto"/>
          <w:sz w:val="21"/>
          <w:szCs w:val="21"/>
          <w:highlight w:val="none"/>
        </w:rPr>
      </w:pPr>
      <w:bookmarkStart w:id="725" w:name="_Toc29216_WPSOffice_Level1"/>
      <w:bookmarkStart w:id="726" w:name="_Toc5818"/>
      <w:bookmarkStart w:id="727" w:name="_Toc29328"/>
      <w:r>
        <w:rPr>
          <w:rFonts w:hint="eastAsia" w:ascii="宋体" w:hAnsi="宋体" w:eastAsia="宋体" w:cs="宋体"/>
          <w:color w:val="auto"/>
          <w:sz w:val="21"/>
          <w:szCs w:val="21"/>
          <w:highlight w:val="none"/>
        </w:rPr>
        <w:br w:type="page"/>
      </w:r>
      <w:bookmarkStart w:id="728" w:name="_Toc11545"/>
      <w:bookmarkStart w:id="729" w:name="_Toc22515"/>
      <w:bookmarkStart w:id="730" w:name="_Toc30186"/>
      <w:r>
        <w:rPr>
          <w:rFonts w:hint="eastAsia" w:ascii="宋体" w:hAnsi="宋体" w:eastAsia="宋体" w:cs="宋体"/>
          <w:bCs w:val="0"/>
          <w:color w:val="auto"/>
          <w:sz w:val="21"/>
          <w:szCs w:val="21"/>
          <w:highlight w:val="none"/>
        </w:rPr>
        <w:t>附件</w:t>
      </w:r>
      <w:r>
        <w:rPr>
          <w:rFonts w:hint="eastAsia" w:eastAsia="宋体" w:cs="宋体"/>
          <w:bCs w:val="0"/>
          <w:color w:val="auto"/>
          <w:sz w:val="21"/>
          <w:szCs w:val="21"/>
          <w:highlight w:val="none"/>
          <w:lang w:val="en-US" w:eastAsia="zh-CN"/>
        </w:rPr>
        <w:t>6</w:t>
      </w:r>
      <w:r>
        <w:rPr>
          <w:rFonts w:hint="eastAsia" w:ascii="宋体" w:hAnsi="宋体" w:eastAsia="宋体" w:cs="宋体"/>
          <w:bCs w:val="0"/>
          <w:color w:val="auto"/>
          <w:sz w:val="21"/>
          <w:szCs w:val="21"/>
          <w:highlight w:val="none"/>
        </w:rPr>
        <w:t>：在建工程安全生产协议</w:t>
      </w:r>
      <w:bookmarkEnd w:id="725"/>
      <w:bookmarkEnd w:id="726"/>
      <w:bookmarkEnd w:id="727"/>
      <w:bookmarkEnd w:id="728"/>
      <w:bookmarkEnd w:id="729"/>
      <w:bookmarkEnd w:id="730"/>
    </w:p>
    <w:p w14:paraId="0E0CB13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w:t>
      </w:r>
      <w:r>
        <w:rPr>
          <w:rFonts w:hint="eastAsia" w:eastAsia="宋体" w:cs="宋体"/>
          <w:color w:val="auto"/>
          <w:sz w:val="21"/>
          <w:szCs w:val="21"/>
          <w:highlight w:val="none"/>
          <w:u w:val="single"/>
          <w:lang w:eastAsia="zh-CN"/>
        </w:rPr>
        <w:t>三亚市教育局</w:t>
      </w:r>
      <w:r>
        <w:rPr>
          <w:rFonts w:hint="eastAsia" w:ascii="宋体" w:hAnsi="宋体" w:eastAsia="宋体" w:cs="宋体"/>
          <w:color w:val="auto"/>
          <w:sz w:val="21"/>
          <w:szCs w:val="21"/>
          <w:highlight w:val="none"/>
          <w:u w:val="single"/>
        </w:rPr>
        <w:t>（以下简称：发包人）</w:t>
      </w:r>
    </w:p>
    <w:p w14:paraId="466C8D1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w:t>
      </w:r>
      <w:r>
        <w:rPr>
          <w:rFonts w:hint="eastAsia" w:eastAsia="宋体" w:cs="宋体"/>
          <w:color w:val="auto"/>
          <w:sz w:val="21"/>
          <w:szCs w:val="21"/>
          <w:highlight w:val="none"/>
          <w:u w:val="single"/>
          <w:lang w:eastAsia="zh-CN"/>
        </w:rPr>
        <w:t xml:space="preserve">       </w:t>
      </w:r>
      <w:r>
        <w:rPr>
          <w:rFonts w:hint="eastAsia" w:eastAsia="宋体" w:cs="宋体"/>
          <w:color w:val="auto"/>
          <w:sz w:val="21"/>
          <w:szCs w:val="21"/>
          <w:highlight w:val="none"/>
          <w:u w:val="single"/>
          <w:lang w:val="en-US" w:eastAsia="zh-CN"/>
        </w:rPr>
        <w:t xml:space="preserve">                     </w:t>
      </w:r>
      <w:r>
        <w:rPr>
          <w:rFonts w:hint="eastAsia"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（以下简称：承包人）</w:t>
      </w:r>
    </w:p>
    <w:p w14:paraId="406B827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鉴于：</w:t>
      </w:r>
    </w:p>
    <w:p w14:paraId="6776488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承包人将承建由发包人投资建设的</w:t>
      </w:r>
      <w:r>
        <w:rPr>
          <w:rFonts w:hint="eastAsia" w:eastAsia="宋体" w:cs="宋体"/>
          <w:color w:val="auto"/>
          <w:sz w:val="21"/>
          <w:szCs w:val="21"/>
          <w:highlight w:val="none"/>
          <w:u w:val="single"/>
          <w:lang w:eastAsia="zh-CN"/>
        </w:rPr>
        <w:t>人大附中三亚学校消防系统及风雨连廊修复等项目</w:t>
      </w:r>
      <w:r>
        <w:rPr>
          <w:rFonts w:hint="eastAsia" w:ascii="宋体" w:hAnsi="宋体" w:eastAsia="宋体" w:cs="宋体"/>
          <w:color w:val="auto"/>
          <w:sz w:val="21"/>
          <w:szCs w:val="21"/>
          <w:highlight w:val="none"/>
        </w:rPr>
        <w:t>项目（以下简称：“本工程”），承包人同意按照</w:t>
      </w:r>
      <w:r>
        <w:rPr>
          <w:rFonts w:hint="eastAsia" w:eastAsia="宋体" w:cs="宋体"/>
          <w:color w:val="auto"/>
          <w:sz w:val="21"/>
          <w:szCs w:val="21"/>
          <w:highlight w:val="none"/>
          <w:u w:val="single"/>
          <w:lang w:val="en-US" w:eastAsia="zh-CN"/>
        </w:rPr>
        <w:t>2025年 月 日</w:t>
      </w:r>
      <w:r>
        <w:rPr>
          <w:rFonts w:hint="eastAsia" w:ascii="宋体" w:hAnsi="宋体" w:eastAsia="宋体" w:cs="宋体"/>
          <w:color w:val="auto"/>
          <w:sz w:val="21"/>
          <w:szCs w:val="21"/>
          <w:highlight w:val="none"/>
        </w:rPr>
        <w:t>签订的《</w:t>
      </w:r>
      <w:r>
        <w:rPr>
          <w:rFonts w:hint="eastAsia" w:eastAsia="宋体" w:cs="宋体"/>
          <w:color w:val="auto"/>
          <w:sz w:val="21"/>
          <w:szCs w:val="21"/>
          <w:highlight w:val="none"/>
          <w:u w:val="single"/>
          <w:lang w:eastAsia="zh-CN"/>
        </w:rPr>
        <w:t>人大附中三亚学校消防系统及风雨连廊修复等项目</w:t>
      </w:r>
      <w:r>
        <w:rPr>
          <w:rFonts w:hint="eastAsia" w:ascii="宋体" w:hAnsi="宋体" w:eastAsia="宋体" w:cs="宋体"/>
          <w:color w:val="auto"/>
          <w:sz w:val="21"/>
          <w:szCs w:val="21"/>
          <w:highlight w:val="none"/>
          <w:u w:val="single"/>
        </w:rPr>
        <w:t>施工合同</w:t>
      </w:r>
      <w:r>
        <w:rPr>
          <w:rFonts w:hint="eastAsia" w:ascii="宋体" w:hAnsi="宋体" w:eastAsia="宋体" w:cs="宋体"/>
          <w:color w:val="auto"/>
          <w:sz w:val="21"/>
          <w:szCs w:val="21"/>
          <w:highlight w:val="none"/>
        </w:rPr>
        <w:t>》（以下简称《</w:t>
      </w:r>
      <w:r>
        <w:rPr>
          <w:rFonts w:hint="eastAsia" w:eastAsia="宋体" w:cs="宋体"/>
          <w:color w:val="auto"/>
          <w:sz w:val="21"/>
          <w:szCs w:val="21"/>
          <w:highlight w:val="none"/>
          <w:lang w:val="en-US" w:eastAsia="zh-CN"/>
        </w:rPr>
        <w:t>施工</w:t>
      </w:r>
      <w:r>
        <w:rPr>
          <w:rFonts w:hint="eastAsia" w:ascii="宋体" w:hAnsi="宋体" w:eastAsia="宋体" w:cs="宋体"/>
          <w:color w:val="auto"/>
          <w:sz w:val="21"/>
          <w:szCs w:val="21"/>
          <w:highlight w:val="none"/>
        </w:rPr>
        <w:t>合同》）的合同文件的要求履行其责任和义务，保证以诚信、敬业和积极的态度完成本工程相关工作，并依照中华人民共和国相关法律、法规和规章等文件的规定，经双方友好协商，达成本协议如下：</w:t>
      </w:r>
    </w:p>
    <w:p w14:paraId="56E0F8E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一、本协议适用法律</w:t>
      </w:r>
    </w:p>
    <w:p w14:paraId="562C6827">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本协议适用中华人民共和国法律、行政法规及本地区省市地方法规以及中华人民共和国及本地区省市建设行政主管部门和其他有关主管部门制定的行政规章和规范性文件。</w:t>
      </w:r>
    </w:p>
    <w:p w14:paraId="38550A7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二、文件的组成及解释顺序  </w:t>
      </w:r>
    </w:p>
    <w:p w14:paraId="027C6C8B">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本协议是作为《</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合同》的说明和相互补充。如果本协议与《</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合同》文件之间出现歧义或相互矛盾，或《</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合同》文件中出现明显错误时，应以本协议为准。</w:t>
      </w:r>
    </w:p>
    <w:p w14:paraId="65EA6950">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在本协议的履行过程中，双方签署同意的与本协议订立或履行有关的协议、信函、备忘录等亦构成《</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合同》组成部分，具有同等法律效力。</w:t>
      </w:r>
    </w:p>
    <w:p w14:paraId="15100BB0">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三、安全生产</w:t>
      </w:r>
    </w:p>
    <w:p w14:paraId="638858C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31" w:name="_Toc12265_WPSOffice_Level2"/>
      <w:r>
        <w:rPr>
          <w:rFonts w:hint="eastAsia" w:ascii="宋体" w:hAnsi="宋体" w:eastAsia="宋体" w:cs="宋体"/>
          <w:color w:val="auto"/>
          <w:sz w:val="21"/>
          <w:szCs w:val="21"/>
          <w:highlight w:val="none"/>
        </w:rPr>
        <w:t>（一）发包人权利：</w:t>
      </w:r>
      <w:bookmarkEnd w:id="731"/>
    </w:p>
    <w:p w14:paraId="1E42146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承包人违反国家及本地区省、市有关安全生产的法律、法规、标准、规范的行为，或者承包人未严格落实本协议约定责任，发包人有权对承包人处罚、要求限期整改、停工，若对发包人带来重大经济损失及恶劣社会影响，发包人有权单方终止《</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合同》，并要求承包人赔偿由此导致的发包人所有损失。</w:t>
      </w:r>
    </w:p>
    <w:p w14:paraId="383684C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2、对于承包人的安全生产及其管理情况，发包人具有知情权、检查权。</w:t>
      </w:r>
    </w:p>
    <w:p w14:paraId="3687B2C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3、发包人有权参加项目安全生产例会和工程监理会。</w:t>
      </w:r>
    </w:p>
    <w:p w14:paraId="33D4C33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32" w:name="_Toc9204_WPSOffice_Level2"/>
      <w:r>
        <w:rPr>
          <w:rFonts w:hint="eastAsia" w:ascii="宋体" w:hAnsi="宋体" w:eastAsia="宋体" w:cs="宋体"/>
          <w:color w:val="auto"/>
          <w:sz w:val="21"/>
          <w:szCs w:val="21"/>
          <w:highlight w:val="none"/>
        </w:rPr>
        <w:t>（二）承包人责任：</w:t>
      </w:r>
      <w:bookmarkEnd w:id="732"/>
    </w:p>
    <w:p w14:paraId="099F2FD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承包人作为本工程承包单位，对本工程的安全生产、消防保卫、环境保护、卫生防疫（包含但不限于）等工作统一管理，全面负责，合同履行期间必须服从发包人安全管理工作。</w:t>
      </w:r>
    </w:p>
    <w:p w14:paraId="19DBB09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1、企业资质及相关资格要求：</w:t>
      </w:r>
    </w:p>
    <w:p w14:paraId="74D8DEC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具备《中华人民共和国建筑法》第二十六条：“承包建筑工程的单位应当持有依法取得的资质证书，并在其资质等级许可的业务范围内承揽工程。”规定的有效资质。同时必须具备有效的安全生产许可证。</w:t>
      </w:r>
    </w:p>
    <w:p w14:paraId="3ABBB45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（2）承包人如根据《</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约定依法将建设工程分包给其他单位的，分包施工单位必须具备相应资质和安全生产许可证，必须与分包单位签订符合国家及本地区省、市相关规定的《分包合同》和《安全生产协议书》，明确各自的安全生产方面的责任、权利、义务。承包人负责审核本工程各专业分包单位应具备相应的有效资质及有效的安全生产许可证符合国家及本地区省、市相关规定，并报监理审批。承包人和分包单位对分包工程的安全生产承担</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安全管理责任和连带责任。若承包人未执行此要求，承包人承担由此引起的全部安全管理责任和经济损失。</w:t>
      </w:r>
    </w:p>
    <w:p w14:paraId="699C9C5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（3）承包人的企业法人及负责本工程的项目经理、安全生产负责人必须通过承包人企业所在地或项目所在地省市建设行政主管部门安全考核并持证。</w:t>
      </w:r>
    </w:p>
    <w:p w14:paraId="751D4B4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（4）承包人派出的项目经理必须具备法规规定当期的任职资格；总工程师必须符合招投标文件要求的任职资格。</w:t>
      </w:r>
    </w:p>
    <w:p w14:paraId="29480D1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（5）承包人的本工程项目经理、副经理、总工程师、安全生产负责人不得兼任其它工程项目职务。</w:t>
      </w:r>
    </w:p>
    <w:p w14:paraId="1EDBDC6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（6）承包人安全机构设置：</w:t>
      </w:r>
    </w:p>
    <w:p w14:paraId="101162B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①承包人应当成立由项目经理领导的安全生产管理机构，全面领导本工程安全、消防、保卫、环保、卫生、防疫等工作。</w:t>
      </w:r>
    </w:p>
    <w:p w14:paraId="5C97789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项目部必须设置独立的安全生产部门，按国家及本地区省市相关规定足额配备专职安全生产管理人员，同时必须遵照《国家安全生产监督管理局11号令》的有关规定配备注册安全工程师，保证出勤率达到100%。</w:t>
      </w:r>
    </w:p>
    <w:p w14:paraId="3353871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在整个工程施工期间，安全负责人或注册安全工程师应负责组织召集和主持每周至少一次由所有在现场工作的工人和其他工作人员参加的安全生产例会，每天对现场安全生产状况进行全面检查并作好记录，负责安全技术交底和技术方案的安全把关，负责制定或审核安全隐患的整改措施并监督落实，负责安全资料的整理和管理，确保所有的安全设施都处于良好的运转状态。</w:t>
      </w:r>
    </w:p>
    <w:p w14:paraId="49E830EF">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2、承包人必须合法用工</w:t>
      </w:r>
    </w:p>
    <w:p w14:paraId="4583AFE7">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所有工人在进场作业前必须严格进行“三级安全”教育，考核合格后方准许上岗，填写“三级安全教育卡”，并向监理单位备案；承包人应按总监理工程师的要求，随时向总监理工程师出示这类证件；总监理工程师有权将不具备这类证件的工人逐出现场。</w:t>
      </w:r>
    </w:p>
    <w:p w14:paraId="1859945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对作业人员根据国家规范要求进行安全生产和岗前技术教育培训及考核，并留存记录。对于停工项目，重新开工前必须对作业人员重新进行安全生产和岗前技术再教育培训及考核，并留存记录。未经教育培训或者教育培训考核不合格的人员，不得上岗作业。</w:t>
      </w:r>
    </w:p>
    <w:p w14:paraId="205FD813">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作业人员进入新的岗位或者在采用新技术、新工艺、新设备、新材料时，承包人应当对作业人员进行相应的安全生产教育培训、考核，并留存记录。未经教育培训或者教育培训考核不合格的人员，不得上岗作业。</w:t>
      </w:r>
    </w:p>
    <w:p w14:paraId="2F472CED">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（4）承包人特种作业人员，必须按照国家有关规定经过专门的安全作业培训，并取得特种作业操作资格证书后，方可上岗作业。承包人须在特种作业人员上岗前把特种作业操作资格证书向监理单位审核、备案。</w:t>
      </w:r>
    </w:p>
    <w:p w14:paraId="422440BD">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（5）承包人及分包单位必须与所属劳务人员签订符合国家及本地区省、市规定的劳务合同，并给用工人员办理人身意外伤害保险，上述资料在承包人及监理单位备案。</w:t>
      </w:r>
    </w:p>
    <w:p w14:paraId="1812E746">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（6）承包人保证发包人免于承担任何因承包人违章使用工人、违章使用未取得特种作业操作资格证书的人员从事特种作业而可能导致的任何损失或损害。</w:t>
      </w:r>
    </w:p>
    <w:p w14:paraId="1265C832">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3、承包人必须依法组织施工：</w:t>
      </w:r>
    </w:p>
    <w:p w14:paraId="1C64CA6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（1）承包人须在整个合同履约期内，遵守有关安全生产的法律、法规、规范、规章和规范性文件等的要求或规定，依法组织施工。</w:t>
      </w:r>
    </w:p>
    <w:p w14:paraId="614D08B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（2）承包人严禁违法分包或转包本工程。对于因承包人违法分包或转包本工程而导致生产安全事故的由承包人承担全部损失和责任。</w:t>
      </w:r>
    </w:p>
    <w:p w14:paraId="1D71728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施工前按要求向分包单位提供与分包工程施工作业有关的资料，分包单位采取相应的安全技术措施。对于因承包人未向分包单位提供与分包工程施工作业有关的资料而导致生产安全事故的由承包人承担全部损失和责任。</w:t>
      </w:r>
    </w:p>
    <w:p w14:paraId="5E6619F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（4）承包人不得违章指挥、违章作业。对于因承包人违章指挥、违章作业而导致生产安全事故的由承包人承担全部损失和责任。</w:t>
      </w:r>
    </w:p>
    <w:p w14:paraId="49D9164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负责编制本工程的施工组织设计或专项方案及安全保障技术措施，必须经监理注册安全工程师审核和具有注册监理工程师资格的总监理工程师审批通过后，承包人按批准的施工组织设计（施工方案）组织施工，并对由于安全技术措施不完善造成的生产安全事故负全责。总监理工程师的此类审批不解除或减轻承包人受合同制约的任何责任。</w:t>
      </w:r>
    </w:p>
    <w:p w14:paraId="1B7AF0C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（6）按照国家</w:t>
      </w:r>
      <w:r>
        <w:rPr>
          <w:rStyle w:val="107"/>
          <w:rFonts w:hint="eastAsia" w:ascii="宋体" w:hAnsi="宋体" w:eastAsia="宋体" w:cs="宋体"/>
          <w:color w:val="auto"/>
          <w:sz w:val="21"/>
          <w:szCs w:val="21"/>
          <w:highlight w:val="none"/>
        </w:rPr>
        <w:t>建质[2004]213号《</w:t>
      </w:r>
      <w:r>
        <w:rPr>
          <w:rStyle w:val="108"/>
          <w:rFonts w:hint="eastAsia" w:ascii="宋体" w:hAnsi="宋体" w:eastAsia="宋体" w:cs="宋体"/>
          <w:color w:val="auto"/>
          <w:sz w:val="21"/>
          <w:szCs w:val="21"/>
          <w:highlight w:val="none"/>
        </w:rPr>
        <w:t>危险性较大工程安全专项施工方案编制及专家论证审查办法》规定，</w:t>
      </w:r>
      <w:r>
        <w:rPr>
          <w:rFonts w:hint="eastAsia" w:ascii="宋体" w:hAnsi="宋体" w:eastAsia="宋体" w:cs="宋体"/>
          <w:color w:val="auto"/>
          <w:sz w:val="21"/>
          <w:szCs w:val="21"/>
          <w:highlight w:val="none"/>
        </w:rPr>
        <w:t>对达到一定规模的危险性较大的分部分项工程必须编制专项施工方案，并附具安全验算结果，经施工单位注册安全工程师、技术负责人审核、总监理工程师审批签字后实施，由专职安全生产管理人员进行现场监督；需要组织专家组对施工方案进行论证审查的危险性较大工程，必须按规定进行专家论证。如因各种因素需要对施工组织设计（施工方案）进行变更时，必须向发包人、监理单位报告，按规定重新组织专家论证，并经原审批人审核批准后方可施工。对于因承包人未按批准的施工组织设计（施工方案）组织施工而导致生产安全事故的由承包人承担全部损失和责任。</w:t>
      </w:r>
    </w:p>
    <w:p w14:paraId="378E8143">
      <w:pPr>
        <w:pageBreakBefore w:val="0"/>
        <w:tabs>
          <w:tab w:val="left" w:pos="1350"/>
          <w:tab w:val="left" w:pos="1440"/>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（7）建设工程施工前，承包人应当对有关安全施工的技术要求向施工作业班组、作业人员做出详细安全技术交底，书面告知危险岗位的操作规程和违章操作的危害，并由双方签字确认。</w:t>
      </w:r>
    </w:p>
    <w:p w14:paraId="62F118E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应根据有关法律、法规、规定和条例等的要求，制定一套安全生产应急预案，并组织管理人员、作业人员定期进行演练，保证一旦出现任何安全事故，能立即保护好现场，抢救伤员，防止事故扩大，并立即向发包人和监理单位以及任何按照法律、行政法规或规章规定必须向其报告的有关行政主管部门报告。该预案应当经项目经理、技术负责人、安全负责人和注册安全工程师签字，由总监理工程师审批实施。</w:t>
      </w:r>
    </w:p>
    <w:p w14:paraId="4ADE35A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承包人应当配合政府管理单位、发包人、监理单位的安全检查；对承包人违反法规规定的，上述单位有权予以处罚、责令整改直至停工；对由承包人原因造成的整改或停工造成的经济、工期损失以及法律责任由承包人自行负责；同时发包人保留对本工程造成损失及负面影响的追究权利。</w:t>
      </w:r>
    </w:p>
    <w:p w14:paraId="648B1A92">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必须按合同约定按时支付劳务用工人员工资，并留存支付记录，因承包人拖欠劳务用工人员工资而引发的劳务用工人员滋事、围攻、游行示威、伤亡事件所造成的工程延期及其它经济损失和负面影响，以及因此受到行政主管部门处罚或追究行政、法律责任由承包人承担全部责任。</w:t>
      </w:r>
    </w:p>
    <w:p w14:paraId="4050955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4、承包人施工现场要严格执行施工管理规定：</w:t>
      </w:r>
    </w:p>
    <w:p w14:paraId="3EF9562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当在施工现场入口处、施工起重机械、临时用电设施、脚手架、出入通道口、楼梯口、电梯井口、孔洞口、桥梁口、隧道口、基坑边沿、爆破物及有害危险气体和液体存放处等危险部位，设置明显的安全警示标志（指示牌、警告牌、火警、匪警和急救电话提示牌、宣传画、标语等）。安全警示标志必须符合国家标准。</w:t>
      </w:r>
    </w:p>
    <w:p w14:paraId="57FA3D1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当根据不同施工阶段和周围环境及季节、气候的变化，在施工现场采取相应的安全施工措施。施工现场暂时停止施工的，施工单位应当做好现场防护，所需费用由责任方承担，或者按照合同约定执行。</w:t>
      </w:r>
    </w:p>
    <w:p w14:paraId="6F25FBF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（3）承包人对因建设工程施工可能造成损害的毗邻建筑物、构筑物和地下管线等，应当采取专项防护措施。</w:t>
      </w:r>
    </w:p>
    <w:p w14:paraId="60198AE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（4）承包人应根据施工安全需要，按规范在施工现场设立和维护脚手架、安全网、防护棚、防护门、安全通道等安全防护设施，保持安全状态，并在有关工作完成或竣工交付后撤除。</w:t>
      </w:r>
    </w:p>
    <w:p w14:paraId="23C3E4B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（5）承包人作业人员应当遵守安全施工的强制性标准、规章制度和操作规程，使用或提供合格的施工机械、机具，并正确使用。</w:t>
      </w:r>
    </w:p>
    <w:p w14:paraId="7E841B3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应对采购、租赁的安全防护用具、机械设备、施工机具及配件设专人管理，并符合相关规范、标准要求。定期对安全防护用具、机械设备、施工机具及配件进行检查、维修和保养，确保安全可靠，建立相应的资料档案，并按照国家有关规定及时报废。严禁承包人使用不合格的安全防护用具、施工机械、机具。特种作业设备必须由具有合法的国家规定特种作业操作证的人员操作。机械设备应当具有生产（制造）许可证、产品合格证，必须履行进场、安装监理验收制度，监理单位验收合格方能使用。</w:t>
      </w:r>
    </w:p>
    <w:p w14:paraId="0958E13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（7）承包人在使用施工起重机械和整体提升脚手架、模板等自升式架设设施前：</w:t>
      </w:r>
    </w:p>
    <w:p w14:paraId="5928022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①安装、顶升、使用和拆除必须严格依照国家和行业的有关法规、办法及操作规程实施。</w:t>
      </w:r>
    </w:p>
    <w:p w14:paraId="708AA41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应当组织有关单位进行验收，或委托具有相应资质的检验、检测机构进行验收；使用承租的机械设备和施工机具及配件的，由承包人、监理、分包单位、出租单位和安装单位共同进行验收，验收合格并经总监理工程师签字同意后方可使用。</w:t>
      </w:r>
    </w:p>
    <w:p w14:paraId="15865EA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③在验收前应当经有相应资质的检验、检测机构监督检验合格方可使用。</w:t>
      </w:r>
    </w:p>
    <w:p w14:paraId="1814270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④承包人应当自施工起重机械和整体提升脚手架、模板等自升式架设设施验收合格之日起30日内，向建设行政主管部门或者其他有关部门登记。登记标志应当置于或者附着于该设备的显著位置。</w:t>
      </w:r>
    </w:p>
    <w:p w14:paraId="5A90DF3C">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（8）承包人租赁使用的塔吊等大型机械设备发生生产安全事故，有下列情形之一的，由承包人承担全部责任和损失。</w:t>
      </w:r>
    </w:p>
    <w:p w14:paraId="008E82D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①未与租赁单位签订符合国家和本地区省、市政府相关部门规定的安全生产管理协议。</w:t>
      </w:r>
    </w:p>
    <w:p w14:paraId="318CA36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②承租无合法资质的企业的和未经检测合格的大型机械设备。</w:t>
      </w:r>
    </w:p>
    <w:p w14:paraId="36F8177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③使用没有合法资质的施工单位进行起重设备安装、拆卸。</w:t>
      </w:r>
    </w:p>
    <w:p w14:paraId="35D015A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④操作、指挥人员误操作或使用没有特种作业操作证人员上岗发生生产安全事故。</w:t>
      </w:r>
    </w:p>
    <w:p w14:paraId="53445C1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同一施工现场使用2台以上塔吊的，承包人应编制群塔作业方案，严格按方案实施，并承担相应责任。因群塔作业方案不符合要求而导致生产安全事故的，由承包人负责。相邻工地的相邻塔吊应当按规定立塔，后立塔的施工现场承包人应确保塔吊之间的安全距离。因安全距离不符合标准而导致生产安全事故的，由后立塔的承包人负主要责任。</w:t>
      </w:r>
    </w:p>
    <w:p w14:paraId="1EE6FD4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（10）承包人须对本工程塔吊、外用电梯、卷扬机、电动吊篮等起重设备全面管理，严禁违章指挥、违章作业，若由此发生事故，承包人承担全部损失和责任。</w:t>
      </w:r>
    </w:p>
    <w:p w14:paraId="78C125F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（11）承包人须确保塔吊、外用电梯、提升机、电动吊篮、整体提升脚手架等机械设备的各项安全防护装置、限位装置安全、灵敏有效。</w:t>
      </w:r>
    </w:p>
    <w:p w14:paraId="592DFF5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（12）作业人员任意拆改施工安全防护设施，造成生产安全事故的，由拆改防护设施人员的单位负主要责任，承包人负施工现场安全管理责任。</w:t>
      </w:r>
    </w:p>
    <w:p w14:paraId="6EB1769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（13）施工现场由于特殊原因需要进行交叉作业的，必须采取相应的安全防护措施。由于交叉作业造成的生产安全事故，承包人负施工现场安全管理责任。</w:t>
      </w:r>
    </w:p>
    <w:p w14:paraId="76C68D9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承包人必须保证所有应用在永久工程上的材料、设备、设施等产品（包含但不限于）的构造、性能符合向发包人的承诺及设计要求，同时符合国家及行业相关安全、消防、环保的法律、法规、规范、标准等。</w:t>
      </w:r>
    </w:p>
    <w:p w14:paraId="3FB575C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（15）施工区、办公区、民工宿舍区必须严格按JGJ46-2005《施工现场临时用电安全技术规范》进行电气配置及使用。</w:t>
      </w:r>
    </w:p>
    <w:p w14:paraId="6F69B29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（16）承包人应为邻近地区的所有者和占有者、公众和其他人员提供便利，并提供保证所必须的道路、人行道、防护棚及围栏。</w:t>
      </w:r>
    </w:p>
    <w:p w14:paraId="7F6405A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高度重视所有授权驻现场人员的安全，并采取任何必要和适当的措施，保持现场（在其管理的整个范围内）和工程（包括所有尚未竣工的和尚未移交给发包人的工程）的井然有序和安全可靠，以免发生人身事故。</w:t>
      </w:r>
    </w:p>
    <w:p w14:paraId="4F1406B7">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5、对承包人施工现场管理具体要求：</w:t>
      </w:r>
    </w:p>
    <w:p w14:paraId="15A6EFE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（1）安全防护设施：</w:t>
      </w:r>
    </w:p>
    <w:p w14:paraId="4C759E2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①按规范要求设置与维护“四口、五临边” （“四口”包括：楼梯口、电梯井口、预留洞口、通道口； “五临边”包括：尚未安装栏杆的阳台周边，无外架防护的层面周边，框架工程楼层周边，上下跑道及斜道的两侧边，卸料平台的侧边）的安全防护设施，并保持安全状态。严禁任意拆改安全防护设施。</w:t>
      </w:r>
    </w:p>
    <w:p w14:paraId="78F1297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②承包人应当根据工种类别及作业环境不同，为进入施工现场人员配备：安全带、安全绳、安全帽、绝缘鞋、绝缘手套、防护口罩和防护衣等安全生产用品，并严格管理，确保正确使用。</w:t>
      </w:r>
    </w:p>
    <w:p w14:paraId="224239C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所有机械设备，包括各类电动工具的安全保护和接地装置及操作说明。对使用的所有提升机、外用吊篮等运输、作业机械设备进行安全防护，包括安全开关、警示铃、警示灯、护身栏杆、脚手架和安全网等等；所有机械设备应有安全操作防护装置和详细的安全操作规程等。</w:t>
      </w:r>
    </w:p>
    <w:p w14:paraId="6793527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须对所有用于提升的挂钩、挂绳、钢丝绳等进行定期检测、检查和标定；如果监理工程师认为，任何此类设施已经损坏或有使用不当之处，承包人应立即以合格的产品进行更换；所有此类设施的安装、使用和拆除必须严格依照政府的有关法规、规章和条例等的要求。</w:t>
      </w:r>
    </w:p>
    <w:p w14:paraId="050780A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⑤承包人应为那些不便于人员进出的永久工程的施工区，设立紧急情况下逃生的疏散通道。</w:t>
      </w:r>
    </w:p>
    <w:p w14:paraId="27A10D8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（2）消防安全：</w:t>
      </w:r>
    </w:p>
    <w:p w14:paraId="43EF010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①承包人在施工现场建立消防安全责任制度，确定消防安全责任人，制定用火、用电、使用易燃易爆材料等各项消防安全管理制度和操作规程，并严格贯彻实施。</w:t>
      </w:r>
    </w:p>
    <w:p w14:paraId="1343C6D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②严格执行施工前安全报批程序，未经安全消防部门批准不得开工。</w:t>
      </w:r>
    </w:p>
    <w:p w14:paraId="0A9B170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加强对施工现场、仓库的物资、设备、易燃、易爆等危险品及重点要害部位的管理，制定完善的安全管理措施，制定技术预防措施，施工过程可选用的装修及其它材料应符合国家的防火规范，并应同时提交检验合格证。</w:t>
      </w:r>
    </w:p>
    <w:p w14:paraId="402DB27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④按规范规定，在施工现场、办公区、生活区配置消火栓、足够数量的灭火器、警戒标志等消防器材，保证施工现场消防系统设施齐备、完好，在正式消防给水系统投入使用前，不得拆除或者停用临时消防竖管。</w:t>
      </w:r>
    </w:p>
    <w:p w14:paraId="295348A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设置消防通道、并在出入口设置明显指示标志。严禁在消防通道堆放施工设备、材料及各种物品，保持消防通道畅通。主要作业场所和临时安全疏散通道24小时36伏安全照明和必要的警示等，以防止各种可能的事故。</w:t>
      </w:r>
    </w:p>
    <w:p w14:paraId="007DB1F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⑥结构工程内不准作为仓库使用，严禁在结构工程内存放易燃、可燃、易爆物品，因施工需要进入工程内的易燃、可燃材料，要根据工程计划限量进入并采取可靠的防火措施。</w:t>
      </w:r>
    </w:p>
    <w:p w14:paraId="211CE46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对涉及明火施工的工作要严格履行施工现场的动火批准手续，执行用火证等的管理制度，严禁违章动火。安装、使用电器设备，必须符合用电及防火规定，防止发生火灾。施工用配电设施及其他用电设施必须有专人看守和管理。施工现场范围内严禁吸烟和携带火种。</w:t>
      </w:r>
    </w:p>
    <w:p w14:paraId="5AC1159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⑧每日清理并运走施工垃圾，保持工地及出入口清洁。当发包人要求及时清理时，要积极配合，保证消防通道的畅通。</w:t>
      </w:r>
    </w:p>
    <w:p w14:paraId="30D70A43">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⑨承包人要加强对生活区的防火措施，生活区的设置必须符合消防管理规范。冬季使用煤火应注意通风，杜绝煤气中毒现象发生。</w:t>
      </w:r>
    </w:p>
    <w:p w14:paraId="2CDA0480">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（3）安全文明施工</w:t>
      </w:r>
    </w:p>
    <w:p w14:paraId="239E5929">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①本工程施工现场应按照国家及本地区省、市建设行政主管部门创建文明安全工地的标准和要求进行文明安全施工管理，包括有关设施的设置、办法的制定与实施和资料的准备等。</w:t>
      </w:r>
    </w:p>
    <w:p w14:paraId="13493633">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②承包人应充分认识本工程所处地理位置，保证本工程的施工始终严格依照不低于本地区省、市建设行政主管部门有关安全文明施工的各项标准和规定。 </w:t>
      </w:r>
    </w:p>
    <w:p w14:paraId="23B76E95">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在现场入口的显著位置设立建设行政主管部门规定的图板，内容包括现场施工总平面图、总平面管理、安全生产、文明施工、环境保护、质量控制、材料管理等的规章制度和主要参建单位名称和工程概况等说明。</w:t>
      </w:r>
    </w:p>
    <w:p w14:paraId="645ECF54">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将施工现场的办公、生活区与作业区分开设置，并保持安全距离，办公、生活区的选址应当符合安全性要求。应加强施工人员办公区域、民工宿舍及食堂的消防、卫生管理，必须避免传染病及食物中毒现象。如发现或发生传染病及食物中毒现象，必须立即启动应急预案紧急处置，同时应立即向发包人通报，并按规定向政府相关部门报告。</w:t>
      </w:r>
    </w:p>
    <w:p w14:paraId="4B7301AA">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⑤承包人严禁在尚未竣工的建筑物内设置员工集体宿舍。施工现场临时搭建的建筑物应当符合安全使用要求。施工现场使用的装配式活动房屋应当具有产品合格证。</w:t>
      </w:r>
    </w:p>
    <w:p w14:paraId="32CF74BB">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⑥承包人应设置装备良好的临时急救站。</w:t>
      </w:r>
    </w:p>
    <w:p w14:paraId="568C53AA">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（4）环境保护和ISO14000标准</w:t>
      </w:r>
    </w:p>
    <w:p w14:paraId="0445DE5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①承包人应在整个合同履约期内，依照ISO14000标准制定并实施相应的环保制度和措施。</w:t>
      </w:r>
    </w:p>
    <w:p w14:paraId="06D69A4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应当遵守有关环境保护法律、法规的规定，在施工现场采取措施，防止或者减少粉尘、废气、废水、固体废物、噪声、振动和施工照明对人和环境的危害和污染，并对施工现场实行封闭围挡。承包人应保证在合同期间，现场中扬尘、气体散发、地面排水及排污不能超过本地区有关规定的数值（如果有）。</w:t>
      </w:r>
    </w:p>
    <w:p w14:paraId="42AD6907">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任何情况下，承包人应保证在永久工程和临时工程中不得使用任何对人体或环境有害的材料，也不得在永久性工程中使用政府虽未明令禁止但会给居住或使用人带来不适感觉或味觉的任何材料和添加剂。所有施工材料必须使用符合环保要求的材料。</w:t>
      </w:r>
    </w:p>
    <w:p w14:paraId="3CC3D776">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④承包人应在其项目质量保证计划中明确防止误用的保证措施，如果承包人违背此项约定的责任，任何后果由承包人完全负责。</w:t>
      </w:r>
    </w:p>
    <w:p w14:paraId="5F46E027">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⑤一切所需的有关施工场地交通、环卫和施工噪音管理等手续，由承包人负责办理全部施工工程手续，并承担相应责任。</w:t>
      </w:r>
    </w:p>
    <w:p w14:paraId="3F2A7DD2">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⑥竣工验收须经过室内环境检验测试，检验单位须是省、市质检站认可的单位，其检验结果同时提交发包人和总监理工程师，所需费用由承包人负责。</w:t>
      </w:r>
    </w:p>
    <w:p w14:paraId="3684909C">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⑦承包人应在现场设置扰民、民扰工程问题办公室，并由专人负责接待工作。</w:t>
      </w:r>
    </w:p>
    <w:p w14:paraId="68F22BA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（5）现场保卫和治安</w:t>
      </w:r>
    </w:p>
    <w:p w14:paraId="187E4E8F">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应为现场提供24小时的保安保卫服务，配备足够的保安人员和保安设备，做好公共安全的维护工作,现场实施封闭式管理,防止与本工程无关的任何未经授权的人员（该授权人员仅限于发包人和承包人的雇员、其分包人的雇员、监理工程师授权的人员、设计人和监理工程师的雇员以及政府及有关主管部门的执行公务或履行职责的工作人员）进入现场。违反本条约定导致的设备遗失、已完工工程损失、工程设备损坏遗失等全部责任均由承包人自行承担。</w:t>
      </w:r>
    </w:p>
    <w:p w14:paraId="7085352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须始终采取一切合理的预防措施，防止雇员或工人发生任何违法、暴乱、或妨害治安行为，防止任何人员利用本工程、附属工程、临设工程、设备、设施等进行秘密集会、破坏、抛撒传单进行反动宣传等危害公共治安、公共安全的违法活动以及自身伤害行为，保护工程周围居民和公众及其财产不受上述行为的危害。禁止任何现场内的打架斗殴事件发生。对因违反此条款而引发的一切经济损失和安全责任由承包人承担。</w:t>
      </w:r>
    </w:p>
    <w:p w14:paraId="7C3C3B1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③承包人的保安人员应是训练有素的专业保安人员，承包人可以直接雇佣专业保安公司负责现场保安和保卫；保安保卫制度除规定现场出入大门控制外，还应规定不规律的现场周边和全现场的保安巡逻。</w:t>
      </w:r>
    </w:p>
    <w:p w14:paraId="7003779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制定并实施严格的人员、材料和设备等的现场出入制度并报项目管理部审批，防止现场材料、设备或其他任何物品的被盗或被窃；车辆的出入须有出入审批制度，并有指定的专人负责管理；人员进出现场应有出入证，其中应包括工程名称、证号、持有人姓名、性别、职务、所属公司等内容；出入证应加盖印章和做塑封。</w:t>
      </w:r>
    </w:p>
    <w:p w14:paraId="7F51FF54">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如果指定分包人、指定供应商和发包人及发包人雇佣的所有人员已经遵照执行了承包人有关现场保安和保卫管理的各项制度，但因承包人保安和保卫工作的不力或缺陷而给任何指定分包人、指定供应商以及发包人在现场的任何财产造成了损失，承包人须承担相应的赔偿责任。</w:t>
      </w:r>
    </w:p>
    <w:p w14:paraId="31EDD8F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四、事故报告与处理  </w:t>
      </w:r>
    </w:p>
    <w:p w14:paraId="53BEFD8B">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一旦发生任何事故，承包人应当在事故发生后一个小时内向发包人报告事故的详情。此外，在发生任何死亡或重大事故时，承包人应立即用最快的可行方法通知发包人、监理工程师以及任何按照法律、行政法规或规章必须向其报告的有关行政主管部门。</w:t>
      </w:r>
    </w:p>
    <w:p w14:paraId="19DE69A2">
      <w:pPr>
        <w:pageBreakBefore w:val="0"/>
        <w:tabs>
          <w:tab w:val="left" w:pos="720"/>
          <w:tab w:val="left" w:pos="1680"/>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（二）事故发生后因承包人伪造事故现场、故意拖延或隐瞒不报，致使事故现场被破坏或事故原因难以查清的，承包人承担全部责任。</w:t>
      </w:r>
    </w:p>
    <w:p w14:paraId="4CB4E3B7">
      <w:pPr>
        <w:pageBreakBefore w:val="0"/>
        <w:tabs>
          <w:tab w:val="left" w:pos="720"/>
          <w:tab w:val="left" w:pos="1680"/>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承包人发生安全、消防、食物中毒、环保等事故，对发包人造成不良社会影响，发包人有权要求承包人立即整改、停工整顿以至按本单位的相关奖罚制度予以经济处罚（或向承包人索赔），承包人应承担由此造成的经济损失、法律责任和相应的行政责任，以及由此产生的工期损失。</w:t>
      </w:r>
    </w:p>
    <w:p w14:paraId="0DDF890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在对本协议内容及有关安全生产法规明确无误，并对安全生产的责任风险已有充分预见的基础上，承包人承诺，承包人在施工期间对施工现场的安全生产负全责（包括所有分包工程的安全生产），施工期间如施工现场或因施工发生的安全事故，包括造成的经济损失，人员伤亡，以及由此导致的民事、行政、刑事责任均由承包人承担。</w:t>
      </w:r>
    </w:p>
    <w:p w14:paraId="193EDF2B">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承包人应于本协议书签订之日起十日内，将施工资质（复印件）、安全生产许可证（复印件），施工现场责任人、管理人员、专职安全生产管理人员、工程技术人员、特殊工种人员及工人基本情况以书面形式提供给发包人，并将上述人员资格证书（复印件）报发包人备案。</w:t>
      </w:r>
    </w:p>
    <w:p w14:paraId="0CA93C8E">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承包人应于本协议书签订之日起十日内，向发包人提交工程施工组织表和依照相关法律、法规、规定编制的施工现场安全、消防、防汛、治安、卫生、传染病预防等管理制度、防护方案及应急预案。遇“两会”、节假日，承包人应向发包人提供节假日值班安排。</w:t>
      </w:r>
    </w:p>
    <w:p w14:paraId="1931F448">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七、双方确认，本工程的安全生产事宜，本协议有约定的，以约定为准；本协议未作约定的，以《安全生产法》及其他有关安全生产的法律、法规、标准、规范的相关内容为准。</w:t>
      </w:r>
    </w:p>
    <w:p w14:paraId="61297283">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八、本协议份数及生效日期：</w:t>
      </w:r>
    </w:p>
    <w:p w14:paraId="20578E3C">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本协议一式拾份，发包人执陆份，承包人执肆份，自双方签字盖章之日起生效。</w:t>
      </w:r>
    </w:p>
    <w:p w14:paraId="32A0EC27">
      <w:pPr>
        <w:pStyle w:val="2"/>
        <w:pageBreakBefore w:val="0"/>
        <w:kinsoku/>
        <w:overflowPunct/>
        <w:bidi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p>
    <w:p w14:paraId="3773695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33" w:name="_Toc10735_WPSOffice_Level1"/>
      <w:bookmarkStart w:id="734" w:name="_Toc20285"/>
      <w:bookmarkStart w:id="735" w:name="_Toc18335"/>
    </w:p>
    <w:p w14:paraId="61371B6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发包人：（盖章）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承包人：（盖章）</w:t>
      </w:r>
    </w:p>
    <w:p w14:paraId="2D0865A4">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3AAF6F16">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2F790B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p>
    <w:p w14:paraId="0086D0A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p>
    <w:p w14:paraId="3EF32CF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p>
    <w:p w14:paraId="52788672">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eastAsia="zh-CN"/>
        </w:rPr>
      </w:pP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p>
    <w:p w14:paraId="20BAC465">
      <w:pPr>
        <w:pStyle w:val="7"/>
        <w:pageBreakBefore w:val="0"/>
        <w:kinsoku/>
        <w:overflowPunct/>
        <w:bidi w:val="0"/>
        <w:spacing w:before="0" w:after="0" w:afterLines="0" w:line="360" w:lineRule="auto"/>
        <w:ind w:left="0" w:firstLine="0" w:firstLineChars="0"/>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bookmarkStart w:id="736" w:name="_Toc14964"/>
      <w:bookmarkStart w:id="737" w:name="_Toc3797"/>
      <w:bookmarkStart w:id="738" w:name="_Toc21051"/>
      <w:r>
        <w:rPr>
          <w:rFonts w:hint="eastAsia" w:ascii="宋体" w:hAnsi="宋体" w:eastAsia="宋体" w:cs="宋体"/>
          <w:bCs w:val="0"/>
          <w:color w:val="auto"/>
          <w:sz w:val="21"/>
          <w:szCs w:val="21"/>
          <w:highlight w:val="none"/>
        </w:rPr>
        <w:t>附件</w:t>
      </w:r>
      <w:r>
        <w:rPr>
          <w:rFonts w:hint="eastAsia" w:eastAsia="宋体" w:cs="宋体"/>
          <w:bCs w:val="0"/>
          <w:color w:val="auto"/>
          <w:sz w:val="21"/>
          <w:szCs w:val="21"/>
          <w:highlight w:val="none"/>
          <w:lang w:val="en-US" w:eastAsia="zh-CN"/>
        </w:rPr>
        <w:t>7</w:t>
      </w:r>
      <w:r>
        <w:rPr>
          <w:rFonts w:hint="eastAsia" w:ascii="宋体" w:hAnsi="宋体" w:eastAsia="宋体" w:cs="宋体"/>
          <w:bCs w:val="0"/>
          <w:color w:val="auto"/>
          <w:sz w:val="21"/>
          <w:szCs w:val="21"/>
          <w:highlight w:val="none"/>
        </w:rPr>
        <w:t>：</w:t>
      </w:r>
      <w:r>
        <w:rPr>
          <w:rFonts w:hint="eastAsia" w:eastAsia="宋体" w:cs="宋体"/>
          <w:bCs w:val="0"/>
          <w:color w:val="auto"/>
          <w:sz w:val="21"/>
          <w:szCs w:val="21"/>
          <w:highlight w:val="none"/>
          <w:lang w:eastAsia="zh-CN"/>
        </w:rPr>
        <w:t>人大附中三亚学校消防系统及风雨连廊修复等项目</w:t>
      </w:r>
      <w:r>
        <w:rPr>
          <w:rFonts w:hint="eastAsia" w:ascii="宋体" w:hAnsi="宋体" w:eastAsia="宋体" w:cs="宋体"/>
          <w:bCs w:val="0"/>
          <w:color w:val="auto"/>
          <w:sz w:val="21"/>
          <w:szCs w:val="21"/>
          <w:highlight w:val="none"/>
        </w:rPr>
        <w:t>施工参</w:t>
      </w:r>
      <w:bookmarkEnd w:id="733"/>
      <w:bookmarkEnd w:id="734"/>
      <w:bookmarkEnd w:id="735"/>
      <w:r>
        <w:rPr>
          <w:rFonts w:hint="eastAsia" w:ascii="宋体" w:hAnsi="宋体" w:eastAsia="宋体" w:cs="宋体"/>
          <w:bCs w:val="0"/>
          <w:color w:val="auto"/>
          <w:sz w:val="21"/>
          <w:szCs w:val="21"/>
          <w:highlight w:val="none"/>
        </w:rPr>
        <w:t>考品牌一览表</w:t>
      </w:r>
      <w:bookmarkEnd w:id="736"/>
      <w:bookmarkEnd w:id="737"/>
      <w:bookmarkEnd w:id="738"/>
    </w:p>
    <w:tbl>
      <w:tblPr>
        <w:tblStyle w:val="35"/>
        <w:tblW w:w="9570" w:type="dxa"/>
        <w:jc w:val="center"/>
        <w:tblLayout w:type="fixed"/>
        <w:tblCellMar>
          <w:top w:w="0" w:type="dxa"/>
          <w:left w:w="108" w:type="dxa"/>
          <w:bottom w:w="0" w:type="dxa"/>
          <w:right w:w="108" w:type="dxa"/>
        </w:tblCellMar>
      </w:tblPr>
      <w:tblGrid>
        <w:gridCol w:w="765"/>
        <w:gridCol w:w="4980"/>
        <w:gridCol w:w="3825"/>
      </w:tblGrid>
      <w:tr w14:paraId="25A9A487">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31C0199">
            <w:pPr>
              <w:pageBreakBefore w:val="0"/>
              <w:widowControl/>
              <w:kinsoku/>
              <w:overflowPunct/>
              <w:bidi w:val="0"/>
              <w:spacing w:after="0" w:afterLines="0" w:line="360" w:lineRule="auto"/>
              <w:ind w:firstLine="0" w:firstLineChars="0"/>
              <w:jc w:val="both"/>
              <w:textAlignment w:val="auto"/>
              <w:rPr>
                <w:rFonts w:hint="eastAsia" w:ascii="宋体" w:hAnsi="宋体" w:eastAsia="宋体" w:cs="宋体"/>
                <w:b/>
                <w:bCs/>
                <w:color w:val="auto"/>
                <w:kern w:val="0"/>
                <w:sz w:val="21"/>
                <w:szCs w:val="21"/>
                <w:highlight w:val="none"/>
              </w:rPr>
            </w:pPr>
            <w:bookmarkStart w:id="739" w:name="_Toc247527819"/>
            <w:bookmarkStart w:id="740" w:name="_Toc247514232"/>
            <w:r>
              <w:rPr>
                <w:rFonts w:hint="eastAsia" w:ascii="宋体" w:hAnsi="宋体" w:eastAsia="宋体" w:cs="宋体"/>
                <w:b/>
                <w:bCs/>
                <w:color w:val="auto"/>
                <w:kern w:val="0"/>
                <w:sz w:val="21"/>
                <w:szCs w:val="21"/>
                <w:highlight w:val="none"/>
              </w:rPr>
              <w:t>序号</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245F7D8">
            <w:pPr>
              <w:pageBreakBefore w:val="0"/>
              <w:widowControl/>
              <w:kinsoku/>
              <w:overflowPunct/>
              <w:bidi w:val="0"/>
              <w:spacing w:after="0" w:afterLines="0" w:line="360" w:lineRule="auto"/>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材料类型名称</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D766965">
            <w:pPr>
              <w:pageBreakBefore w:val="0"/>
              <w:widowControl/>
              <w:kinsoku/>
              <w:overflowPunct/>
              <w:bidi w:val="0"/>
              <w:spacing w:after="0" w:afterLines="0" w:line="360" w:lineRule="auto"/>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参考品牌及厂家</w:t>
            </w:r>
          </w:p>
        </w:tc>
      </w:tr>
      <w:tr w14:paraId="328F5397">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F5B46FA">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8BC4C9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难燃塑料线管 、HDPE静音排水管 、HDPE双壁波纹管、阻氧型铝合金衬塑（PE-RT）复合管材、PVC-U给水管</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32D805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联塑、雄塑、华塑</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日丰、中财</w:t>
            </w:r>
          </w:p>
        </w:tc>
      </w:tr>
      <w:tr w14:paraId="7E68C036">
        <w:tblPrEx>
          <w:tblCellMar>
            <w:top w:w="0" w:type="dxa"/>
            <w:left w:w="108" w:type="dxa"/>
            <w:bottom w:w="0" w:type="dxa"/>
            <w:right w:w="108" w:type="dxa"/>
          </w:tblCellMar>
        </w:tblPrEx>
        <w:trPr>
          <w:trHeight w:val="46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939EE8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1AAB766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电线、电缆</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C03556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海南威特、美亚、远东</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新兴</w:t>
            </w:r>
          </w:p>
        </w:tc>
      </w:tr>
      <w:tr w14:paraId="6B07436D">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2706E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8121D6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法兰闸阀 、法兰止回阀 、可调式减压阀、蝶阀、Y型过滤器、铜截止阀、自动排气阀</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25BD58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上海冠龙，株洲南方，武汉大禹</w:t>
            </w:r>
          </w:p>
        </w:tc>
      </w:tr>
      <w:tr w14:paraId="19F2907B">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AFA365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892B16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洁具</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27AEAE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美标、TOTO、科勒</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法恩莎、九牧、摩恩</w:t>
            </w:r>
          </w:p>
        </w:tc>
      </w:tr>
      <w:tr w14:paraId="1355E21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A1F829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9F18A9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水泵、热泵机组</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F800BC4">
            <w:pPr>
              <w:pageBreakBefore w:val="0"/>
              <w:widowControl/>
              <w:tabs>
                <w:tab w:val="center" w:pos="1804"/>
              </w:tabs>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凯泉、熊猫、广一</w:t>
            </w:r>
            <w:r>
              <w:rPr>
                <w:rFonts w:hint="eastAsia" w:ascii="宋体" w:hAnsi="宋体" w:eastAsia="宋体" w:cs="宋体"/>
                <w:color w:val="auto"/>
                <w:kern w:val="0"/>
                <w:sz w:val="21"/>
                <w:szCs w:val="21"/>
                <w:highlight w:val="none"/>
                <w:lang w:eastAsia="zh-CN"/>
              </w:rPr>
              <w:tab/>
            </w:r>
          </w:p>
        </w:tc>
      </w:tr>
      <w:tr w14:paraId="6F7262E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29ABF88">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BDC0BA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空调</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2D6098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格力、远大</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日立</w:t>
            </w:r>
          </w:p>
        </w:tc>
      </w:tr>
      <w:tr w14:paraId="5F8ED049">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DF75037">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4B7907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防火阀、调节阀、蝶阀、铝合金百叶风口、消声器</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32C2C5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广州羊城风机、海南昇源、湖南鑫宏源</w:t>
            </w:r>
          </w:p>
        </w:tc>
      </w:tr>
      <w:tr w14:paraId="1FE477CC">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211BBC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0D40BD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火灾自动报警系统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4EDDF2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北大青鸟、海湾、利达</w:t>
            </w:r>
          </w:p>
        </w:tc>
      </w:tr>
      <w:tr w14:paraId="0104831A">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67D3EEF">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8F5000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电气火灾监控器系统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42FAF5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北大青鸟、海湾、利达</w:t>
            </w:r>
          </w:p>
        </w:tc>
      </w:tr>
      <w:tr w14:paraId="69C2A70A">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9F88788">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B20129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防火门监控系统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FF18FF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北大青鸟、海湾、利达</w:t>
            </w:r>
          </w:p>
        </w:tc>
      </w:tr>
      <w:tr w14:paraId="1E0AD52D">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416FE01">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148A065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变压器</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9366D9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海南威特、</w:t>
            </w:r>
            <w:r>
              <w:rPr>
                <w:rFonts w:hint="eastAsia" w:ascii="宋体" w:hAnsi="宋体" w:eastAsia="宋体" w:cs="宋体"/>
                <w:color w:val="auto"/>
                <w:kern w:val="0"/>
                <w:sz w:val="21"/>
                <w:szCs w:val="21"/>
                <w:highlight w:val="none"/>
                <w:lang w:val="en-US" w:eastAsia="zh-CN"/>
              </w:rPr>
              <w:t>深圳特变、特变电工、海南金盘、广东顺特</w:t>
            </w:r>
          </w:p>
        </w:tc>
      </w:tr>
      <w:tr w14:paraId="4601BA3D">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35FF17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997CB0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高低压柜、配电箱</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9B2DA6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电气元器件品牌：施耐德、ABB电气、</w:t>
            </w:r>
            <w:r>
              <w:rPr>
                <w:rFonts w:hint="eastAsia" w:ascii="宋体" w:hAnsi="宋体" w:eastAsia="宋体" w:cs="宋体"/>
                <w:color w:val="auto"/>
                <w:kern w:val="0"/>
                <w:sz w:val="21"/>
                <w:szCs w:val="21"/>
                <w:highlight w:val="none"/>
                <w:lang w:val="en-US" w:eastAsia="zh-CN"/>
              </w:rPr>
              <w:t>西门子</w:t>
            </w:r>
            <w:r>
              <w:rPr>
                <w:rFonts w:hint="eastAsia" w:ascii="宋体" w:hAnsi="宋体" w:eastAsia="宋体" w:cs="宋体"/>
                <w:color w:val="auto"/>
                <w:kern w:val="0"/>
                <w:sz w:val="21"/>
                <w:szCs w:val="21"/>
                <w:highlight w:val="none"/>
              </w:rPr>
              <w:t>。箱体：</w:t>
            </w:r>
            <w:r>
              <w:rPr>
                <w:rFonts w:hint="eastAsia" w:ascii="宋体" w:hAnsi="宋体" w:eastAsia="宋体" w:cs="宋体"/>
                <w:color w:val="auto"/>
                <w:kern w:val="0"/>
                <w:sz w:val="21"/>
                <w:szCs w:val="21"/>
                <w:highlight w:val="none"/>
                <w:lang w:val="en-US" w:eastAsia="zh-CN"/>
              </w:rPr>
              <w:t>万控、浙江炎城、浙江彦煌</w:t>
            </w:r>
          </w:p>
        </w:tc>
      </w:tr>
      <w:tr w14:paraId="4E8B20C5">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1AEF81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C507C4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照明灯具</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EC1BB7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欧普、雷士、飞利浦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松下、FSL(佛山照明）</w:t>
            </w:r>
          </w:p>
        </w:tc>
      </w:tr>
      <w:tr w14:paraId="53210F57">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0360FD8">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6273DD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电梯</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088DF5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三菱、日立（中国）、芬兰通力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蒂森克虏伯、东芝</w:t>
            </w:r>
          </w:p>
        </w:tc>
      </w:tr>
      <w:tr w14:paraId="4481FFA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152DBFE">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896A89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弱电智能化系统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D56550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华为、海康威视、浙江大华</w:t>
            </w:r>
          </w:p>
        </w:tc>
      </w:tr>
      <w:tr w14:paraId="1B993E35">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692D5D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D52717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防火门</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防盗门、户内门</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9D391A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王力、步阳、盼盼</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群升、赛银、新多、美心</w:t>
            </w:r>
          </w:p>
        </w:tc>
      </w:tr>
      <w:tr w14:paraId="13937F27">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48766B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E488A3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铝型材</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4533FCC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亚铝、凤铝、坚美</w:t>
            </w:r>
          </w:p>
        </w:tc>
      </w:tr>
      <w:tr w14:paraId="201907B9">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6C85E0D">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7D308E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门窗玻璃</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DB95B6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南玻、耀华、信义</w:t>
            </w:r>
          </w:p>
        </w:tc>
      </w:tr>
      <w:tr w14:paraId="56AA48F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E3EB39F">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951D28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门窗五金配件</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4D8685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坚朗、广州合和、山东国强</w:t>
            </w:r>
          </w:p>
        </w:tc>
      </w:tr>
      <w:tr w14:paraId="1813501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E854B42">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612BC5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门窗密封胶、建筑胶</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880B9F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广东白云、杭州之江、广州安泰</w:t>
            </w:r>
          </w:p>
        </w:tc>
      </w:tr>
      <w:tr w14:paraId="00F12878">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D27A143">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348206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地砖、墙砖</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5AB24C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东鹏、马可波罗、冠珠</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蒙娜丽莎、诺贝尔、简一</w:t>
            </w:r>
          </w:p>
        </w:tc>
      </w:tr>
      <w:tr w14:paraId="4B27069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4AE70F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F2934C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外墙涂料</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D4863F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多乐士、立邦、嘉宝莉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三棵树、华润</w:t>
            </w:r>
          </w:p>
        </w:tc>
      </w:tr>
      <w:tr w14:paraId="7CE4097D">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D3C276D">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9011B7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室内乳胶漆</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C5C228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多乐士、立邦、嘉宝莉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三棵树、华润</w:t>
            </w:r>
          </w:p>
        </w:tc>
      </w:tr>
      <w:tr w14:paraId="4E1D8E49">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38C6D3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9E4E77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腻子</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9D45B4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美涂士、绿涂、秀珀</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立邦、华润</w:t>
            </w:r>
          </w:p>
        </w:tc>
      </w:tr>
      <w:tr w14:paraId="13FA5D55">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51030C4">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1B167DB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防水卷材、防水涂料</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432F0BA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科顺、东方雨虹、卓宝</w:t>
            </w:r>
          </w:p>
        </w:tc>
      </w:tr>
      <w:tr w14:paraId="691AE07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BCF0159">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6A73B8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开关、插座</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E60DD9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西门子、西蒙电气</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公牛</w:t>
            </w:r>
          </w:p>
        </w:tc>
      </w:tr>
      <w:tr w14:paraId="75F32C42">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BC853A7">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7FB785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塑胶跑道</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D87AAF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长河</w:t>
            </w:r>
            <w:r>
              <w:rPr>
                <w:rFonts w:hint="eastAsia" w:ascii="宋体" w:hAnsi="宋体" w:eastAsia="宋体" w:cs="宋体"/>
                <w:color w:val="auto"/>
                <w:kern w:val="0"/>
                <w:sz w:val="21"/>
                <w:szCs w:val="21"/>
                <w:highlight w:val="none"/>
                <w:lang w:eastAsia="zh-CN"/>
              </w:rPr>
              <w:t>、杰锐、柏胜</w:t>
            </w:r>
          </w:p>
        </w:tc>
      </w:tr>
      <w:tr w14:paraId="2882A0A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BB14909">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7C16F9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硅PU球场面层</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D37ECC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长河</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力茵</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奥翔</w:t>
            </w:r>
          </w:p>
        </w:tc>
      </w:tr>
      <w:tr w14:paraId="63115187">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0BC0871">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4225D9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丙烯酸球场面层</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E81413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格锐赛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Greenset</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马贝</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MEPEI</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科特索</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COURTSOL</w:t>
            </w:r>
            <w:r>
              <w:rPr>
                <w:rFonts w:hint="eastAsia" w:ascii="宋体" w:hAnsi="宋体" w:eastAsia="宋体" w:cs="宋体"/>
                <w:color w:val="auto"/>
                <w:kern w:val="0"/>
                <w:sz w:val="21"/>
                <w:szCs w:val="21"/>
                <w:highlight w:val="none"/>
                <w:lang w:eastAsia="zh-CN"/>
              </w:rPr>
              <w:t>）</w:t>
            </w:r>
          </w:p>
        </w:tc>
      </w:tr>
      <w:tr w14:paraId="244056C9">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6FD2D9F">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5D5A31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运动木地板</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2E5008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普利吉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美凯</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千森</w:t>
            </w:r>
          </w:p>
        </w:tc>
      </w:tr>
      <w:tr w14:paraId="281BD7F8">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2DF3615">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19AD420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PVC地胶</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E472F2F">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北新</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杰帝奇</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浩康</w:t>
            </w:r>
          </w:p>
        </w:tc>
      </w:tr>
      <w:tr w14:paraId="3C2BA0A6">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704335D">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5321DC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运动场地围网</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C47CAD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恰好时</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飞泽</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盛体</w:t>
            </w:r>
          </w:p>
        </w:tc>
      </w:tr>
      <w:tr w14:paraId="18F6A5EB">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D891AC7">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5F1D83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座椅工程</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A3FE33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领先</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大丰</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博金</w:t>
            </w:r>
          </w:p>
        </w:tc>
      </w:tr>
      <w:tr w14:paraId="32A0AC6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3B855AD">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CF6968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体育器材</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533AE3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泰山</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金陵</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盛体</w:t>
            </w:r>
          </w:p>
        </w:tc>
      </w:tr>
      <w:tr w14:paraId="4D4A1612">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140B087">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1026DB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泳池瓷砖</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ED1190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淘陶</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罗莎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佛罗岗斯</w:t>
            </w:r>
          </w:p>
        </w:tc>
      </w:tr>
      <w:tr w14:paraId="676AB946">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BDB535E">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99E317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泳池设备</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9B418F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恒泰</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千叶</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中广</w:t>
            </w:r>
          </w:p>
        </w:tc>
      </w:tr>
      <w:tr w14:paraId="0D9CF1E1">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4535D19">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22E289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体育照明</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4F4D944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恰好时</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海洋王</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北斗星</w:t>
            </w:r>
          </w:p>
        </w:tc>
      </w:tr>
      <w:tr w14:paraId="283F10F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834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F514E5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LED大屏</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E6376F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威谷</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三思</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利亚德</w:t>
            </w:r>
          </w:p>
        </w:tc>
      </w:tr>
      <w:tr w14:paraId="40E17421">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898696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2F3F66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体育工艺专项智能化</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D3D3C5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中意明安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易彩通</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中创通达</w:t>
            </w:r>
          </w:p>
        </w:tc>
      </w:tr>
      <w:tr w14:paraId="54B5BD81">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B9AA31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850073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体育场馆扩声</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42EDE5C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美国EV</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捷克KV2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贝塔斯瑞</w:t>
            </w:r>
          </w:p>
        </w:tc>
      </w:tr>
      <w:tr w14:paraId="183E1D31">
        <w:tblPrEx>
          <w:tblCellMar>
            <w:top w:w="0" w:type="dxa"/>
            <w:left w:w="108" w:type="dxa"/>
            <w:bottom w:w="0" w:type="dxa"/>
            <w:right w:w="108" w:type="dxa"/>
          </w:tblCellMar>
        </w:tblPrEx>
        <w:trPr>
          <w:trHeight w:val="90" w:hRule="atLeast"/>
          <w:jc w:val="center"/>
        </w:trPr>
        <w:tc>
          <w:tcPr>
            <w:tcW w:w="9570" w:type="dxa"/>
            <w:gridSpan w:val="3"/>
            <w:tcBorders>
              <w:top w:val="single" w:color="000000" w:sz="4" w:space="0"/>
              <w:left w:val="single" w:color="000000" w:sz="4" w:space="0"/>
              <w:bottom w:val="single" w:color="000000" w:sz="4" w:space="0"/>
              <w:right w:val="single" w:color="000000" w:sz="4" w:space="0"/>
            </w:tcBorders>
            <w:noWrap w:val="0"/>
            <w:vAlign w:val="center"/>
          </w:tcPr>
          <w:p w14:paraId="02950498">
            <w:pPr>
              <w:pageBreakBefore w:val="0"/>
              <w:widowControl/>
              <w:kinsoku/>
              <w:overflowPunct/>
              <w:bidi w:val="0"/>
              <w:spacing w:after="0" w:afterLines="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备注：</w:t>
            </w:r>
          </w:p>
          <w:p w14:paraId="16EA08EC">
            <w:pPr>
              <w:pageBreakBefore w:val="0"/>
              <w:widowControl/>
              <w:kinsoku/>
              <w:overflowPunct/>
              <w:bidi w:val="0"/>
              <w:spacing w:after="0" w:afterLines="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列明在"参考品牌一览表"中的材料，建设单位、监理单位、施工单位三方定板时参考使用，使用材料品牌档次应在高于或等同于参考品牌的产品品质基础上选用合格的一线品牌，并且向建设单位报批同意后方可使用。</w:t>
            </w:r>
          </w:p>
        </w:tc>
      </w:tr>
      <w:bookmarkEnd w:id="739"/>
      <w:bookmarkEnd w:id="740"/>
    </w:tbl>
    <w:p w14:paraId="4B4E32E4">
      <w:pPr>
        <w:pageBreakBefore w:val="0"/>
        <w:kinsoku/>
        <w:overflowPunct/>
        <w:bidi w:val="0"/>
        <w:spacing w:after="0" w:afterLines="0" w:line="360" w:lineRule="auto"/>
        <w:textAlignment w:val="auto"/>
        <w:outlineLvl w:val="0"/>
        <w:rPr>
          <w:rFonts w:hint="eastAsia" w:ascii="新宋体" w:hAnsi="新宋体" w:eastAsia="新宋体"/>
          <w:b/>
          <w:bCs/>
          <w:color w:val="auto"/>
          <w:sz w:val="21"/>
          <w:szCs w:val="21"/>
          <w:highlight w:val="none"/>
        </w:rPr>
      </w:pPr>
      <w:bookmarkStart w:id="741" w:name="_Toc14355"/>
      <w:bookmarkStart w:id="742" w:name="_Toc12536"/>
      <w:bookmarkStart w:id="743" w:name="_Toc22080"/>
      <w:bookmarkStart w:id="744" w:name="_Toc2950"/>
      <w:bookmarkStart w:id="745" w:name="_Toc10651"/>
      <w:bookmarkStart w:id="746" w:name="_Toc3179"/>
      <w:bookmarkStart w:id="747" w:name="_Toc12843"/>
      <w:bookmarkStart w:id="748" w:name="_Toc21439"/>
      <w:bookmarkStart w:id="749" w:name="_Toc7912"/>
    </w:p>
    <w:p w14:paraId="11077914">
      <w:pPr>
        <w:pageBreakBefore w:val="0"/>
        <w:kinsoku/>
        <w:overflowPunct/>
        <w:bidi w:val="0"/>
        <w:spacing w:after="0" w:afterLines="0" w:line="360" w:lineRule="auto"/>
        <w:textAlignment w:val="auto"/>
        <w:outlineLvl w:val="0"/>
        <w:rPr>
          <w:rFonts w:hint="eastAsia" w:ascii="新宋体" w:hAnsi="新宋体" w:eastAsia="新宋体"/>
          <w:b/>
          <w:bCs/>
          <w:color w:val="auto"/>
          <w:sz w:val="21"/>
          <w:szCs w:val="21"/>
          <w:highlight w:val="none"/>
        </w:rPr>
      </w:pPr>
    </w:p>
    <w:p w14:paraId="2188D5A0">
      <w:pPr>
        <w:pageBreakBefore w:val="0"/>
        <w:kinsoku/>
        <w:overflowPunct/>
        <w:bidi w:val="0"/>
        <w:spacing w:after="0" w:afterLines="0" w:line="360" w:lineRule="auto"/>
        <w:ind w:left="0" w:leftChars="0" w:firstLine="0" w:firstLineChars="0"/>
        <w:jc w:val="center"/>
        <w:textAlignment w:val="auto"/>
        <w:outlineLvl w:val="0"/>
        <w:rPr>
          <w:rFonts w:eastAsia="仿宋_GB2312"/>
          <w:b/>
          <w:bCs/>
          <w:color w:val="auto"/>
          <w:sz w:val="21"/>
          <w:szCs w:val="21"/>
          <w:highlight w:val="none"/>
        </w:rPr>
      </w:pPr>
      <w:r>
        <w:rPr>
          <w:rFonts w:hint="eastAsia" w:ascii="新宋体" w:hAnsi="新宋体" w:eastAsia="新宋体"/>
          <w:b/>
          <w:bCs/>
          <w:color w:val="auto"/>
          <w:sz w:val="21"/>
          <w:szCs w:val="21"/>
          <w:highlight w:val="none"/>
        </w:rPr>
        <w:t>附件</w:t>
      </w:r>
      <w:r>
        <w:rPr>
          <w:rFonts w:hint="eastAsia" w:ascii="新宋体" w:hAnsi="新宋体" w:eastAsia="新宋体"/>
          <w:b/>
          <w:bCs/>
          <w:color w:val="auto"/>
          <w:sz w:val="21"/>
          <w:szCs w:val="21"/>
          <w:highlight w:val="none"/>
          <w:lang w:eastAsia="zh-CN"/>
        </w:rPr>
        <w:t>8</w:t>
      </w:r>
      <w:r>
        <w:rPr>
          <w:rFonts w:hint="eastAsia" w:ascii="新宋体" w:hAnsi="新宋体" w:eastAsia="新宋体"/>
          <w:b/>
          <w:bCs/>
          <w:color w:val="auto"/>
          <w:sz w:val="21"/>
          <w:szCs w:val="21"/>
          <w:highlight w:val="none"/>
        </w:rPr>
        <w:t>：工程资金监管协议主要条款</w:t>
      </w:r>
      <w:bookmarkEnd w:id="741"/>
      <w:bookmarkEnd w:id="742"/>
    </w:p>
    <w:p w14:paraId="66DF2A54">
      <w:pPr>
        <w:pageBreakBefore w:val="0"/>
        <w:kinsoku/>
        <w:overflowPunct/>
        <w:bidi w:val="0"/>
        <w:spacing w:after="0" w:afterLines="0" w:line="360" w:lineRule="auto"/>
        <w:jc w:val="center"/>
        <w:textAlignment w:val="auto"/>
        <w:rPr>
          <w:rFonts w:eastAsia="仿宋_GB2312"/>
          <w:color w:val="auto"/>
          <w:sz w:val="21"/>
          <w:szCs w:val="21"/>
          <w:highlight w:val="none"/>
        </w:rPr>
      </w:pPr>
      <w:r>
        <w:rPr>
          <w:rFonts w:hint="eastAsia" w:eastAsia="仿宋_GB2312"/>
          <w:color w:val="auto"/>
          <w:sz w:val="21"/>
          <w:szCs w:val="21"/>
          <w:highlight w:val="none"/>
        </w:rPr>
        <w:t xml:space="preserve"> </w:t>
      </w:r>
    </w:p>
    <w:p w14:paraId="5BCFFEB9">
      <w:pPr>
        <w:pageBreakBefore w:val="0"/>
        <w:kinsoku/>
        <w:overflowPunct/>
        <w:bidi w:val="0"/>
        <w:spacing w:after="0" w:afterLines="0" w:line="360" w:lineRule="auto"/>
        <w:jc w:val="left"/>
        <w:textAlignment w:val="auto"/>
        <w:outlineLvl w:val="0"/>
        <w:rPr>
          <w:rFonts w:hint="eastAsia" w:cs="宋体"/>
          <w:color w:val="auto"/>
          <w:sz w:val="21"/>
          <w:szCs w:val="21"/>
          <w:highlight w:val="none"/>
        </w:rPr>
      </w:pPr>
      <w:bookmarkStart w:id="750" w:name="_Toc20267"/>
      <w:bookmarkStart w:id="751" w:name="_Toc22079_WPSOffice_Level1"/>
      <w:bookmarkStart w:id="752" w:name="_Toc9405_WPSOffice_Level1"/>
      <w:bookmarkStart w:id="753" w:name="_Toc11304_WPSOffice_Level1"/>
      <w:bookmarkStart w:id="754" w:name="_Toc5672_WPSOffice_Level1"/>
      <w:bookmarkStart w:id="755" w:name="_Toc5135_WPSOffice_Level1"/>
      <w:bookmarkStart w:id="756" w:name="_Toc16192_WPSOffice_Level1"/>
      <w:bookmarkStart w:id="757" w:name="_Toc21226_WPSOffice_Level1"/>
      <w:bookmarkStart w:id="758" w:name="_Toc6958_WPSOffice_Level1"/>
      <w:r>
        <w:rPr>
          <w:rFonts w:hint="eastAsia" w:cs="宋体"/>
          <w:color w:val="auto"/>
          <w:sz w:val="21"/>
          <w:szCs w:val="21"/>
          <w:highlight w:val="none"/>
        </w:rPr>
        <w:t>甲方（发包人）：</w:t>
      </w:r>
      <w:bookmarkEnd w:id="750"/>
      <w:bookmarkEnd w:id="751"/>
      <w:bookmarkEnd w:id="752"/>
      <w:bookmarkEnd w:id="753"/>
      <w:bookmarkEnd w:id="754"/>
      <w:bookmarkEnd w:id="755"/>
      <w:bookmarkEnd w:id="756"/>
      <w:bookmarkEnd w:id="757"/>
      <w:bookmarkEnd w:id="758"/>
      <w:r>
        <w:rPr>
          <w:rFonts w:hint="eastAsia" w:cs="宋体"/>
          <w:color w:val="auto"/>
          <w:sz w:val="21"/>
          <w:szCs w:val="21"/>
          <w:highlight w:val="none"/>
          <w:lang w:eastAsia="zh-CN"/>
        </w:rPr>
        <w:t>三亚市教育局</w:t>
      </w:r>
    </w:p>
    <w:p w14:paraId="5F0EE365">
      <w:pPr>
        <w:pageBreakBefore w:val="0"/>
        <w:kinsoku/>
        <w:overflowPunct/>
        <w:bidi w:val="0"/>
        <w:spacing w:after="0" w:afterLines="0" w:line="360" w:lineRule="auto"/>
        <w:jc w:val="left"/>
        <w:textAlignment w:val="auto"/>
        <w:outlineLvl w:val="0"/>
        <w:rPr>
          <w:rFonts w:hint="eastAsia" w:cs="宋体"/>
          <w:color w:val="auto"/>
          <w:sz w:val="21"/>
          <w:szCs w:val="21"/>
          <w:highlight w:val="none"/>
        </w:rPr>
      </w:pPr>
      <w:bookmarkStart w:id="759" w:name="_Toc7263_WPSOffice_Level1"/>
      <w:bookmarkStart w:id="760" w:name="_Toc990_WPSOffice_Level1"/>
      <w:bookmarkStart w:id="761" w:name="_Toc14327_WPSOffice_Level1"/>
      <w:bookmarkStart w:id="762" w:name="_Toc21643_WPSOffice_Level1"/>
      <w:bookmarkStart w:id="763" w:name="_Toc22131_WPSOffice_Level1"/>
      <w:bookmarkStart w:id="764" w:name="_Toc7887"/>
      <w:bookmarkStart w:id="765" w:name="_Toc14849_WPSOffice_Level1"/>
      <w:bookmarkStart w:id="766" w:name="_Toc22188_WPSOffice_Level1"/>
      <w:bookmarkStart w:id="767" w:name="_Toc31255_WPSOffice_Level1"/>
      <w:r>
        <w:rPr>
          <w:rFonts w:hint="eastAsia" w:cs="宋体"/>
          <w:color w:val="auto"/>
          <w:sz w:val="21"/>
          <w:szCs w:val="21"/>
          <w:highlight w:val="none"/>
        </w:rPr>
        <w:t>乙方（承包人）：</w:t>
      </w:r>
      <w:bookmarkEnd w:id="759"/>
      <w:bookmarkEnd w:id="760"/>
      <w:bookmarkEnd w:id="761"/>
      <w:bookmarkEnd w:id="762"/>
      <w:bookmarkEnd w:id="763"/>
      <w:bookmarkEnd w:id="764"/>
      <w:bookmarkEnd w:id="765"/>
      <w:bookmarkEnd w:id="766"/>
      <w:bookmarkEnd w:id="767"/>
      <w:r>
        <w:rPr>
          <w:rFonts w:hint="eastAsia" w:cs="宋体"/>
          <w:color w:val="auto"/>
          <w:sz w:val="21"/>
          <w:szCs w:val="21"/>
          <w:highlight w:val="none"/>
        </w:rPr>
        <w:t xml:space="preserve">            </w:t>
      </w:r>
    </w:p>
    <w:p w14:paraId="456C2B96">
      <w:pPr>
        <w:pageBreakBefore w:val="0"/>
        <w:numPr>
          <w:ilvl w:val="0"/>
          <w:numId w:val="17"/>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本协议有效期限自协议生效之日起至甲方书面通知指定开户银行终止协议之日或施工合同履行完毕后终止，在此期限内，</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（发包人指定开户银行）按本协议的约定对该共管账户进行监管。</w:t>
      </w:r>
    </w:p>
    <w:p w14:paraId="5BC4701E">
      <w:pPr>
        <w:pageBreakBefore w:val="0"/>
        <w:numPr>
          <w:ilvl w:val="0"/>
          <w:numId w:val="17"/>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本协议有效期限内，甲、乙任何一方均无权单独动用监管账户内的资金款项。在具备下列条件后，</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（发包人指定开户银行）对共管账户内的资金按照甲乙双方共同（经办时注意是甲乙双方共同进行（一）（二）（三）项）指示进行支付：</w:t>
      </w:r>
    </w:p>
    <w:p w14:paraId="50C061E0">
      <w:pPr>
        <w:pageBreakBefore w:val="0"/>
        <w:numPr>
          <w:ilvl w:val="0"/>
          <w:numId w:val="18"/>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甲、乙双方公司法定代表人或指定委托代理人携带本人身份证件亲自到</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（发包人指定开户银行），指定委托代理人必须带上法人委托书原件。</w:t>
      </w:r>
    </w:p>
    <w:p w14:paraId="35E05AD6">
      <w:pPr>
        <w:pageBreakBefore w:val="0"/>
        <w:numPr>
          <w:ilvl w:val="0"/>
          <w:numId w:val="18"/>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甲、乙双方共同向</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（发包人指定开户银行）出具支付通知书原件，该支付通知书上盖甲乙双方的印章必须与预留印鉴一致。</w:t>
      </w:r>
    </w:p>
    <w:p w14:paraId="54BF0B48">
      <w:pPr>
        <w:pageBreakBefore w:val="0"/>
        <w:numPr>
          <w:ilvl w:val="0"/>
          <w:numId w:val="18"/>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甲、乙公司按要求提供其他相关资料并办理相关手续，同时监管账户内资金的支付须符合有关支付结算办法、相关规定。</w:t>
      </w:r>
    </w:p>
    <w:p w14:paraId="72CBD209">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三、本协议有效期限内，在同时具备下列条件后，</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（发包人指定开户银行）方可提前解除对监管账户的监管或是该账户进行销户：</w:t>
      </w:r>
    </w:p>
    <w:p w14:paraId="1B8325F6">
      <w:pPr>
        <w:pageBreakBefore w:val="0"/>
        <w:numPr>
          <w:ilvl w:val="0"/>
          <w:numId w:val="19"/>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甲、乙双方公司法定代表人或指定委托代理人携带本人身份证件亲自到</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（发包人指定开户银行），指定委托代理人必须带上法人委托书原件。</w:t>
      </w:r>
    </w:p>
    <w:p w14:paraId="751ACBEA">
      <w:pPr>
        <w:pageBreakBefore w:val="0"/>
        <w:numPr>
          <w:ilvl w:val="0"/>
          <w:numId w:val="19"/>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甲、乙双方共同向</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（发包人指定开户银行）出具解除共管通知书原件，该支付通知书上加盖甲、乙双方的印章必须与预留印鉴一致。甲乙公司按要求提供其他相关资料并办理相关手续。</w:t>
      </w:r>
    </w:p>
    <w:p w14:paraId="6DE78B23">
      <w:pPr>
        <w:pageBreakBefore w:val="0"/>
        <w:numPr>
          <w:ilvl w:val="0"/>
          <w:numId w:val="19"/>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本协议自解除共管通知书签署之日起终止，该账户（户名__________，账号____________________）变更预留印鉴为乙方单方印鉴或销户。</w:t>
      </w:r>
    </w:p>
    <w:p w14:paraId="28117C86">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四、</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（发包人指定开户银行）负责根据有关支付结算方法、相关规定对共管账户内的资金进行监管以及依照本协议的规定对共管账户内的资金进行支付。</w:t>
      </w:r>
    </w:p>
    <w:p w14:paraId="31C108B1">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五、在本协议有效期限内，办理印鉴挂失和印鉴变更等手续必须有甲、乙双方法定代表人或指定委托代理人到场，同时申请书上必须加盖双方的预留印章。</w:t>
      </w:r>
    </w:p>
    <w:p w14:paraId="78E2E36A">
      <w:pPr>
        <w:pageBreakBefore w:val="0"/>
        <w:numPr>
          <w:ilvl w:val="0"/>
          <w:numId w:val="20"/>
        </w:numPr>
        <w:kinsoku/>
        <w:overflowPunct/>
        <w:bidi w:val="0"/>
        <w:spacing w:after="0" w:afterLines="0" w:line="360" w:lineRule="auto"/>
        <w:ind w:firstLine="420" w:firstLineChars="200"/>
        <w:jc w:val="left"/>
        <w:textAlignment w:val="auto"/>
        <w:rPr>
          <w:rFonts w:hint="eastAsia" w:ascii="宋体" w:hAnsi="宋体" w:eastAsia="宋体" w:cs="宋体"/>
          <w:b/>
          <w:bCs w:val="0"/>
          <w:color w:val="auto"/>
          <w:spacing w:val="0"/>
          <w:w w:val="100"/>
          <w:sz w:val="21"/>
          <w:szCs w:val="21"/>
          <w:highlight w:val="none"/>
        </w:rPr>
      </w:pPr>
      <w:r>
        <w:rPr>
          <w:rFonts w:hint="eastAsia" w:cs="宋体"/>
          <w:color w:val="auto"/>
          <w:sz w:val="21"/>
          <w:szCs w:val="21"/>
          <w:highlight w:val="none"/>
        </w:rPr>
        <w:t>协议经甲乙双方法定代理人或者指定委托代理人签字（或盖个人印章）并加盖公章后生效。协议一式三份，甲、乙和</w:t>
      </w:r>
      <w:r>
        <w:rPr>
          <w:rFonts w:hint="eastAsia" w:cs="宋体"/>
          <w:color w:val="auto"/>
          <w:sz w:val="21"/>
          <w:szCs w:val="21"/>
          <w:highlight w:val="none"/>
          <w:u w:val="single"/>
        </w:rPr>
        <w:t xml:space="preserve">            </w:t>
      </w:r>
      <w:r>
        <w:rPr>
          <w:rFonts w:hint="eastAsia" w:cs="宋体"/>
          <w:color w:val="auto"/>
          <w:sz w:val="21"/>
          <w:szCs w:val="21"/>
          <w:highlight w:val="none"/>
        </w:rPr>
        <w:t xml:space="preserve">（发包人指定开户银行）三方各执一份，均具有同等法律效力。 </w:t>
      </w:r>
    </w:p>
    <w:p w14:paraId="00F50D4E">
      <w:pPr>
        <w:pageBreakBefore w:val="0"/>
        <w:kinsoku/>
        <w:overflowPunct/>
        <w:bidi w:val="0"/>
        <w:spacing w:after="0" w:afterLines="0" w:line="360" w:lineRule="auto"/>
        <w:textAlignment w:val="auto"/>
        <w:rPr>
          <w:rFonts w:hint="eastAsia" w:ascii="宋体" w:hAnsi="宋体" w:eastAsia="宋体" w:cs="宋体"/>
          <w:b/>
          <w:bCs w:val="0"/>
          <w:color w:val="auto"/>
          <w:spacing w:val="0"/>
          <w:w w:val="100"/>
          <w:sz w:val="21"/>
          <w:szCs w:val="21"/>
          <w:highlight w:val="none"/>
        </w:rPr>
      </w:pPr>
    </w:p>
    <w:bookmarkEnd w:id="743"/>
    <w:bookmarkEnd w:id="744"/>
    <w:bookmarkEnd w:id="745"/>
    <w:bookmarkEnd w:id="746"/>
    <w:bookmarkEnd w:id="747"/>
    <w:bookmarkEnd w:id="748"/>
    <w:bookmarkEnd w:id="749"/>
    <w:p w14:paraId="21885827">
      <w:pPr>
        <w:pStyle w:val="2"/>
        <w:pageBreakBefore w:val="0"/>
        <w:kinsoku/>
        <w:overflowPunct/>
        <w:bidi w:val="0"/>
        <w:spacing w:after="0" w:afterLines="0" w:line="360" w:lineRule="auto"/>
        <w:textAlignment w:val="auto"/>
        <w:rPr>
          <w:rFonts w:hint="eastAsia" w:ascii="宋体" w:hAnsi="宋体" w:eastAsia="宋体" w:cs="宋体"/>
          <w:b/>
          <w:bCs w:val="0"/>
          <w:color w:val="auto"/>
          <w:spacing w:val="0"/>
          <w:w w:val="100"/>
          <w:sz w:val="21"/>
          <w:szCs w:val="21"/>
          <w:highlight w:val="none"/>
        </w:rPr>
      </w:pPr>
    </w:p>
    <w:sectPr>
      <w:headerReference r:id="rId6" w:type="default"/>
      <w:footerReference r:id="rId7" w:type="default"/>
      <w:pgSz w:w="11906" w:h="16838"/>
      <w:pgMar w:top="1440" w:right="1689" w:bottom="1440" w:left="1689"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CG Times">
    <w:altName w:val="Times New Roman"/>
    <w:panose1 w:val="02020603050405020304"/>
    <w:charset w:val="00"/>
    <w:family w:val="roman"/>
    <w:pitch w:val="default"/>
    <w:sig w:usb0="00000007" w:usb1="00000000" w:usb2="00000000" w:usb3="00000000" w:csb0="00000093" w:csb1="00000000"/>
  </w:font>
  <w:font w:name="Times">
    <w:altName w:val="Times New Roman"/>
    <w:panose1 w:val="02020603050405020304"/>
    <w:charset w:val="00"/>
    <w:family w:val="roman"/>
    <w:pitch w:val="default"/>
    <w:sig w:usb0="00000007" w:usb1="00000000" w:usb2="00000000" w:usb3="00000000" w:csb0="00000093" w:csb1="00000000"/>
  </w:font>
  <w:font w:name="仿宋_GB2312">
    <w:altName w:val="仿宋"/>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41591">
    <w:pPr>
      <w:pStyle w:val="23"/>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E4DF9">
    <w:pPr>
      <w:pStyle w:val="23"/>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0DB6C">
    <w:pPr>
      <w:pStyle w:val="2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23C60"/>
    <w:multiLevelType w:val="singleLevel"/>
    <w:tmpl w:val="D9F23C60"/>
    <w:lvl w:ilvl="0" w:tentative="0">
      <w:start w:val="6"/>
      <w:numFmt w:val="decimal"/>
      <w:suff w:val="space"/>
      <w:lvlText w:val="%1."/>
      <w:lvlJc w:val="left"/>
    </w:lvl>
  </w:abstractNum>
  <w:abstractNum w:abstractNumId="1">
    <w:nsid w:val="00000006"/>
    <w:multiLevelType w:val="singleLevel"/>
    <w:tmpl w:val="00000006"/>
    <w:lvl w:ilvl="0" w:tentative="0">
      <w:start w:val="1"/>
      <w:numFmt w:val="decimal"/>
      <w:suff w:val="nothing"/>
      <w:lvlText w:val="（%1）"/>
      <w:lvlJc w:val="left"/>
      <w:rPr>
        <w:rFonts w:cs="Times New Roman"/>
      </w:rPr>
    </w:lvl>
  </w:abstractNum>
  <w:abstractNum w:abstractNumId="2">
    <w:nsid w:val="0053208E"/>
    <w:multiLevelType w:val="multilevel"/>
    <w:tmpl w:val="0053208E"/>
    <w:lvl w:ilvl="0" w:tentative="0">
      <w:start w:val="1"/>
      <w:numFmt w:val="decimal"/>
      <w:lvlText w:val="%1."/>
      <w:lvlJc w:val="left"/>
      <w:pPr>
        <w:ind w:left="541" w:hanging="422"/>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1340" w:hanging="422"/>
      </w:pPr>
      <w:rPr>
        <w:rFonts w:hint="default"/>
        <w:lang w:val="zh-CN" w:eastAsia="zh-CN" w:bidi="zh-CN"/>
      </w:rPr>
    </w:lvl>
    <w:lvl w:ilvl="2" w:tentative="0">
      <w:start w:val="0"/>
      <w:numFmt w:val="bullet"/>
      <w:lvlText w:val="•"/>
      <w:lvlJc w:val="left"/>
      <w:pPr>
        <w:ind w:left="2141" w:hanging="422"/>
      </w:pPr>
      <w:rPr>
        <w:rFonts w:hint="default"/>
        <w:lang w:val="zh-CN" w:eastAsia="zh-CN" w:bidi="zh-CN"/>
      </w:rPr>
    </w:lvl>
    <w:lvl w:ilvl="3" w:tentative="0">
      <w:start w:val="0"/>
      <w:numFmt w:val="bullet"/>
      <w:lvlText w:val="•"/>
      <w:lvlJc w:val="left"/>
      <w:pPr>
        <w:ind w:left="2941" w:hanging="422"/>
      </w:pPr>
      <w:rPr>
        <w:rFonts w:hint="default"/>
        <w:lang w:val="zh-CN" w:eastAsia="zh-CN" w:bidi="zh-CN"/>
      </w:rPr>
    </w:lvl>
    <w:lvl w:ilvl="4" w:tentative="0">
      <w:start w:val="0"/>
      <w:numFmt w:val="bullet"/>
      <w:lvlText w:val="•"/>
      <w:lvlJc w:val="left"/>
      <w:pPr>
        <w:ind w:left="3742" w:hanging="422"/>
      </w:pPr>
      <w:rPr>
        <w:rFonts w:hint="default"/>
        <w:lang w:val="zh-CN" w:eastAsia="zh-CN" w:bidi="zh-CN"/>
      </w:rPr>
    </w:lvl>
    <w:lvl w:ilvl="5" w:tentative="0">
      <w:start w:val="0"/>
      <w:numFmt w:val="bullet"/>
      <w:lvlText w:val="•"/>
      <w:lvlJc w:val="left"/>
      <w:pPr>
        <w:ind w:left="4543" w:hanging="422"/>
      </w:pPr>
      <w:rPr>
        <w:rFonts w:hint="default"/>
        <w:lang w:val="zh-CN" w:eastAsia="zh-CN" w:bidi="zh-CN"/>
      </w:rPr>
    </w:lvl>
    <w:lvl w:ilvl="6" w:tentative="0">
      <w:start w:val="0"/>
      <w:numFmt w:val="bullet"/>
      <w:lvlText w:val="•"/>
      <w:lvlJc w:val="left"/>
      <w:pPr>
        <w:ind w:left="5343" w:hanging="422"/>
      </w:pPr>
      <w:rPr>
        <w:rFonts w:hint="default"/>
        <w:lang w:val="zh-CN" w:eastAsia="zh-CN" w:bidi="zh-CN"/>
      </w:rPr>
    </w:lvl>
    <w:lvl w:ilvl="7" w:tentative="0">
      <w:start w:val="0"/>
      <w:numFmt w:val="bullet"/>
      <w:lvlText w:val="•"/>
      <w:lvlJc w:val="left"/>
      <w:pPr>
        <w:ind w:left="6144" w:hanging="422"/>
      </w:pPr>
      <w:rPr>
        <w:rFonts w:hint="default"/>
        <w:lang w:val="zh-CN" w:eastAsia="zh-CN" w:bidi="zh-CN"/>
      </w:rPr>
    </w:lvl>
    <w:lvl w:ilvl="8" w:tentative="0">
      <w:start w:val="0"/>
      <w:numFmt w:val="bullet"/>
      <w:lvlText w:val="•"/>
      <w:lvlJc w:val="left"/>
      <w:pPr>
        <w:ind w:left="6944" w:hanging="422"/>
      </w:pPr>
      <w:rPr>
        <w:rFonts w:hint="default"/>
        <w:lang w:val="zh-CN" w:eastAsia="zh-CN" w:bidi="zh-CN"/>
      </w:rPr>
    </w:lvl>
  </w:abstractNum>
  <w:abstractNum w:abstractNumId="3">
    <w:nsid w:val="01E967D5"/>
    <w:multiLevelType w:val="multilevel"/>
    <w:tmpl w:val="01E967D5"/>
    <w:lvl w:ilvl="0" w:tentative="0">
      <w:start w:val="1"/>
      <w:numFmt w:val="chineseCountingThousand"/>
      <w:pStyle w:val="103"/>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CB34DF6"/>
    <w:multiLevelType w:val="multilevel"/>
    <w:tmpl w:val="0CB34DF6"/>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D8C6054"/>
    <w:multiLevelType w:val="multilevel"/>
    <w:tmpl w:val="0D8C6054"/>
    <w:lvl w:ilvl="0" w:tentative="0">
      <w:start w:val="1"/>
      <w:numFmt w:val="decimal"/>
      <w:pStyle w:val="95"/>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7">
    <w:nsid w:val="28D9536E"/>
    <w:multiLevelType w:val="multilevel"/>
    <w:tmpl w:val="28D9536E"/>
    <w:lvl w:ilvl="0" w:tentative="0">
      <w:start w:val="1"/>
      <w:numFmt w:val="upperLetter"/>
      <w:pStyle w:val="94"/>
      <w:lvlText w:val="(%1)"/>
      <w:lvlJc w:val="left"/>
      <w:pPr>
        <w:tabs>
          <w:tab w:val="left" w:pos="624"/>
        </w:tabs>
        <w:ind w:left="624" w:hanging="624"/>
      </w:pPr>
    </w:lvl>
    <w:lvl w:ilvl="1" w:tentative="0">
      <w:start w:val="1"/>
      <w:numFmt w:val="upperLetter"/>
      <w:pStyle w:val="73"/>
      <w:lvlText w:val="(%2)"/>
      <w:lvlJc w:val="left"/>
      <w:pPr>
        <w:tabs>
          <w:tab w:val="left" w:pos="1417"/>
        </w:tabs>
        <w:ind w:left="1417" w:hanging="793"/>
      </w:pPr>
    </w:lvl>
    <w:lvl w:ilvl="2" w:tentative="0">
      <w:start w:val="1"/>
      <w:numFmt w:val="upperLetter"/>
      <w:pStyle w:val="100"/>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8">
    <w:nsid w:val="29930BB8"/>
    <w:multiLevelType w:val="singleLevel"/>
    <w:tmpl w:val="29930BB8"/>
    <w:lvl w:ilvl="0" w:tentative="0">
      <w:start w:val="2"/>
      <w:numFmt w:val="decimal"/>
      <w:suff w:val="space"/>
      <w:lvlText w:val="%1."/>
      <w:lvlJc w:val="left"/>
    </w:lvl>
  </w:abstractNum>
  <w:abstractNum w:abstractNumId="9">
    <w:nsid w:val="301F5202"/>
    <w:multiLevelType w:val="multilevel"/>
    <w:tmpl w:val="301F5202"/>
    <w:lvl w:ilvl="0" w:tentative="0">
      <w:start w:val="1"/>
      <w:numFmt w:val="decimal"/>
      <w:lvlText w:val="第%1条"/>
      <w:lvlJc w:val="left"/>
      <w:pPr>
        <w:ind w:left="851" w:firstLine="0"/>
      </w:pPr>
    </w:lvl>
    <w:lvl w:ilvl="1" w:tentative="0">
      <w:start w:val="1"/>
      <w:numFmt w:val="decimal"/>
      <w:pStyle w:val="93"/>
      <w:lvlText w:val="%1.%2"/>
      <w:lvlJc w:val="left"/>
      <w:pPr>
        <w:ind w:left="991" w:hanging="567"/>
      </w:pPr>
    </w:lvl>
    <w:lvl w:ilvl="2" w:tentative="0">
      <w:start w:val="1"/>
      <w:numFmt w:val="decimal"/>
      <w:pStyle w:val="74"/>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10">
    <w:nsid w:val="3AA800C6"/>
    <w:multiLevelType w:val="multilevel"/>
    <w:tmpl w:val="3AA800C6"/>
    <w:lvl w:ilvl="0" w:tentative="0">
      <w:start w:val="1"/>
      <w:numFmt w:val="decimal"/>
      <w:pStyle w:val="90"/>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1"/>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11">
    <w:nsid w:val="42601A94"/>
    <w:multiLevelType w:val="multilevel"/>
    <w:tmpl w:val="42601A94"/>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543706B6"/>
    <w:multiLevelType w:val="multilevel"/>
    <w:tmpl w:val="543706B6"/>
    <w:lvl w:ilvl="0" w:tentative="0">
      <w:start w:val="6"/>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56A0069D"/>
    <w:multiLevelType w:val="multilevel"/>
    <w:tmpl w:val="56A0069D"/>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61BD6C99"/>
    <w:multiLevelType w:val="multilevel"/>
    <w:tmpl w:val="61BD6C99"/>
    <w:lvl w:ilvl="0" w:tentative="0">
      <w:start w:val="1"/>
      <w:numFmt w:val="lowerRoman"/>
      <w:pStyle w:val="83"/>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62687BB6"/>
    <w:multiLevelType w:val="multilevel"/>
    <w:tmpl w:val="62687BB6"/>
    <w:lvl w:ilvl="0" w:tentative="0">
      <w:start w:val="1"/>
      <w:numFmt w:val="decimal"/>
      <w:pStyle w:val="80"/>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6">
    <w:nsid w:val="6E87019F"/>
    <w:multiLevelType w:val="multilevel"/>
    <w:tmpl w:val="6E87019F"/>
    <w:lvl w:ilvl="0" w:tentative="0">
      <w:start w:val="1"/>
      <w:numFmt w:val="chineseCountingThousand"/>
      <w:pStyle w:val="89"/>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7">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96"/>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543651A"/>
    <w:multiLevelType w:val="multilevel"/>
    <w:tmpl w:val="7543651A"/>
    <w:lvl w:ilvl="0" w:tentative="0">
      <w:start w:val="1"/>
      <w:numFmt w:val="lowerLetter"/>
      <w:pStyle w:val="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9"/>
  </w:num>
  <w:num w:numId="3">
    <w:abstractNumId w:val="18"/>
  </w:num>
  <w:num w:numId="4">
    <w:abstractNumId w:val="15"/>
  </w:num>
  <w:num w:numId="5">
    <w:abstractNumId w:val="10"/>
  </w:num>
  <w:num w:numId="6">
    <w:abstractNumId w:val="14"/>
  </w:num>
  <w:num w:numId="7">
    <w:abstractNumId w:val="6"/>
    <w:lvlOverride w:ilvl="0">
      <w:lvl w:ilvl="0" w:tentative="1">
        <w:start w:val="1"/>
        <w:numFmt w:val="decimal"/>
        <w:lvlText w:val="第%1条"/>
        <w:lvlJc w:val="left"/>
        <w:pPr>
          <w:ind w:left="0" w:firstLine="0"/>
        </w:pPr>
      </w:lvl>
    </w:lvlOverride>
    <w:lvlOverride w:ilvl="1">
      <w:lvl w:ilvl="1" w:tentative="1">
        <w:start w:val="1"/>
        <w:numFmt w:val="decimal"/>
        <w:pStyle w:val="104"/>
        <w:lvlText w:val="%1.%2"/>
        <w:lvlJc w:val="left"/>
        <w:pPr>
          <w:ind w:left="1843" w:firstLine="0"/>
        </w:pPr>
      </w:lvl>
    </w:lvlOverride>
    <w:lvlOverride w:ilvl="2">
      <w:lvl w:ilvl="2" w:tentative="1">
        <w:start w:val="1"/>
        <w:numFmt w:val="decimal"/>
        <w:pStyle w:val="88"/>
        <w:lvlText w:val="%1.%2.%3"/>
        <w:lvlJc w:val="left"/>
        <w:pPr>
          <w:ind w:left="2126" w:firstLine="0"/>
        </w:pPr>
      </w:lvl>
    </w:lvlOverride>
    <w:lvlOverride w:ilvl="3">
      <w:lvl w:ilvl="3" w:tentative="1">
        <w:start w:val="1"/>
        <w:numFmt w:val="decimal"/>
        <w:pStyle w:val="99"/>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8">
    <w:abstractNumId w:val="16"/>
  </w:num>
  <w:num w:numId="9">
    <w:abstractNumId w:val="5"/>
  </w:num>
  <w:num w:numId="10">
    <w:abstractNumId w:val="17"/>
  </w:num>
  <w:num w:numId="11">
    <w:abstractNumId w:val="6"/>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97"/>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12">
    <w:abstractNumId w:val="3"/>
  </w:num>
  <w:num w:numId="13">
    <w:abstractNumId w:val="1"/>
  </w:num>
  <w:num w:numId="14">
    <w:abstractNumId w:val="8"/>
  </w:num>
  <w:num w:numId="15">
    <w:abstractNumId w:val="0"/>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NmMwMWE3YWVlMWZhYzBlNGExMWY3N2FhODNjZTEifQ=="/>
  </w:docVars>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0D71"/>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2AF1"/>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0F20"/>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03674C"/>
    <w:rsid w:val="01C56903"/>
    <w:rsid w:val="01D13BA3"/>
    <w:rsid w:val="02033EA9"/>
    <w:rsid w:val="02066EE3"/>
    <w:rsid w:val="024B6E08"/>
    <w:rsid w:val="02CE773E"/>
    <w:rsid w:val="02DE0E3C"/>
    <w:rsid w:val="03D66BA6"/>
    <w:rsid w:val="047B14FB"/>
    <w:rsid w:val="04F14884"/>
    <w:rsid w:val="05305068"/>
    <w:rsid w:val="05461B09"/>
    <w:rsid w:val="0596716A"/>
    <w:rsid w:val="05E55026"/>
    <w:rsid w:val="063D5EC8"/>
    <w:rsid w:val="065A7BAD"/>
    <w:rsid w:val="065E1763"/>
    <w:rsid w:val="06982EAA"/>
    <w:rsid w:val="082B3390"/>
    <w:rsid w:val="085A0A41"/>
    <w:rsid w:val="089B216C"/>
    <w:rsid w:val="09307A52"/>
    <w:rsid w:val="0955056D"/>
    <w:rsid w:val="095F5E77"/>
    <w:rsid w:val="09DF42DA"/>
    <w:rsid w:val="09FD5A16"/>
    <w:rsid w:val="0A136042"/>
    <w:rsid w:val="0A140FA2"/>
    <w:rsid w:val="0A5C2796"/>
    <w:rsid w:val="0A66245A"/>
    <w:rsid w:val="0A917CCA"/>
    <w:rsid w:val="0AA442A4"/>
    <w:rsid w:val="0AAA6EC2"/>
    <w:rsid w:val="0AE1759A"/>
    <w:rsid w:val="0AE655C4"/>
    <w:rsid w:val="0B6F6A6E"/>
    <w:rsid w:val="0B9D2A70"/>
    <w:rsid w:val="0BA73FE6"/>
    <w:rsid w:val="0BBC5EBA"/>
    <w:rsid w:val="0BC33EB3"/>
    <w:rsid w:val="0C185C53"/>
    <w:rsid w:val="0C8535F5"/>
    <w:rsid w:val="0D263FF9"/>
    <w:rsid w:val="0D49107A"/>
    <w:rsid w:val="0DB674AA"/>
    <w:rsid w:val="0E067FC5"/>
    <w:rsid w:val="0E3237E4"/>
    <w:rsid w:val="0EBB70C4"/>
    <w:rsid w:val="0EC54E31"/>
    <w:rsid w:val="0F557DD6"/>
    <w:rsid w:val="10A46BB2"/>
    <w:rsid w:val="10A82BEE"/>
    <w:rsid w:val="11702599"/>
    <w:rsid w:val="11B01B7C"/>
    <w:rsid w:val="11B66E4A"/>
    <w:rsid w:val="124B6CD9"/>
    <w:rsid w:val="126B523A"/>
    <w:rsid w:val="12C53C7A"/>
    <w:rsid w:val="12CB66C6"/>
    <w:rsid w:val="12D50FB5"/>
    <w:rsid w:val="13F015BE"/>
    <w:rsid w:val="145F4995"/>
    <w:rsid w:val="149B1BA2"/>
    <w:rsid w:val="15035681"/>
    <w:rsid w:val="150F0B2A"/>
    <w:rsid w:val="15436163"/>
    <w:rsid w:val="155E03D0"/>
    <w:rsid w:val="156E2668"/>
    <w:rsid w:val="15883A78"/>
    <w:rsid w:val="15E0299E"/>
    <w:rsid w:val="15EA495F"/>
    <w:rsid w:val="160505A3"/>
    <w:rsid w:val="164C2CF7"/>
    <w:rsid w:val="166251DC"/>
    <w:rsid w:val="16775651"/>
    <w:rsid w:val="16897AA8"/>
    <w:rsid w:val="16CE04D5"/>
    <w:rsid w:val="16E7092C"/>
    <w:rsid w:val="16FE5D8D"/>
    <w:rsid w:val="170A0740"/>
    <w:rsid w:val="172E64D6"/>
    <w:rsid w:val="1751432E"/>
    <w:rsid w:val="17941885"/>
    <w:rsid w:val="17BE7C25"/>
    <w:rsid w:val="17D877C7"/>
    <w:rsid w:val="182A0E36"/>
    <w:rsid w:val="18455C50"/>
    <w:rsid w:val="184705E5"/>
    <w:rsid w:val="184F1456"/>
    <w:rsid w:val="18FA0052"/>
    <w:rsid w:val="191F3E67"/>
    <w:rsid w:val="19234A87"/>
    <w:rsid w:val="197226E5"/>
    <w:rsid w:val="1A910490"/>
    <w:rsid w:val="1ABE50CB"/>
    <w:rsid w:val="1AE17177"/>
    <w:rsid w:val="1B0A1401"/>
    <w:rsid w:val="1C142391"/>
    <w:rsid w:val="1C367D1E"/>
    <w:rsid w:val="1C461FB2"/>
    <w:rsid w:val="1CAC3D38"/>
    <w:rsid w:val="1CB533A4"/>
    <w:rsid w:val="1CC00BFB"/>
    <w:rsid w:val="1D7326DA"/>
    <w:rsid w:val="1D7A599C"/>
    <w:rsid w:val="1DADA87F"/>
    <w:rsid w:val="1DB1335D"/>
    <w:rsid w:val="1DE36685"/>
    <w:rsid w:val="1DEB4D87"/>
    <w:rsid w:val="1E0925AC"/>
    <w:rsid w:val="1E5F5CBE"/>
    <w:rsid w:val="1E895743"/>
    <w:rsid w:val="1EFE43F1"/>
    <w:rsid w:val="1F2E38E2"/>
    <w:rsid w:val="1F4D2A73"/>
    <w:rsid w:val="1FFB37EA"/>
    <w:rsid w:val="200F76C3"/>
    <w:rsid w:val="20686980"/>
    <w:rsid w:val="2071586C"/>
    <w:rsid w:val="20A30660"/>
    <w:rsid w:val="20B3409F"/>
    <w:rsid w:val="20B6593D"/>
    <w:rsid w:val="21272FD9"/>
    <w:rsid w:val="214830B5"/>
    <w:rsid w:val="21CE5B6C"/>
    <w:rsid w:val="220B07AE"/>
    <w:rsid w:val="22544B91"/>
    <w:rsid w:val="22B26CFD"/>
    <w:rsid w:val="22ED6D05"/>
    <w:rsid w:val="230F1E2C"/>
    <w:rsid w:val="23227EA7"/>
    <w:rsid w:val="233F1C3B"/>
    <w:rsid w:val="235D255C"/>
    <w:rsid w:val="239B4C32"/>
    <w:rsid w:val="24DB752F"/>
    <w:rsid w:val="24E6466C"/>
    <w:rsid w:val="24F74EE2"/>
    <w:rsid w:val="24FA5141"/>
    <w:rsid w:val="253A7508"/>
    <w:rsid w:val="25641E0C"/>
    <w:rsid w:val="268564DD"/>
    <w:rsid w:val="269D1D30"/>
    <w:rsid w:val="27495237"/>
    <w:rsid w:val="27AD472C"/>
    <w:rsid w:val="27B23302"/>
    <w:rsid w:val="27BA1265"/>
    <w:rsid w:val="27E24E07"/>
    <w:rsid w:val="283111A3"/>
    <w:rsid w:val="28477589"/>
    <w:rsid w:val="286D7ECC"/>
    <w:rsid w:val="28E66F49"/>
    <w:rsid w:val="2935319A"/>
    <w:rsid w:val="29F65FDF"/>
    <w:rsid w:val="2A672865"/>
    <w:rsid w:val="2A9278D8"/>
    <w:rsid w:val="2AB020C4"/>
    <w:rsid w:val="2AC82E3D"/>
    <w:rsid w:val="2ADE7F6A"/>
    <w:rsid w:val="2AF77BC2"/>
    <w:rsid w:val="2B053749"/>
    <w:rsid w:val="2BA0200E"/>
    <w:rsid w:val="2C6426F1"/>
    <w:rsid w:val="2C857779"/>
    <w:rsid w:val="2C9A4365"/>
    <w:rsid w:val="2CA667D6"/>
    <w:rsid w:val="2CB05B20"/>
    <w:rsid w:val="2CC063DD"/>
    <w:rsid w:val="2D605EBD"/>
    <w:rsid w:val="2D7E77E3"/>
    <w:rsid w:val="2E22423B"/>
    <w:rsid w:val="2E7446F5"/>
    <w:rsid w:val="2EC013F3"/>
    <w:rsid w:val="2EDD1E8A"/>
    <w:rsid w:val="2F104B6B"/>
    <w:rsid w:val="2FDE5351"/>
    <w:rsid w:val="2FF81BE3"/>
    <w:rsid w:val="301B0A41"/>
    <w:rsid w:val="302600D2"/>
    <w:rsid w:val="30690E0C"/>
    <w:rsid w:val="30AC4667"/>
    <w:rsid w:val="31556AAC"/>
    <w:rsid w:val="317B5595"/>
    <w:rsid w:val="31AC0148"/>
    <w:rsid w:val="31B32A71"/>
    <w:rsid w:val="321B5F48"/>
    <w:rsid w:val="323B0D6C"/>
    <w:rsid w:val="32421152"/>
    <w:rsid w:val="324741AC"/>
    <w:rsid w:val="32574071"/>
    <w:rsid w:val="32C9498F"/>
    <w:rsid w:val="332A0171"/>
    <w:rsid w:val="335214F5"/>
    <w:rsid w:val="337C355E"/>
    <w:rsid w:val="339A433E"/>
    <w:rsid w:val="33D60378"/>
    <w:rsid w:val="341A3CB4"/>
    <w:rsid w:val="344F2340"/>
    <w:rsid w:val="344F3C87"/>
    <w:rsid w:val="34A90E05"/>
    <w:rsid w:val="34B431F0"/>
    <w:rsid w:val="34EB0F32"/>
    <w:rsid w:val="3503421F"/>
    <w:rsid w:val="354E66A4"/>
    <w:rsid w:val="35750D43"/>
    <w:rsid w:val="359978AF"/>
    <w:rsid w:val="35EE5AAE"/>
    <w:rsid w:val="361C2778"/>
    <w:rsid w:val="36855989"/>
    <w:rsid w:val="36881F5B"/>
    <w:rsid w:val="36CD21D0"/>
    <w:rsid w:val="36DB4E2D"/>
    <w:rsid w:val="36E0129F"/>
    <w:rsid w:val="373A19DF"/>
    <w:rsid w:val="374D6B7F"/>
    <w:rsid w:val="38402264"/>
    <w:rsid w:val="384059EE"/>
    <w:rsid w:val="3891486E"/>
    <w:rsid w:val="38A04871"/>
    <w:rsid w:val="38E41033"/>
    <w:rsid w:val="39BC032C"/>
    <w:rsid w:val="39E93C91"/>
    <w:rsid w:val="39F03816"/>
    <w:rsid w:val="3A6E5FC6"/>
    <w:rsid w:val="3A795B61"/>
    <w:rsid w:val="3A7D2492"/>
    <w:rsid w:val="3A900AEC"/>
    <w:rsid w:val="3AAD7959"/>
    <w:rsid w:val="3ABE5300"/>
    <w:rsid w:val="3AE00EEC"/>
    <w:rsid w:val="3B400F18"/>
    <w:rsid w:val="3B6D2A3C"/>
    <w:rsid w:val="3B8C4352"/>
    <w:rsid w:val="3B8D4EBC"/>
    <w:rsid w:val="3BDA4C6A"/>
    <w:rsid w:val="3BF13876"/>
    <w:rsid w:val="3C2459F9"/>
    <w:rsid w:val="3C395948"/>
    <w:rsid w:val="3C6F3AB2"/>
    <w:rsid w:val="3C8D40B6"/>
    <w:rsid w:val="3CA3038F"/>
    <w:rsid w:val="3CAC27B0"/>
    <w:rsid w:val="3CFB2BFE"/>
    <w:rsid w:val="3D385922"/>
    <w:rsid w:val="3D4225DB"/>
    <w:rsid w:val="3D751207"/>
    <w:rsid w:val="3DD52272"/>
    <w:rsid w:val="3DE559A3"/>
    <w:rsid w:val="3E171CB9"/>
    <w:rsid w:val="3E3F6593"/>
    <w:rsid w:val="3E410AE4"/>
    <w:rsid w:val="3E643867"/>
    <w:rsid w:val="3E9074D6"/>
    <w:rsid w:val="3EDB3543"/>
    <w:rsid w:val="3EE01018"/>
    <w:rsid w:val="3EEA05A8"/>
    <w:rsid w:val="3F084A11"/>
    <w:rsid w:val="3F15699D"/>
    <w:rsid w:val="3F335841"/>
    <w:rsid w:val="3F6B0012"/>
    <w:rsid w:val="3F8A0269"/>
    <w:rsid w:val="3FC57472"/>
    <w:rsid w:val="3FCF4CDA"/>
    <w:rsid w:val="401C613B"/>
    <w:rsid w:val="408972C7"/>
    <w:rsid w:val="408C794F"/>
    <w:rsid w:val="409C47C7"/>
    <w:rsid w:val="40F829A5"/>
    <w:rsid w:val="41304512"/>
    <w:rsid w:val="41B35F09"/>
    <w:rsid w:val="41DE664A"/>
    <w:rsid w:val="41E55B5C"/>
    <w:rsid w:val="42240501"/>
    <w:rsid w:val="431A3EDF"/>
    <w:rsid w:val="433C5357"/>
    <w:rsid w:val="43633BA0"/>
    <w:rsid w:val="43CB14CC"/>
    <w:rsid w:val="43F93826"/>
    <w:rsid w:val="44072E2F"/>
    <w:rsid w:val="444826CE"/>
    <w:rsid w:val="444D3577"/>
    <w:rsid w:val="44C304A5"/>
    <w:rsid w:val="44D97CC8"/>
    <w:rsid w:val="44E44DA0"/>
    <w:rsid w:val="44FB0ADB"/>
    <w:rsid w:val="45475CB4"/>
    <w:rsid w:val="456D2072"/>
    <w:rsid w:val="46D45B43"/>
    <w:rsid w:val="471E5207"/>
    <w:rsid w:val="474B4782"/>
    <w:rsid w:val="47575483"/>
    <w:rsid w:val="47A5389A"/>
    <w:rsid w:val="47C66004"/>
    <w:rsid w:val="47E76734"/>
    <w:rsid w:val="48217291"/>
    <w:rsid w:val="4843016B"/>
    <w:rsid w:val="48916DF5"/>
    <w:rsid w:val="489E4CCB"/>
    <w:rsid w:val="49930C9D"/>
    <w:rsid w:val="49A107F1"/>
    <w:rsid w:val="49CB3958"/>
    <w:rsid w:val="49CC3C1B"/>
    <w:rsid w:val="4A121587"/>
    <w:rsid w:val="4A4A2665"/>
    <w:rsid w:val="4A513E5D"/>
    <w:rsid w:val="4A643906"/>
    <w:rsid w:val="4ADB3725"/>
    <w:rsid w:val="4AEF3676"/>
    <w:rsid w:val="4BD73C27"/>
    <w:rsid w:val="4CAF130F"/>
    <w:rsid w:val="4CC83E99"/>
    <w:rsid w:val="4D2A4700"/>
    <w:rsid w:val="4D626381"/>
    <w:rsid w:val="4D7534B3"/>
    <w:rsid w:val="4D8E7176"/>
    <w:rsid w:val="4DA8541B"/>
    <w:rsid w:val="4DB3204F"/>
    <w:rsid w:val="4DBE3EFF"/>
    <w:rsid w:val="4E0C7807"/>
    <w:rsid w:val="4E25486B"/>
    <w:rsid w:val="4E9518CC"/>
    <w:rsid w:val="4E9722DB"/>
    <w:rsid w:val="4E9F4B5B"/>
    <w:rsid w:val="4ED27537"/>
    <w:rsid w:val="4F452F09"/>
    <w:rsid w:val="4F5B6768"/>
    <w:rsid w:val="4F87306C"/>
    <w:rsid w:val="4FF713BD"/>
    <w:rsid w:val="50A04439"/>
    <w:rsid w:val="5107592F"/>
    <w:rsid w:val="51437323"/>
    <w:rsid w:val="51A27E07"/>
    <w:rsid w:val="51C84238"/>
    <w:rsid w:val="51E11F6A"/>
    <w:rsid w:val="51F46D28"/>
    <w:rsid w:val="52263E21"/>
    <w:rsid w:val="52946FDD"/>
    <w:rsid w:val="534732D5"/>
    <w:rsid w:val="53E84BD3"/>
    <w:rsid w:val="53EE6028"/>
    <w:rsid w:val="54085625"/>
    <w:rsid w:val="545670C2"/>
    <w:rsid w:val="5480565D"/>
    <w:rsid w:val="54B70777"/>
    <w:rsid w:val="54C61E15"/>
    <w:rsid w:val="54ED2AE0"/>
    <w:rsid w:val="54EE5643"/>
    <w:rsid w:val="55A90B97"/>
    <w:rsid w:val="55DF0A77"/>
    <w:rsid w:val="55EB602D"/>
    <w:rsid w:val="55EE1363"/>
    <w:rsid w:val="5606580F"/>
    <w:rsid w:val="564451BE"/>
    <w:rsid w:val="56686741"/>
    <w:rsid w:val="567F6C43"/>
    <w:rsid w:val="56872B1A"/>
    <w:rsid w:val="56B23ED5"/>
    <w:rsid w:val="56D514BA"/>
    <w:rsid w:val="56DC2E99"/>
    <w:rsid w:val="570D6EDC"/>
    <w:rsid w:val="573C6CC0"/>
    <w:rsid w:val="577A6095"/>
    <w:rsid w:val="57884D34"/>
    <w:rsid w:val="57C82096"/>
    <w:rsid w:val="57EC5210"/>
    <w:rsid w:val="5809029A"/>
    <w:rsid w:val="5889187C"/>
    <w:rsid w:val="5895590E"/>
    <w:rsid w:val="58BD445E"/>
    <w:rsid w:val="58D13B17"/>
    <w:rsid w:val="58D27403"/>
    <w:rsid w:val="59E40581"/>
    <w:rsid w:val="5A3B2434"/>
    <w:rsid w:val="5A400C4E"/>
    <w:rsid w:val="5A6C1A27"/>
    <w:rsid w:val="5AA20087"/>
    <w:rsid w:val="5ADF224D"/>
    <w:rsid w:val="5B2554ED"/>
    <w:rsid w:val="5B960EDB"/>
    <w:rsid w:val="5BC30AB4"/>
    <w:rsid w:val="5C4F21C6"/>
    <w:rsid w:val="5C606182"/>
    <w:rsid w:val="5CD55D79"/>
    <w:rsid w:val="5CEC64AF"/>
    <w:rsid w:val="5CF12A99"/>
    <w:rsid w:val="5D6B4885"/>
    <w:rsid w:val="5D78353E"/>
    <w:rsid w:val="5D8C14CD"/>
    <w:rsid w:val="5D9D3B8A"/>
    <w:rsid w:val="5E0F3C05"/>
    <w:rsid w:val="5E2C304F"/>
    <w:rsid w:val="5E3470F1"/>
    <w:rsid w:val="5EAF5057"/>
    <w:rsid w:val="5EBF24E8"/>
    <w:rsid w:val="5ECE3876"/>
    <w:rsid w:val="5F020056"/>
    <w:rsid w:val="5F1A4628"/>
    <w:rsid w:val="5F2048BE"/>
    <w:rsid w:val="5F5F416A"/>
    <w:rsid w:val="5F902207"/>
    <w:rsid w:val="5FBEFC39"/>
    <w:rsid w:val="5FFF538C"/>
    <w:rsid w:val="60A800F7"/>
    <w:rsid w:val="60D040EA"/>
    <w:rsid w:val="61257885"/>
    <w:rsid w:val="61996D80"/>
    <w:rsid w:val="61AE6903"/>
    <w:rsid w:val="61C860FB"/>
    <w:rsid w:val="62215C60"/>
    <w:rsid w:val="622267A9"/>
    <w:rsid w:val="62427CAA"/>
    <w:rsid w:val="625E188F"/>
    <w:rsid w:val="627A2D01"/>
    <w:rsid w:val="62821A26"/>
    <w:rsid w:val="62963713"/>
    <w:rsid w:val="63D556A7"/>
    <w:rsid w:val="64431DA0"/>
    <w:rsid w:val="64443707"/>
    <w:rsid w:val="654F3EAE"/>
    <w:rsid w:val="655F0C67"/>
    <w:rsid w:val="65B17A4E"/>
    <w:rsid w:val="669702ED"/>
    <w:rsid w:val="66C70434"/>
    <w:rsid w:val="67486190"/>
    <w:rsid w:val="679A495D"/>
    <w:rsid w:val="67F13721"/>
    <w:rsid w:val="6855182A"/>
    <w:rsid w:val="688A4512"/>
    <w:rsid w:val="68D8147F"/>
    <w:rsid w:val="68DE2098"/>
    <w:rsid w:val="68F554E3"/>
    <w:rsid w:val="68FF3C3F"/>
    <w:rsid w:val="695807A9"/>
    <w:rsid w:val="69877177"/>
    <w:rsid w:val="698F12BA"/>
    <w:rsid w:val="698F684D"/>
    <w:rsid w:val="69E551D2"/>
    <w:rsid w:val="69FF0793"/>
    <w:rsid w:val="6A1506BE"/>
    <w:rsid w:val="6A5B08E6"/>
    <w:rsid w:val="6A8E75D9"/>
    <w:rsid w:val="6AAB53B4"/>
    <w:rsid w:val="6AD47DD8"/>
    <w:rsid w:val="6B1C34E9"/>
    <w:rsid w:val="6B224094"/>
    <w:rsid w:val="6B5F70E1"/>
    <w:rsid w:val="6BA60328"/>
    <w:rsid w:val="6BAB61C0"/>
    <w:rsid w:val="6BCB3C6C"/>
    <w:rsid w:val="6BDB740E"/>
    <w:rsid w:val="6BDC40B9"/>
    <w:rsid w:val="6BF00ED3"/>
    <w:rsid w:val="6C0B414A"/>
    <w:rsid w:val="6C867617"/>
    <w:rsid w:val="6CBF795E"/>
    <w:rsid w:val="6CDB46DF"/>
    <w:rsid w:val="6CE40709"/>
    <w:rsid w:val="6D25144D"/>
    <w:rsid w:val="6D480C98"/>
    <w:rsid w:val="6D8C188B"/>
    <w:rsid w:val="6D9640F9"/>
    <w:rsid w:val="6E2940B7"/>
    <w:rsid w:val="6E810716"/>
    <w:rsid w:val="6E9002BB"/>
    <w:rsid w:val="6EB46EB7"/>
    <w:rsid w:val="6EDC7946"/>
    <w:rsid w:val="6F1E5CB4"/>
    <w:rsid w:val="6FDE0390"/>
    <w:rsid w:val="70457711"/>
    <w:rsid w:val="70552F84"/>
    <w:rsid w:val="708B75DE"/>
    <w:rsid w:val="70A666D1"/>
    <w:rsid w:val="70CB3DA8"/>
    <w:rsid w:val="71056728"/>
    <w:rsid w:val="710E4544"/>
    <w:rsid w:val="715E0066"/>
    <w:rsid w:val="727C5F89"/>
    <w:rsid w:val="72982F2A"/>
    <w:rsid w:val="72C708B1"/>
    <w:rsid w:val="735D13CB"/>
    <w:rsid w:val="73C06F26"/>
    <w:rsid w:val="73C80D84"/>
    <w:rsid w:val="73F1C740"/>
    <w:rsid w:val="740C70C5"/>
    <w:rsid w:val="742B0368"/>
    <w:rsid w:val="746C1710"/>
    <w:rsid w:val="74837684"/>
    <w:rsid w:val="74C71D5B"/>
    <w:rsid w:val="74E7769E"/>
    <w:rsid w:val="75EBC6ED"/>
    <w:rsid w:val="75F51727"/>
    <w:rsid w:val="764010E4"/>
    <w:rsid w:val="765C57B4"/>
    <w:rsid w:val="768D3874"/>
    <w:rsid w:val="76B86E8E"/>
    <w:rsid w:val="786974CB"/>
    <w:rsid w:val="79282B5C"/>
    <w:rsid w:val="794A24B0"/>
    <w:rsid w:val="796230E1"/>
    <w:rsid w:val="79D35515"/>
    <w:rsid w:val="79FF0EF4"/>
    <w:rsid w:val="7A1637FF"/>
    <w:rsid w:val="7AD53168"/>
    <w:rsid w:val="7B124BB8"/>
    <w:rsid w:val="7B6018A2"/>
    <w:rsid w:val="7BAC2294"/>
    <w:rsid w:val="7BB40320"/>
    <w:rsid w:val="7BC43F70"/>
    <w:rsid w:val="7BF0346C"/>
    <w:rsid w:val="7C5776CD"/>
    <w:rsid w:val="7CA82CA9"/>
    <w:rsid w:val="7D787632"/>
    <w:rsid w:val="7DD10836"/>
    <w:rsid w:val="7E3239CA"/>
    <w:rsid w:val="7E4454AB"/>
    <w:rsid w:val="7E4D2A60"/>
    <w:rsid w:val="7E76459B"/>
    <w:rsid w:val="7E786F03"/>
    <w:rsid w:val="7EAF2398"/>
    <w:rsid w:val="7EC4769B"/>
    <w:rsid w:val="7ECA0CFA"/>
    <w:rsid w:val="7EFC18E2"/>
    <w:rsid w:val="7F4125E6"/>
    <w:rsid w:val="7F641334"/>
    <w:rsid w:val="7F837DCE"/>
    <w:rsid w:val="7FBDC2A0"/>
    <w:rsid w:val="7FC5201F"/>
    <w:rsid w:val="7FD72BC2"/>
    <w:rsid w:val="7FEADF81"/>
    <w:rsid w:val="7FF388DD"/>
    <w:rsid w:val="7FF9F9CB"/>
    <w:rsid w:val="7FFD8FAC"/>
    <w:rsid w:val="7FFFBDBE"/>
    <w:rsid w:val="9F178552"/>
    <w:rsid w:val="A7C97AED"/>
    <w:rsid w:val="BEFDCB01"/>
    <w:rsid w:val="BF6C9167"/>
    <w:rsid w:val="C72FB000"/>
    <w:rsid w:val="D5F37A67"/>
    <w:rsid w:val="DB7F8456"/>
    <w:rsid w:val="DD4EF65F"/>
    <w:rsid w:val="DFFF7E9A"/>
    <w:rsid w:val="E56EA89A"/>
    <w:rsid w:val="F1EFCAAE"/>
    <w:rsid w:val="F7EE3DCB"/>
    <w:rsid w:val="F7FDEA9B"/>
    <w:rsid w:val="F9CEF8C9"/>
    <w:rsid w:val="FBDFC2CF"/>
    <w:rsid w:val="FBFF9761"/>
    <w:rsid w:val="FDDF1F0B"/>
    <w:rsid w:val="FEF9BAAF"/>
    <w:rsid w:val="FEFD870A"/>
    <w:rsid w:val="FF6AC95B"/>
    <w:rsid w:val="FFFF45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3">
    <w:name w:val="heading 1"/>
    <w:next w:val="1"/>
    <w:link w:val="42"/>
    <w:qFormat/>
    <w:uiPriority w:val="9"/>
    <w:pPr>
      <w:adjustRightInd w:val="0"/>
      <w:snapToGrid w:val="0"/>
      <w:spacing w:line="360" w:lineRule="auto"/>
      <w:jc w:val="center"/>
      <w:outlineLvl w:val="0"/>
    </w:pPr>
    <w:rPr>
      <w:b/>
      <w:kern w:val="44"/>
      <w:sz w:val="30"/>
      <w:szCs w:val="22"/>
      <w:lang w:val="en-US" w:eastAsia="zh-CN" w:bidi="ar-SA"/>
    </w:rPr>
  </w:style>
  <w:style w:type="paragraph" w:styleId="4">
    <w:name w:val="heading 2"/>
    <w:basedOn w:val="1"/>
    <w:next w:val="1"/>
    <w:qFormat/>
    <w:uiPriority w:val="9"/>
    <w:pPr>
      <w:keepNext/>
      <w:keepLines/>
      <w:spacing w:line="413" w:lineRule="auto"/>
      <w:outlineLvl w:val="1"/>
    </w:pPr>
    <w:rPr>
      <w:rFonts w:ascii="Arial" w:hAnsi="Arial" w:eastAsia="黑体"/>
      <w:b/>
      <w:sz w:val="28"/>
    </w:rPr>
  </w:style>
  <w:style w:type="paragraph" w:styleId="5">
    <w:name w:val="heading 3"/>
    <w:basedOn w:val="1"/>
    <w:next w:val="1"/>
    <w:link w:val="43"/>
    <w:qFormat/>
    <w:uiPriority w:val="0"/>
    <w:pPr>
      <w:keepNext/>
      <w:keepLines/>
      <w:ind w:firstLine="0" w:firstLineChars="0"/>
      <w:jc w:val="left"/>
      <w:outlineLvl w:val="2"/>
    </w:pPr>
    <w:rPr>
      <w:b/>
    </w:rPr>
  </w:style>
  <w:style w:type="paragraph" w:styleId="6">
    <w:name w:val="heading 4"/>
    <w:basedOn w:val="1"/>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7">
    <w:name w:val="heading 5"/>
    <w:basedOn w:val="1"/>
    <w:next w:val="1"/>
    <w:link w:val="44"/>
    <w:qFormat/>
    <w:uiPriority w:val="0"/>
    <w:pPr>
      <w:keepNext/>
      <w:keepLines/>
      <w:spacing w:before="280" w:after="290" w:line="376" w:lineRule="auto"/>
      <w:ind w:left="992" w:hanging="992"/>
      <w:outlineLvl w:val="4"/>
    </w:pPr>
    <w:rPr>
      <w:b/>
      <w:bCs/>
      <w:sz w:val="28"/>
      <w:szCs w:val="28"/>
    </w:rPr>
  </w:style>
  <w:style w:type="paragraph" w:styleId="8">
    <w:name w:val="heading 6"/>
    <w:basedOn w:val="1"/>
    <w:next w:val="1"/>
    <w:link w:val="45"/>
    <w:qFormat/>
    <w:uiPriority w:val="0"/>
    <w:pPr>
      <w:keepNext/>
      <w:keepLines/>
      <w:spacing w:before="240" w:after="64" w:line="320" w:lineRule="auto"/>
      <w:ind w:left="1134" w:hanging="1134"/>
      <w:outlineLvl w:val="5"/>
    </w:pPr>
    <w:rPr>
      <w:rFonts w:ascii="Calibri Light" w:hAnsi="Calibri Light" w:cs="Times New Roman"/>
      <w:b/>
      <w:bCs/>
    </w:rPr>
  </w:style>
  <w:style w:type="paragraph" w:styleId="9">
    <w:name w:val="heading 7"/>
    <w:basedOn w:val="1"/>
    <w:next w:val="1"/>
    <w:link w:val="46"/>
    <w:qFormat/>
    <w:uiPriority w:val="0"/>
    <w:pPr>
      <w:spacing w:line="288" w:lineRule="auto"/>
      <w:outlineLvl w:val="6"/>
    </w:pPr>
    <w:rPr>
      <w:rFonts w:ascii="CG Times" w:hAnsi="CG Times"/>
      <w:sz w:val="22"/>
      <w:lang w:val="en-GB"/>
    </w:rPr>
  </w:style>
  <w:style w:type="paragraph" w:styleId="10">
    <w:name w:val="heading 8"/>
    <w:basedOn w:val="1"/>
    <w:next w:val="1"/>
    <w:link w:val="47"/>
    <w:qFormat/>
    <w:uiPriority w:val="0"/>
    <w:pPr>
      <w:spacing w:line="288" w:lineRule="auto"/>
      <w:outlineLvl w:val="7"/>
    </w:pPr>
    <w:rPr>
      <w:rFonts w:ascii="CG Times" w:hAnsi="CG Times"/>
      <w:sz w:val="22"/>
      <w:lang w:val="en-GB"/>
    </w:rPr>
  </w:style>
  <w:style w:type="paragraph" w:styleId="11">
    <w:name w:val="heading 9"/>
    <w:basedOn w:val="1"/>
    <w:next w:val="1"/>
    <w:link w:val="48"/>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7">
    <w:name w:val="Default Paragraph Font"/>
    <w:unhideWhenUsed/>
    <w:qFormat/>
    <w:uiPriority w:val="1"/>
  </w:style>
  <w:style w:type="table" w:default="1" w:styleId="35">
    <w:name w:val="Normal Table"/>
    <w:unhideWhenUsed/>
    <w:qFormat/>
    <w:uiPriority w:val="99"/>
    <w:tblPr>
      <w:tblStyle w:val="35"/>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12">
    <w:name w:val="toc 7"/>
    <w:basedOn w:val="1"/>
    <w:next w:val="1"/>
    <w:unhideWhenUsed/>
    <w:qFormat/>
    <w:uiPriority w:val="39"/>
    <w:pPr>
      <w:ind w:left="2520" w:leftChars="1200"/>
    </w:pPr>
    <w:rPr>
      <w:sz w:val="21"/>
    </w:rPr>
  </w:style>
  <w:style w:type="paragraph" w:styleId="13">
    <w:name w:val="Document Map"/>
    <w:basedOn w:val="1"/>
    <w:link w:val="49"/>
    <w:unhideWhenUsed/>
    <w:qFormat/>
    <w:uiPriority w:val="99"/>
  </w:style>
  <w:style w:type="paragraph" w:styleId="14">
    <w:name w:val="annotation text"/>
    <w:basedOn w:val="1"/>
    <w:link w:val="50"/>
    <w:unhideWhenUsed/>
    <w:qFormat/>
    <w:uiPriority w:val="99"/>
    <w:pPr>
      <w:jc w:val="left"/>
    </w:pPr>
  </w:style>
  <w:style w:type="paragraph" w:styleId="15">
    <w:name w:val="Body Text 3"/>
    <w:basedOn w:val="1"/>
    <w:link w:val="51"/>
    <w:unhideWhenUsed/>
    <w:qFormat/>
    <w:uiPriority w:val="99"/>
    <w:rPr>
      <w:sz w:val="16"/>
      <w:szCs w:val="16"/>
    </w:rPr>
  </w:style>
  <w:style w:type="paragraph" w:styleId="16">
    <w:name w:val="Body Text"/>
    <w:basedOn w:val="1"/>
    <w:link w:val="52"/>
    <w:unhideWhenUsed/>
    <w:qFormat/>
    <w:uiPriority w:val="99"/>
  </w:style>
  <w:style w:type="paragraph" w:styleId="17">
    <w:name w:val="toc 5"/>
    <w:basedOn w:val="1"/>
    <w:next w:val="1"/>
    <w:unhideWhenUsed/>
    <w:qFormat/>
    <w:uiPriority w:val="39"/>
    <w:pPr>
      <w:ind w:left="1680" w:leftChars="800"/>
    </w:pPr>
    <w:rPr>
      <w:sz w:val="21"/>
    </w:rPr>
  </w:style>
  <w:style w:type="paragraph" w:styleId="18">
    <w:name w:val="toc 3"/>
    <w:basedOn w:val="1"/>
    <w:next w:val="1"/>
    <w:unhideWhenUsed/>
    <w:qFormat/>
    <w:uiPriority w:val="39"/>
    <w:pPr>
      <w:ind w:left="840" w:leftChars="400"/>
    </w:pPr>
  </w:style>
  <w:style w:type="paragraph" w:styleId="19">
    <w:name w:val="Plain Text"/>
    <w:basedOn w:val="1"/>
    <w:link w:val="53"/>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20">
    <w:name w:val="toc 8"/>
    <w:basedOn w:val="1"/>
    <w:next w:val="1"/>
    <w:unhideWhenUsed/>
    <w:qFormat/>
    <w:uiPriority w:val="39"/>
    <w:pPr>
      <w:ind w:left="2940" w:leftChars="1400"/>
    </w:pPr>
    <w:rPr>
      <w:sz w:val="21"/>
    </w:rPr>
  </w:style>
  <w:style w:type="paragraph" w:styleId="21">
    <w:name w:val="Date"/>
    <w:basedOn w:val="1"/>
    <w:next w:val="1"/>
    <w:link w:val="54"/>
    <w:unhideWhenUsed/>
    <w:qFormat/>
    <w:uiPriority w:val="0"/>
    <w:pPr>
      <w:ind w:left="100" w:leftChars="2500"/>
    </w:pPr>
  </w:style>
  <w:style w:type="paragraph" w:styleId="22">
    <w:name w:val="Balloon Text"/>
    <w:basedOn w:val="1"/>
    <w:link w:val="55"/>
    <w:unhideWhenUsed/>
    <w:qFormat/>
    <w:uiPriority w:val="99"/>
    <w:rPr>
      <w:sz w:val="18"/>
      <w:szCs w:val="18"/>
    </w:rPr>
  </w:style>
  <w:style w:type="paragraph" w:styleId="23">
    <w:name w:val="footer"/>
    <w:link w:val="56"/>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4">
    <w:name w:val="header"/>
    <w:basedOn w:val="1"/>
    <w:link w:val="57"/>
    <w:unhideWhenUsed/>
    <w:qFormat/>
    <w:uiPriority w:val="99"/>
    <w:pPr>
      <w:tabs>
        <w:tab w:val="center" w:pos="4153"/>
        <w:tab w:val="right" w:pos="8306"/>
      </w:tabs>
      <w:ind w:firstLine="360"/>
      <w:jc w:val="center"/>
    </w:pPr>
    <w:rPr>
      <w:sz w:val="18"/>
      <w:szCs w:val="18"/>
    </w:rPr>
  </w:style>
  <w:style w:type="paragraph" w:styleId="25">
    <w:name w:val="toc 1"/>
    <w:basedOn w:val="1"/>
    <w:next w:val="1"/>
    <w:unhideWhenUsed/>
    <w:qFormat/>
    <w:uiPriority w:val="39"/>
  </w:style>
  <w:style w:type="paragraph" w:styleId="26">
    <w:name w:val="toc 4"/>
    <w:basedOn w:val="1"/>
    <w:next w:val="1"/>
    <w:unhideWhenUsed/>
    <w:qFormat/>
    <w:uiPriority w:val="39"/>
    <w:pPr>
      <w:ind w:left="1260" w:leftChars="600"/>
    </w:pPr>
    <w:rPr>
      <w:sz w:val="21"/>
    </w:rPr>
  </w:style>
  <w:style w:type="paragraph" w:styleId="27">
    <w:name w:val="Subtitle"/>
    <w:next w:val="1"/>
    <w:link w:val="58"/>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8">
    <w:name w:val="toc 6"/>
    <w:basedOn w:val="1"/>
    <w:next w:val="1"/>
    <w:unhideWhenUsed/>
    <w:qFormat/>
    <w:uiPriority w:val="39"/>
    <w:pPr>
      <w:ind w:left="2100" w:leftChars="1000"/>
    </w:pPr>
    <w:rPr>
      <w:sz w:val="21"/>
    </w:rPr>
  </w:style>
  <w:style w:type="paragraph" w:styleId="29">
    <w:name w:val="toc 2"/>
    <w:basedOn w:val="1"/>
    <w:next w:val="1"/>
    <w:unhideWhenUsed/>
    <w:qFormat/>
    <w:uiPriority w:val="39"/>
    <w:pPr>
      <w:ind w:left="420" w:leftChars="200"/>
    </w:pPr>
  </w:style>
  <w:style w:type="paragraph" w:styleId="30">
    <w:name w:val="toc 9"/>
    <w:basedOn w:val="1"/>
    <w:next w:val="1"/>
    <w:unhideWhenUsed/>
    <w:qFormat/>
    <w:uiPriority w:val="39"/>
    <w:pPr>
      <w:ind w:left="3360" w:leftChars="1600"/>
    </w:pPr>
    <w:rPr>
      <w:sz w:val="21"/>
    </w:rPr>
  </w:style>
  <w:style w:type="paragraph" w:styleId="31">
    <w:name w:val="Body Text 2"/>
    <w:basedOn w:val="1"/>
    <w:link w:val="59"/>
    <w:unhideWhenUsed/>
    <w:qFormat/>
    <w:uiPriority w:val="99"/>
    <w:pPr>
      <w:spacing w:line="480" w:lineRule="auto"/>
    </w:pPr>
  </w:style>
  <w:style w:type="paragraph" w:styleId="32">
    <w:name w:val="HTML Preformatted"/>
    <w:basedOn w:val="1"/>
    <w:link w:val="60"/>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3">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4">
    <w:name w:val="annotation subject"/>
    <w:basedOn w:val="14"/>
    <w:next w:val="14"/>
    <w:link w:val="61"/>
    <w:unhideWhenUsed/>
    <w:qFormat/>
    <w:uiPriority w:val="99"/>
    <w:rPr>
      <w:b/>
      <w:bCs/>
    </w:rPr>
  </w:style>
  <w:style w:type="table" w:styleId="36">
    <w:name w:val="Table Grid"/>
    <w:basedOn w:val="35"/>
    <w:qFormat/>
    <w:uiPriority w:val="0"/>
    <w:tblPr>
      <w:tblStyle w:val="3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b/>
      <w:bCs/>
    </w:rPr>
  </w:style>
  <w:style w:type="character" w:styleId="39">
    <w:name w:val="FollowedHyperlink"/>
    <w:unhideWhenUsed/>
    <w:qFormat/>
    <w:uiPriority w:val="99"/>
    <w:rPr>
      <w:color w:val="954F72"/>
      <w:u w:val="single"/>
    </w:rPr>
  </w:style>
  <w:style w:type="character" w:styleId="40">
    <w:name w:val="Hyperlink"/>
    <w:unhideWhenUsed/>
    <w:qFormat/>
    <w:uiPriority w:val="99"/>
    <w:rPr>
      <w:color w:val="0563C1"/>
      <w:u w:val="single"/>
    </w:rPr>
  </w:style>
  <w:style w:type="character" w:styleId="41">
    <w:name w:val="annotation reference"/>
    <w:unhideWhenUsed/>
    <w:qFormat/>
    <w:uiPriority w:val="99"/>
    <w:rPr>
      <w:sz w:val="21"/>
      <w:szCs w:val="21"/>
    </w:rPr>
  </w:style>
  <w:style w:type="character" w:customStyle="1" w:styleId="42">
    <w:name w:val="标题 1 字符"/>
    <w:link w:val="3"/>
    <w:qFormat/>
    <w:uiPriority w:val="9"/>
    <w:rPr>
      <w:rFonts w:eastAsia="宋体" w:cs="Times New Roman"/>
      <w:b/>
      <w:kern w:val="44"/>
      <w:sz w:val="30"/>
      <w:szCs w:val="22"/>
    </w:rPr>
  </w:style>
  <w:style w:type="character" w:customStyle="1" w:styleId="43">
    <w:name w:val="标题 3 字符"/>
    <w:link w:val="5"/>
    <w:qFormat/>
    <w:uiPriority w:val="0"/>
    <w:rPr>
      <w:rFonts w:ascii="宋体" w:hAnsi="Calibri" w:cs="Times New Roman"/>
      <w:b/>
      <w:kern w:val="2"/>
      <w:sz w:val="24"/>
      <w:szCs w:val="22"/>
    </w:rPr>
  </w:style>
  <w:style w:type="character" w:customStyle="1" w:styleId="44">
    <w:name w:val="标题 5 字符"/>
    <w:link w:val="7"/>
    <w:qFormat/>
    <w:uiPriority w:val="9"/>
    <w:rPr>
      <w:b/>
      <w:bCs/>
      <w:kern w:val="2"/>
      <w:sz w:val="28"/>
      <w:szCs w:val="28"/>
    </w:rPr>
  </w:style>
  <w:style w:type="character" w:customStyle="1" w:styleId="45">
    <w:name w:val="标题 6 字符"/>
    <w:link w:val="8"/>
    <w:semiHidden/>
    <w:qFormat/>
    <w:uiPriority w:val="9"/>
    <w:rPr>
      <w:rFonts w:ascii="Calibri Light" w:hAnsi="Calibri Light" w:eastAsia="宋体" w:cs="Times New Roman"/>
      <w:b/>
      <w:bCs/>
      <w:kern w:val="2"/>
      <w:sz w:val="24"/>
      <w:szCs w:val="24"/>
    </w:rPr>
  </w:style>
  <w:style w:type="character" w:customStyle="1" w:styleId="46">
    <w:name w:val="标题 7 字符"/>
    <w:link w:val="9"/>
    <w:qFormat/>
    <w:uiPriority w:val="0"/>
    <w:rPr>
      <w:rFonts w:ascii="CG Times" w:hAnsi="CG Times"/>
      <w:sz w:val="22"/>
      <w:lang w:val="en-GB"/>
    </w:rPr>
  </w:style>
  <w:style w:type="character" w:customStyle="1" w:styleId="47">
    <w:name w:val="标题 8 字符"/>
    <w:link w:val="10"/>
    <w:qFormat/>
    <w:uiPriority w:val="0"/>
    <w:rPr>
      <w:rFonts w:ascii="CG Times" w:hAnsi="CG Times"/>
      <w:sz w:val="22"/>
      <w:lang w:val="en-GB"/>
    </w:rPr>
  </w:style>
  <w:style w:type="character" w:customStyle="1" w:styleId="48">
    <w:name w:val="标题 9 字符"/>
    <w:link w:val="11"/>
    <w:qFormat/>
    <w:uiPriority w:val="0"/>
    <w:rPr>
      <w:rFonts w:ascii="CG Times" w:hAnsi="CG Times"/>
      <w:b/>
      <w:smallCaps/>
      <w:sz w:val="21"/>
      <w:lang w:val="en-GB"/>
    </w:rPr>
  </w:style>
  <w:style w:type="character" w:customStyle="1" w:styleId="49">
    <w:name w:val="文档结构图 字符"/>
    <w:link w:val="13"/>
    <w:semiHidden/>
    <w:qFormat/>
    <w:uiPriority w:val="99"/>
    <w:rPr>
      <w:rFonts w:ascii="宋体" w:hAnsi="Calibri" w:cs="Times New Roman"/>
      <w:kern w:val="2"/>
      <w:sz w:val="24"/>
      <w:szCs w:val="24"/>
    </w:rPr>
  </w:style>
  <w:style w:type="character" w:customStyle="1" w:styleId="50">
    <w:name w:val="批注文字 字符"/>
    <w:link w:val="14"/>
    <w:qFormat/>
    <w:uiPriority w:val="99"/>
    <w:rPr>
      <w:rFonts w:ascii="Calibri" w:hAnsi="Calibri" w:eastAsia="宋体" w:cs="Times New Roman"/>
      <w:kern w:val="2"/>
      <w:sz w:val="24"/>
      <w:szCs w:val="22"/>
    </w:rPr>
  </w:style>
  <w:style w:type="character" w:customStyle="1" w:styleId="51">
    <w:name w:val="正文文本 3 字符"/>
    <w:link w:val="15"/>
    <w:semiHidden/>
    <w:qFormat/>
    <w:uiPriority w:val="99"/>
    <w:rPr>
      <w:rFonts w:ascii="Calibri" w:hAnsi="Calibri" w:eastAsia="宋体" w:cs="Times New Roman"/>
      <w:kern w:val="2"/>
      <w:sz w:val="16"/>
      <w:szCs w:val="16"/>
    </w:rPr>
  </w:style>
  <w:style w:type="character" w:customStyle="1" w:styleId="52">
    <w:name w:val="正文文本 字符"/>
    <w:link w:val="16"/>
    <w:qFormat/>
    <w:uiPriority w:val="99"/>
    <w:rPr>
      <w:rFonts w:ascii="Calibri" w:hAnsi="Calibri" w:eastAsia="宋体" w:cs="Times New Roman"/>
      <w:kern w:val="2"/>
      <w:sz w:val="24"/>
      <w:szCs w:val="22"/>
    </w:rPr>
  </w:style>
  <w:style w:type="character" w:customStyle="1" w:styleId="53">
    <w:name w:val="纯文本 字符"/>
    <w:link w:val="19"/>
    <w:qFormat/>
    <w:uiPriority w:val="0"/>
    <w:rPr>
      <w:rFonts w:ascii="宋体" w:hAnsi="宋体" w:eastAsia="宋体" w:cs="宋体"/>
      <w:kern w:val="2"/>
      <w:sz w:val="24"/>
      <w:szCs w:val="24"/>
    </w:rPr>
  </w:style>
  <w:style w:type="character" w:customStyle="1" w:styleId="54">
    <w:name w:val="日期 字符"/>
    <w:link w:val="21"/>
    <w:qFormat/>
    <w:uiPriority w:val="0"/>
  </w:style>
  <w:style w:type="character" w:customStyle="1" w:styleId="55">
    <w:name w:val="批注框文本 字符"/>
    <w:link w:val="22"/>
    <w:semiHidden/>
    <w:qFormat/>
    <w:uiPriority w:val="99"/>
    <w:rPr>
      <w:sz w:val="18"/>
      <w:szCs w:val="18"/>
    </w:rPr>
  </w:style>
  <w:style w:type="character" w:customStyle="1" w:styleId="56">
    <w:name w:val="页脚 字符"/>
    <w:link w:val="23"/>
    <w:qFormat/>
    <w:uiPriority w:val="99"/>
    <w:rPr>
      <w:rFonts w:ascii="宋体" w:hAnsi="宋体" w:cs="Times New Roman"/>
      <w:kern w:val="2"/>
      <w:sz w:val="18"/>
      <w:szCs w:val="18"/>
    </w:rPr>
  </w:style>
  <w:style w:type="character" w:customStyle="1" w:styleId="57">
    <w:name w:val="页眉 字符"/>
    <w:link w:val="24"/>
    <w:qFormat/>
    <w:uiPriority w:val="99"/>
    <w:rPr>
      <w:rFonts w:ascii="宋体" w:hAnsi="宋体" w:cs="Times New Roman"/>
      <w:kern w:val="2"/>
      <w:sz w:val="18"/>
      <w:szCs w:val="18"/>
    </w:rPr>
  </w:style>
  <w:style w:type="character" w:customStyle="1" w:styleId="58">
    <w:name w:val="副标题 字符"/>
    <w:link w:val="27"/>
    <w:qFormat/>
    <w:uiPriority w:val="11"/>
    <w:rPr>
      <w:rFonts w:ascii="宋体" w:hAnsi="宋体" w:cs="Times New Roman"/>
      <w:b/>
      <w:bCs/>
      <w:kern w:val="28"/>
      <w:sz w:val="24"/>
      <w:szCs w:val="32"/>
    </w:rPr>
  </w:style>
  <w:style w:type="character" w:customStyle="1" w:styleId="59">
    <w:name w:val="正文文本 2 字符"/>
    <w:link w:val="31"/>
    <w:semiHidden/>
    <w:qFormat/>
    <w:uiPriority w:val="99"/>
    <w:rPr>
      <w:rFonts w:ascii="Calibri" w:hAnsi="Calibri" w:eastAsia="宋体" w:cs="Times New Roman"/>
      <w:kern w:val="2"/>
      <w:sz w:val="24"/>
      <w:szCs w:val="22"/>
    </w:rPr>
  </w:style>
  <w:style w:type="character" w:customStyle="1" w:styleId="60">
    <w:name w:val="HTML 预设格式 字符"/>
    <w:link w:val="32"/>
    <w:semiHidden/>
    <w:qFormat/>
    <w:uiPriority w:val="99"/>
    <w:rPr>
      <w:rFonts w:ascii="宋体" w:hAnsi="宋体" w:cs="宋体"/>
      <w:sz w:val="24"/>
      <w:szCs w:val="24"/>
    </w:rPr>
  </w:style>
  <w:style w:type="character" w:customStyle="1" w:styleId="61">
    <w:name w:val="批注主题 字符"/>
    <w:link w:val="34"/>
    <w:semiHidden/>
    <w:qFormat/>
    <w:uiPriority w:val="99"/>
    <w:rPr>
      <w:rFonts w:ascii="Calibri" w:hAnsi="Calibri" w:eastAsia="宋体" w:cs="Times New Roman"/>
      <w:b/>
      <w:bCs/>
      <w:kern w:val="2"/>
      <w:sz w:val="24"/>
      <w:szCs w:val="22"/>
    </w:rPr>
  </w:style>
  <w:style w:type="character" w:customStyle="1" w:styleId="62">
    <w:name w:val="content"/>
    <w:qFormat/>
    <w:uiPriority w:val="0"/>
  </w:style>
  <w:style w:type="character" w:customStyle="1" w:styleId="63">
    <w:name w:val="未处理的提及3"/>
    <w:unhideWhenUsed/>
    <w:qFormat/>
    <w:uiPriority w:val="99"/>
    <w:rPr>
      <w:color w:val="605E5C"/>
      <w:shd w:val="clear" w:color="auto" w:fill="E1DFDD"/>
    </w:rPr>
  </w:style>
  <w:style w:type="character" w:customStyle="1" w:styleId="64">
    <w:name w:val="样式1 字符"/>
    <w:link w:val="65"/>
    <w:qFormat/>
    <w:uiPriority w:val="0"/>
    <w:rPr>
      <w:rFonts w:ascii="Calibri" w:hAnsi="Calibri" w:eastAsia="宋体" w:cs="Times New Roman"/>
      <w:b/>
      <w:kern w:val="44"/>
      <w:sz w:val="30"/>
      <w:szCs w:val="22"/>
    </w:rPr>
  </w:style>
  <w:style w:type="paragraph" w:customStyle="1" w:styleId="65">
    <w:name w:val="样式1"/>
    <w:basedOn w:val="3"/>
    <w:link w:val="64"/>
    <w:qFormat/>
    <w:uiPriority w:val="0"/>
    <w:rPr>
      <w:rFonts w:cs="Times New Roman"/>
    </w:rPr>
  </w:style>
  <w:style w:type="character" w:customStyle="1" w:styleId="66">
    <w:name w:val="search-in-page-highlight-wrapper"/>
    <w:qFormat/>
    <w:uiPriority w:val="0"/>
  </w:style>
  <w:style w:type="character" w:customStyle="1" w:styleId="67">
    <w:name w:val="未处理的提及1"/>
    <w:unhideWhenUsed/>
    <w:qFormat/>
    <w:uiPriority w:val="99"/>
    <w:rPr>
      <w:color w:val="605E5C"/>
      <w:shd w:val="clear" w:color="auto" w:fill="E1DFDD"/>
    </w:rPr>
  </w:style>
  <w:style w:type="character" w:customStyle="1" w:styleId="68">
    <w:name w:val="refer-count"/>
    <w:qFormat/>
    <w:uiPriority w:val="0"/>
  </w:style>
  <w:style w:type="character" w:styleId="69">
    <w:name w:val="Placeholder Text"/>
    <w:unhideWhenUsed/>
    <w:qFormat/>
    <w:uiPriority w:val="99"/>
    <w:rPr>
      <w:color w:val="808080"/>
    </w:rPr>
  </w:style>
  <w:style w:type="character" w:customStyle="1" w:styleId="70">
    <w:name w:val="search-in-page-highlight-item"/>
    <w:qFormat/>
    <w:uiPriority w:val="0"/>
  </w:style>
  <w:style w:type="character" w:customStyle="1" w:styleId="71">
    <w:name w:val="law-parenthese"/>
    <w:qFormat/>
    <w:uiPriority w:val="0"/>
  </w:style>
  <w:style w:type="character" w:customStyle="1" w:styleId="72">
    <w:name w:val="未处理的提及2"/>
    <w:unhideWhenUsed/>
    <w:qFormat/>
    <w:uiPriority w:val="99"/>
    <w:rPr>
      <w:color w:val="605E5C"/>
      <w:shd w:val="clear" w:color="auto" w:fill="E1DFDD"/>
    </w:rPr>
  </w:style>
  <w:style w:type="paragraph" w:customStyle="1" w:styleId="73">
    <w:name w:val="LIST ALPHA CAPS 2"/>
    <w:basedOn w:val="1"/>
    <w:next w:val="31"/>
    <w:qFormat/>
    <w:uiPriority w:val="0"/>
    <w:pPr>
      <w:numPr>
        <w:ilvl w:val="1"/>
        <w:numId w:val="1"/>
      </w:numPr>
      <w:tabs>
        <w:tab w:val="left" w:pos="50"/>
      </w:tabs>
      <w:spacing w:after="200" w:line="288" w:lineRule="auto"/>
    </w:pPr>
    <w:rPr>
      <w:rFonts w:ascii="CG Times" w:hAnsi="CG Times"/>
      <w:sz w:val="22"/>
      <w:lang w:val="en-GB"/>
    </w:rPr>
  </w:style>
  <w:style w:type="paragraph" w:customStyle="1" w:styleId="74">
    <w:name w:val="专用标题4"/>
    <w:basedOn w:val="6"/>
    <w:next w:val="1"/>
    <w:qFormat/>
    <w:uiPriority w:val="0"/>
    <w:pPr>
      <w:numPr>
        <w:ilvl w:val="2"/>
        <w:numId w:val="2"/>
      </w:numPr>
    </w:pPr>
  </w:style>
  <w:style w:type="paragraph" w:customStyle="1" w:styleId="75">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76">
    <w:name w:val="专用标题2"/>
    <w:basedOn w:val="4"/>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77">
    <w:name w:val="Title 5 Chinese"/>
    <w:qFormat/>
    <w:uiPriority w:val="0"/>
    <w:pPr>
      <w:ind w:left="1701"/>
    </w:pPr>
    <w:rPr>
      <w:kern w:val="2"/>
      <w:sz w:val="24"/>
      <w:szCs w:val="24"/>
      <w:lang w:val="en-US" w:eastAsia="zh-CN" w:bidi="ar-SA"/>
    </w:rPr>
  </w:style>
  <w:style w:type="paragraph" w:customStyle="1" w:styleId="78">
    <w:name w:val="Title 4"/>
    <w:next w:val="79"/>
    <w:qFormat/>
    <w:uiPriority w:val="0"/>
    <w:pPr>
      <w:numPr>
        <w:ilvl w:val="0"/>
        <w:numId w:val="3"/>
      </w:numPr>
      <w:ind w:left="1276" w:hanging="562"/>
      <w:jc w:val="both"/>
    </w:pPr>
    <w:rPr>
      <w:kern w:val="2"/>
      <w:sz w:val="24"/>
      <w:szCs w:val="24"/>
      <w:lang w:val="en-US" w:eastAsia="zh-CN" w:bidi="ar-SA"/>
    </w:rPr>
  </w:style>
  <w:style w:type="paragraph" w:customStyle="1" w:styleId="79">
    <w:name w:val="Title 4 Chinese"/>
    <w:qFormat/>
    <w:uiPriority w:val="0"/>
    <w:pPr>
      <w:ind w:left="1276"/>
    </w:pPr>
    <w:rPr>
      <w:kern w:val="2"/>
      <w:sz w:val="24"/>
      <w:szCs w:val="24"/>
      <w:lang w:val="en-US" w:eastAsia="zh-CN" w:bidi="ar-SA"/>
    </w:rPr>
  </w:style>
  <w:style w:type="paragraph" w:customStyle="1" w:styleId="80">
    <w:name w:val="附件标题"/>
    <w:basedOn w:val="4"/>
    <w:next w:val="1"/>
    <w:qFormat/>
    <w:uiPriority w:val="0"/>
    <w:pPr>
      <w:numPr>
        <w:ilvl w:val="0"/>
        <w:numId w:val="4"/>
      </w:numPr>
      <w:tabs>
        <w:tab w:val="left" w:pos="1134"/>
      </w:tabs>
      <w:spacing w:line="360" w:lineRule="auto"/>
      <w:ind w:firstLine="0" w:firstLineChars="0"/>
      <w:jc w:val="center"/>
    </w:pPr>
    <w:rPr>
      <w:rFonts w:ascii="黑体" w:hAnsi="黑体"/>
      <w:sz w:val="30"/>
      <w:szCs w:val="30"/>
    </w:rPr>
  </w:style>
  <w:style w:type="paragraph" w:customStyle="1" w:styleId="81">
    <w:name w:val="通用标题7"/>
    <w:basedOn w:val="1"/>
    <w:qFormat/>
    <w:uiPriority w:val="0"/>
    <w:pPr>
      <w:numPr>
        <w:ilvl w:val="5"/>
        <w:numId w:val="5"/>
      </w:numPr>
    </w:pPr>
  </w:style>
  <w:style w:type="paragraph" w:customStyle="1" w:styleId="82">
    <w:name w:val="TOC 标题1"/>
    <w:basedOn w:val="3"/>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83">
    <w:name w:val="Title 5"/>
    <w:next w:val="77"/>
    <w:qFormat/>
    <w:uiPriority w:val="0"/>
    <w:pPr>
      <w:numPr>
        <w:ilvl w:val="0"/>
        <w:numId w:val="6"/>
      </w:numPr>
      <w:ind w:left="1701" w:hanging="426"/>
      <w:jc w:val="both"/>
    </w:pPr>
    <w:rPr>
      <w:kern w:val="2"/>
      <w:sz w:val="24"/>
      <w:szCs w:val="24"/>
      <w:lang w:val="en-US" w:eastAsia="zh-CN" w:bidi="ar-SA"/>
    </w:rPr>
  </w:style>
  <w:style w:type="paragraph" w:customStyle="1" w:styleId="84">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85">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86">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87">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88">
    <w:name w:val="通用标题4"/>
    <w:next w:val="1"/>
    <w:qFormat/>
    <w:uiPriority w:val="0"/>
    <w:pPr>
      <w:numPr>
        <w:ilvl w:val="2"/>
        <w:numId w:val="7"/>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customStyle="1" w:styleId="89">
    <w:name w:val="协议书标题2"/>
    <w:basedOn w:val="4"/>
    <w:next w:val="1"/>
    <w:qFormat/>
    <w:uiPriority w:val="0"/>
    <w:pPr>
      <w:keepNext w:val="0"/>
      <w:keepLines w:val="0"/>
      <w:numPr>
        <w:ilvl w:val="0"/>
        <w:numId w:val="8"/>
      </w:numPr>
      <w:tabs>
        <w:tab w:val="left" w:pos="567"/>
      </w:tabs>
      <w:spacing w:line="360" w:lineRule="auto"/>
      <w:ind w:firstLine="0" w:firstLineChars="0"/>
      <w:jc w:val="left"/>
    </w:pPr>
    <w:rPr>
      <w:rFonts w:ascii="宋体" w:hAnsi="宋体" w:eastAsia="宋体"/>
      <w:sz w:val="24"/>
    </w:rPr>
  </w:style>
  <w:style w:type="paragraph" w:customStyle="1" w:styleId="90">
    <w:name w:val="通用标题2"/>
    <w:basedOn w:val="4"/>
    <w:next w:val="1"/>
    <w:qFormat/>
    <w:uiPriority w:val="0"/>
    <w:pPr>
      <w:keepNext w:val="0"/>
      <w:keepLines w:val="0"/>
      <w:numPr>
        <w:ilvl w:val="0"/>
        <w:numId w:val="5"/>
      </w:numPr>
      <w:tabs>
        <w:tab w:val="left" w:pos="993"/>
      </w:tabs>
      <w:spacing w:line="360" w:lineRule="auto"/>
      <w:ind w:firstLineChars="0"/>
    </w:pPr>
    <w:rPr>
      <w:rFonts w:ascii="黑体" w:hAnsi="黑体"/>
    </w:rPr>
  </w:style>
  <w:style w:type="paragraph" w:customStyle="1" w:styleId="91">
    <w:name w:val="缩进2中"/>
    <w:qFormat/>
    <w:uiPriority w:val="0"/>
    <w:pPr>
      <w:ind w:left="708" w:leftChars="295"/>
      <w:jc w:val="both"/>
    </w:pPr>
    <w:rPr>
      <w:rFonts w:ascii="Times" w:hAnsi="Times"/>
      <w:kern w:val="2"/>
      <w:sz w:val="24"/>
      <w:szCs w:val="22"/>
      <w:lang w:val="en-US" w:eastAsia="zh-CN" w:bidi="ar-SA"/>
    </w:rPr>
  </w:style>
  <w:style w:type="paragraph" w:customStyle="1" w:styleId="92">
    <w:name w:val="修订1"/>
    <w:semiHidden/>
    <w:qFormat/>
    <w:uiPriority w:val="99"/>
    <w:rPr>
      <w:rFonts w:ascii="宋体" w:hAnsi="Calibri"/>
      <w:kern w:val="2"/>
      <w:sz w:val="24"/>
      <w:szCs w:val="22"/>
      <w:lang w:val="en-US" w:eastAsia="zh-CN" w:bidi="ar-SA"/>
    </w:rPr>
  </w:style>
  <w:style w:type="paragraph" w:customStyle="1" w:styleId="93">
    <w:name w:val="专用标题3"/>
    <w:basedOn w:val="5"/>
    <w:qFormat/>
    <w:uiPriority w:val="0"/>
    <w:pPr>
      <w:numPr>
        <w:ilvl w:val="1"/>
        <w:numId w:val="2"/>
      </w:numPr>
    </w:pPr>
  </w:style>
  <w:style w:type="paragraph" w:customStyle="1" w:styleId="94">
    <w:name w:val="List ALPHA CAPS 1"/>
    <w:basedOn w:val="1"/>
    <w:next w:val="16"/>
    <w:qFormat/>
    <w:uiPriority w:val="0"/>
    <w:pPr>
      <w:numPr>
        <w:ilvl w:val="0"/>
        <w:numId w:val="1"/>
      </w:numPr>
      <w:tabs>
        <w:tab w:val="left" w:pos="22"/>
      </w:tabs>
      <w:spacing w:after="200" w:line="288" w:lineRule="auto"/>
    </w:pPr>
    <w:rPr>
      <w:rFonts w:ascii="CG Times" w:hAnsi="CG Times"/>
      <w:sz w:val="22"/>
      <w:lang w:val="en-GB"/>
    </w:rPr>
  </w:style>
  <w:style w:type="paragraph" w:styleId="95">
    <w:name w:val="List Paragraph"/>
    <w:basedOn w:val="1"/>
    <w:qFormat/>
    <w:uiPriority w:val="34"/>
    <w:pPr>
      <w:numPr>
        <w:ilvl w:val="0"/>
        <w:numId w:val="9"/>
      </w:numPr>
      <w:tabs>
        <w:tab w:val="left" w:pos="993"/>
      </w:tabs>
      <w:wordWrap/>
      <w:topLinePunct w:val="0"/>
      <w:ind w:left="0" w:firstLine="504" w:firstLineChars="0"/>
    </w:pPr>
    <w:rPr>
      <w:rFonts w:cs="宋体"/>
    </w:rPr>
  </w:style>
  <w:style w:type="paragraph" w:customStyle="1" w:styleId="96">
    <w:name w:val="样式3"/>
    <w:next w:val="1"/>
    <w:qFormat/>
    <w:uiPriority w:val="0"/>
    <w:pPr>
      <w:numPr>
        <w:ilvl w:val="2"/>
        <w:numId w:val="10"/>
      </w:numPr>
    </w:pPr>
    <w:rPr>
      <w:bCs/>
      <w:kern w:val="2"/>
      <w:sz w:val="24"/>
      <w:szCs w:val="24"/>
      <w:lang w:val="en-US" w:eastAsia="zh-CN" w:bidi="ar-SA"/>
    </w:rPr>
  </w:style>
  <w:style w:type="paragraph" w:customStyle="1" w:styleId="97">
    <w:name w:val="通用标题6"/>
    <w:basedOn w:val="1"/>
    <w:qFormat/>
    <w:uiPriority w:val="0"/>
    <w:pPr>
      <w:numPr>
        <w:ilvl w:val="4"/>
        <w:numId w:val="11"/>
      </w:numPr>
      <w:tabs>
        <w:tab w:val="left" w:pos="993"/>
      </w:tabs>
      <w:wordWrap/>
      <w:topLinePunct w:val="0"/>
      <w:ind w:firstLine="0" w:firstLineChars="0"/>
    </w:pPr>
  </w:style>
  <w:style w:type="paragraph" w:customStyle="1" w:styleId="98">
    <w:name w:val="TOC 标题2"/>
    <w:basedOn w:val="3"/>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99">
    <w:name w:val="通用标题5"/>
    <w:qFormat/>
    <w:uiPriority w:val="0"/>
    <w:pPr>
      <w:widowControl w:val="0"/>
      <w:numPr>
        <w:ilvl w:val="3"/>
        <w:numId w:val="7"/>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100">
    <w:name w:val="LIST ALPHA CAPS 3"/>
    <w:basedOn w:val="1"/>
    <w:next w:val="15"/>
    <w:qFormat/>
    <w:uiPriority w:val="0"/>
    <w:pPr>
      <w:numPr>
        <w:ilvl w:val="2"/>
        <w:numId w:val="1"/>
      </w:numPr>
      <w:tabs>
        <w:tab w:val="left" w:pos="68"/>
      </w:tabs>
      <w:spacing w:after="200" w:line="288" w:lineRule="auto"/>
    </w:pPr>
    <w:rPr>
      <w:rFonts w:ascii="CG Times" w:hAnsi="CG Times"/>
      <w:sz w:val="22"/>
      <w:lang w:val="en-GB"/>
    </w:rPr>
  </w:style>
  <w:style w:type="paragraph" w:customStyle="1" w:styleId="101">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2">
    <w:name w:val="小标题"/>
    <w:qFormat/>
    <w:uiPriority w:val="0"/>
    <w:pPr>
      <w:tabs>
        <w:tab w:val="left" w:pos="993"/>
      </w:tabs>
      <w:adjustRightInd w:val="0"/>
      <w:snapToGrid w:val="0"/>
    </w:pPr>
    <w:rPr>
      <w:bCs/>
      <w:kern w:val="2"/>
      <w:sz w:val="24"/>
      <w:szCs w:val="22"/>
      <w:lang w:val="en-US" w:eastAsia="zh-CN" w:bidi="ar-SA"/>
    </w:rPr>
  </w:style>
  <w:style w:type="paragraph" w:customStyle="1" w:styleId="103">
    <w:name w:val="附件标题1"/>
    <w:next w:val="1"/>
    <w:qFormat/>
    <w:uiPriority w:val="0"/>
    <w:pPr>
      <w:numPr>
        <w:ilvl w:val="0"/>
        <w:numId w:val="12"/>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104">
    <w:name w:val="通用标题3"/>
    <w:next w:val="1"/>
    <w:qFormat/>
    <w:uiPriority w:val="0"/>
    <w:pPr>
      <w:widowControl w:val="0"/>
      <w:numPr>
        <w:ilvl w:val="1"/>
        <w:numId w:val="7"/>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5">
    <w:name w:val="网格型1"/>
    <w:basedOn w:val="35"/>
    <w:qFormat/>
    <w:uiPriority w:val="39"/>
    <w:rPr>
      <w:rFonts w:ascii="Calibri" w:hAnsi="Calibri" w:eastAsia="Times New Roman"/>
      <w:kern w:val="2"/>
      <w:sz w:val="21"/>
      <w:szCs w:val="21"/>
    </w:rPr>
    <w:tblPr>
      <w:tblStyle w:val="35"/>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6">
    <w:name w:val="TableGrid"/>
    <w:qFormat/>
    <w:uiPriority w:val="0"/>
    <w:rPr>
      <w:lang w:val="en-US" w:eastAsia="zh-CN" w:bidi="ar-SA"/>
    </w:rPr>
    <w:tblPr>
      <w:tblStyle w:val="35"/>
      <w:tblCellMar>
        <w:top w:w="0" w:type="dxa"/>
        <w:left w:w="0" w:type="dxa"/>
        <w:bottom w:w="0" w:type="dxa"/>
        <w:right w:w="0" w:type="dxa"/>
      </w:tblCellMar>
    </w:tblPr>
  </w:style>
  <w:style w:type="character" w:customStyle="1" w:styleId="107">
    <w:name w:val="f121"/>
    <w:qFormat/>
    <w:uiPriority w:val="0"/>
    <w:rPr>
      <w:sz w:val="18"/>
      <w:szCs w:val="18"/>
      <w:u w:val="none"/>
    </w:rPr>
  </w:style>
  <w:style w:type="character" w:customStyle="1" w:styleId="108">
    <w:name w:val="f14b1"/>
    <w:qFormat/>
    <w:uiPriority w:val="0"/>
    <w:rPr>
      <w:b/>
      <w:bCs/>
      <w:sz w:val="21"/>
      <w:szCs w:val="21"/>
    </w:rPr>
  </w:style>
  <w:style w:type="paragraph" w:customStyle="1" w:styleId="109">
    <w:name w:val="WPSOffice手动目录 1"/>
    <w:uiPriority w:val="0"/>
    <w:pPr>
      <w:ind w:leftChars="0"/>
    </w:pPr>
    <w:rPr>
      <w:sz w:val="20"/>
      <w:szCs w:val="20"/>
    </w:rPr>
  </w:style>
  <w:style w:type="paragraph" w:customStyle="1" w:styleId="110">
    <w:name w:val="WPSOffice手动目录 2"/>
    <w:uiPriority w:val="0"/>
    <w:pPr>
      <w:ind w:leftChars="20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5.wmf"/><Relationship Id="rId17" Type="http://schemas.openxmlformats.org/officeDocument/2006/relationships/oleObject" Target="embeddings/oleObject5.bin"/><Relationship Id="rId16" Type="http://schemas.openxmlformats.org/officeDocument/2006/relationships/image" Target="media/image4.wmf"/><Relationship Id="rId15" Type="http://schemas.openxmlformats.org/officeDocument/2006/relationships/oleObject" Target="embeddings/oleObject4.bin"/><Relationship Id="rId14" Type="http://schemas.openxmlformats.org/officeDocument/2006/relationships/image" Target="media/image3.wmf"/><Relationship Id="rId13" Type="http://schemas.openxmlformats.org/officeDocument/2006/relationships/oleObject" Target="embeddings/oleObject3.bin"/><Relationship Id="rId12" Type="http://schemas.openxmlformats.org/officeDocument/2006/relationships/image" Target="media/image2.wmf"/><Relationship Id="rId11" Type="http://schemas.openxmlformats.org/officeDocument/2006/relationships/oleObject" Target="embeddings/oleObject2.bin"/><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95</Pages>
  <Words>23280</Words>
  <Characters>24260</Characters>
  <Lines>648</Lines>
  <Paragraphs>182</Paragraphs>
  <TotalTime>5</TotalTime>
  <ScaleCrop>false</ScaleCrop>
  <LinksUpToDate>false</LinksUpToDate>
  <CharactersWithSpaces>25207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2020-12-04T03:15:00Z</dcterms:created>
  <dc:creator>LGY</dc:creator>
  <cp:lastModifiedBy>鸿鹄之心</cp:lastModifiedBy>
  <cp:lastPrinted>2020-12-04T03:28:00Z</cp:lastPrinted>
  <dcterms:modified xsi:type="dcterms:W3CDTF">2025-05-07T14:48:31Z</dcterms:modified>
  <dc:title>GF-2020-0216</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9CCF05B48B6B4853908F6009B2437472_13</vt:lpwstr>
  </property>
  <property fmtid="{D5CDD505-2E9C-101B-9397-08002B2CF9AE}" pid="4" name="KSOTemplateDocerSaveRecord">
    <vt:lpwstr>eyJoZGlkIjoiZWRmNmUxOTNkODFkNzMzZGQyMjU0OTcyODg0ODEzNmEiLCJ1c2VySWQiOiIyMjQ3Mzg2MzIifQ==</vt:lpwstr>
  </property>
</Properties>
</file>