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人大附中三亚学校消防系统及风雨连廊修复等项目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[HNZX]20250500003[CS]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海南政欣工程管理服务有限公司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的委托， </w:t>
      </w:r>
      <w:r>
        <w:rPr>
          <w:rFonts w:ascii="仿宋_GB2312" w:hAnsi="仿宋_GB2312" w:cs="仿宋_GB2312" w:eastAsia="仿宋_GB2312"/>
        </w:rPr>
        <w:t>海南政欣工程管理服务有限公司</w:t>
      </w:r>
      <w:r>
        <w:rPr>
          <w:rFonts w:ascii="仿宋_GB2312" w:hAnsi="仿宋_GB2312" w:cs="仿宋_GB2312" w:eastAsia="仿宋_GB2312"/>
        </w:rPr>
        <w:t xml:space="preserve"> 对 </w:t>
      </w:r>
      <w:r>
        <w:rPr>
          <w:rFonts w:ascii="仿宋_GB2312" w:hAnsi="仿宋_GB2312" w:cs="仿宋_GB2312" w:eastAsia="仿宋_GB2312"/>
        </w:rPr>
        <w:t>人大附中三亚学校消防系统及风雨连廊修复等项目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[HNZX]20250500003[CS]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人大附中三亚学校消防系统及风雨连廊修复等项目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3,006,539.02元</w:t>
      </w:r>
      <w:r>
        <w:rPr>
          <w:rFonts w:ascii="仿宋_GB2312" w:hAnsi="仿宋_GB2312" w:cs="仿宋_GB2312" w:eastAsia="仿宋_GB2312"/>
        </w:rPr>
        <w:t>叁佰万零陆仟伍佰叁拾玖元零贰分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1、供应商资质要求：供应商具备有效的安全生产许可证，具备建筑工程施工总承包叁级（含）或以上级资质或根据《住房和城乡建设部关于印发建设工程企业资质管理制度改革方案的通知（建市〔2020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无在建承诺函，格式自拟和2025年任意一个月社保凭证复印件加盖公章）；</w:t>
      </w:r>
    </w:p>
    <w:p>
      <w:pPr>
        <w:pStyle w:val="null3"/>
        <w:jc w:val="left"/>
      </w:pPr>
      <w:r>
        <w:rPr>
          <w:rFonts w:ascii="仿宋_GB2312" w:hAnsi="仿宋_GB2312" w:cs="仿宋_GB2312" w:eastAsia="仿宋_GB2312"/>
        </w:rPr>
        <w:t>2、参加政府采购活动前三年内，在经营活动中没有环保类行政处罚记录：提供承诺函；：参加政府采购活动前三年内，在经营活动中没有环保类行政处罚记录：提供承诺函；</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声明函；：单位负责人为同一人或者存在直接控股、管理关系的不同供应商，不得参加同一合同项下的政府采购活动：提供声明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2、本项目采用远程不见面方式（供应商无需到现场）。 供应商使用“投标客户端”编制、签章、生成加密响应文件，同时生成（同一版的备用响应文件），供应商自行留存，涉及“加盖公章”的内容应使用单位电子公章完成。开启时，供应商应当使用数字证书在解密时限内完成全部已响应采购包的响应文件在线解密，若出现系统异常情况，工作人员可适当延长解密时长。不接受备用标书导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海南政欣工程管理服务有限公司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吉阳区汇丰国际11栋503室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15692502456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采购包1：3,006,539.02元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降低部分招标代理服务收费标准计取，金税金额共计人民币(大写)壹万玖仟元整(¥19000.00)。该费用包含招标过程中产生的全部费用。当发生流标或废标时，由乙方自行承担招标过程中的所有损失，甲方无须向其支付任何费用。甲方应在乙方完成招标任务，且收到乙方开具的发票后按照财政审批流程向乙方支付代理服务费的80%，即人民币壹万伍仟贰佰元整(¥15200.00)。剩余20%的款项待“人大附中三亚学校消防系统及风雨连廊修复等项目"结算审核后，甲方收到乙方发票后，按照财政审批流程付款。</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 发挥政府采购的政策功能，促进中小企业健康发展。本项目为专门面向中小企业采购 的采购项目，供应商应为中小微企业、监狱企业、残疾人福利性单位。不再执行价格 评审优惠的扶持政策。 2、根据国家统计局关于印发《统计上大中小微型企业划分办 法（2017）》 的通知，本项目所属行业： 建筑业。 3、各投标供应商的相关证明材 料必须在响应文件内提供加盖公章扫描件； 4、响应文件中所附的有关证明、证书、 证件等材料均为真实有效的，采购人在开标结束后有权对投标提交的证明、证书、证 件等原件材料进行核实。经核实若虚假材料的，若为成交供应商的还将取消其成交资 格，若已签订合同则取消合同并同时上报主管部门进行处罚。 5、本项目采用远程不 见面方式（供应商无需到现场）。 供应商使用“投标客户端”编制、签章、生成加密响 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 6、不接受供应商的备用标 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联系人：林南英</w:t>
      </w:r>
    </w:p>
    <w:p>
      <w:pPr>
        <w:pStyle w:val="null3"/>
        <w:jc w:val="left"/>
      </w:pPr>
      <w:r>
        <w:rPr>
          <w:rFonts w:ascii="仿宋_GB2312" w:hAnsi="仿宋_GB2312" w:cs="仿宋_GB2312" w:eastAsia="仿宋_GB2312"/>
        </w:rPr>
        <w:t>联系电话：15692502456</w:t>
      </w:r>
    </w:p>
    <w:p>
      <w:pPr>
        <w:pStyle w:val="null3"/>
        <w:jc w:val="left"/>
      </w:pPr>
      <w:r>
        <w:rPr>
          <w:rFonts w:ascii="仿宋_GB2312" w:hAnsi="仿宋_GB2312" w:cs="仿宋_GB2312" w:eastAsia="仿宋_GB2312"/>
        </w:rPr>
        <w:t>地址：海南省三亚市吉阳区汇丰国际11栋503室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建设内容</w:t>
      </w:r>
      <w:r>
        <w:rPr>
          <w:rFonts w:ascii="仿宋_GB2312" w:hAnsi="仿宋_GB2312" w:cs="仿宋_GB2312" w:eastAsia="仿宋_GB2312"/>
          <w:sz w:val="32"/>
          <w:u w:val="single"/>
        </w:rPr>
        <w:t>为人大附中三亚学校消防系统及风雨连廊修复等项目。本工程位于三亚市。项目对风雨连廊维修改造，校园室外光缆更换，新增不锈钢栏杆，中外宿舍、中学宿舍、小学宿舍进行改造。</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3,006,539.02</w:t>
      </w:r>
    </w:p>
    <w:p>
      <w:pPr>
        <w:pStyle w:val="null3"/>
        <w:jc w:val="left"/>
      </w:pPr>
      <w:r>
        <w:rPr>
          <w:rFonts w:ascii="仿宋_GB2312" w:hAnsi="仿宋_GB2312" w:cs="仿宋_GB2312" w:eastAsia="仿宋_GB2312"/>
        </w:rPr>
        <w:t>采购包最高限价（元）: 3,006,539.02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人大附中三亚学校消防系统及风雨连廊修复等项目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3,006,539.02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B08010000-房屋修缮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3,006,539.02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标的名称：人大附中三亚学校消防系统及风雨连廊修复等项目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详见人大附中三亚学校消防系统及风雨连廊修复等项目施工图纸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工期：</w:t>
            </w:r>
            <w:r>
              <w:rPr>
                <w:rFonts w:ascii="仿宋_GB2312" w:hAnsi="仿宋_GB2312" w:cs="仿宋_GB2312" w:eastAsia="仿宋_GB2312"/>
                <w:sz w:val="32"/>
              </w:rPr>
              <w:t>60</w:t>
            </w:r>
            <w:r>
              <w:rPr>
                <w:rFonts w:ascii="仿宋_GB2312" w:hAnsi="仿宋_GB2312" w:cs="仿宋_GB2312" w:eastAsia="仿宋_GB2312"/>
                <w:sz w:val="32"/>
              </w:rPr>
              <w:t>日历天；</w:t>
            </w:r>
            <w:r>
              <w:rPr>
                <w:rFonts w:ascii="仿宋_GB2312" w:hAnsi="仿宋_GB2312" w:cs="仿宋_GB2312" w:eastAsia="仿宋_GB2312"/>
                <w:sz w:val="32"/>
              </w:rPr>
              <w:t>质量要求：合格；</w:t>
            </w:r>
            <w:r>
              <w:rPr>
                <w:rFonts w:ascii="仿宋_GB2312" w:hAnsi="仿宋_GB2312" w:cs="仿宋_GB2312" w:eastAsia="仿宋_GB2312"/>
                <w:sz w:val="32"/>
              </w:rPr>
              <w:t>工程验收：中标供应商与采购人应严格按照《海南省政府采购履约验收管理暂行办法》的通知（琼财采规〔</w:t>
            </w:r>
            <w:r>
              <w:rPr>
                <w:rFonts w:ascii="仿宋_GB2312" w:hAnsi="仿宋_GB2312" w:cs="仿宋_GB2312" w:eastAsia="仿宋_GB2312"/>
                <w:sz w:val="32"/>
              </w:rPr>
              <w:t>2023〕16号）文件及相关法律法规规定、</w:t>
            </w:r>
            <w:r>
              <w:rPr>
                <w:rFonts w:ascii="仿宋_GB2312" w:hAnsi="仿宋_GB2312" w:cs="仿宋_GB2312" w:eastAsia="仿宋_GB2312"/>
                <w:sz w:val="32"/>
              </w:rPr>
              <w:t>磋商</w:t>
            </w:r>
            <w:r>
              <w:rPr>
                <w:rFonts w:ascii="仿宋_GB2312" w:hAnsi="仿宋_GB2312" w:cs="仿宋_GB2312" w:eastAsia="仿宋_GB2312"/>
                <w:sz w:val="32"/>
              </w:rPr>
              <w:t>文件的技术服务要求、</w:t>
            </w:r>
            <w:r>
              <w:rPr>
                <w:rFonts w:ascii="仿宋_GB2312" w:hAnsi="仿宋_GB2312" w:cs="仿宋_GB2312" w:eastAsia="仿宋_GB2312"/>
                <w:sz w:val="32"/>
              </w:rPr>
              <w:t>成交供应商</w:t>
            </w:r>
            <w:r>
              <w:rPr>
                <w:rFonts w:ascii="仿宋_GB2312" w:hAnsi="仿宋_GB2312" w:cs="仿宋_GB2312" w:eastAsia="仿宋_GB2312"/>
                <w:sz w:val="32"/>
              </w:rPr>
              <w:t>的</w:t>
            </w:r>
            <w:r>
              <w:rPr>
                <w:rFonts w:ascii="仿宋_GB2312" w:hAnsi="仿宋_GB2312" w:cs="仿宋_GB2312" w:eastAsia="仿宋_GB2312"/>
                <w:sz w:val="32"/>
              </w:rPr>
              <w:t>响应</w:t>
            </w:r>
            <w:r>
              <w:rPr>
                <w:rFonts w:ascii="仿宋_GB2312" w:hAnsi="仿宋_GB2312" w:cs="仿宋_GB2312" w:eastAsia="仿宋_GB2312"/>
                <w:sz w:val="32"/>
              </w:rPr>
              <w:t>文件以及合同约定标准进行验收；</w:t>
            </w:r>
            <w:r>
              <w:rPr>
                <w:rFonts w:ascii="仿宋_GB2312" w:hAnsi="仿宋_GB2312" w:cs="仿宋_GB2312" w:eastAsia="仿宋_GB2312"/>
                <w:sz w:val="32"/>
              </w:rPr>
              <w:t>项目地点：采购人指定地点；</w:t>
            </w:r>
            <w:r>
              <w:rPr>
                <w:rFonts w:ascii="仿宋_GB2312" w:hAnsi="仿宋_GB2312" w:cs="仿宋_GB2312" w:eastAsia="仿宋_GB2312"/>
                <w:sz w:val="32"/>
              </w:rPr>
              <w:t>付款方式：</w:t>
            </w:r>
            <w:r>
              <w:rPr>
                <w:rFonts w:ascii="仿宋_GB2312" w:hAnsi="仿宋_GB2312" w:cs="仿宋_GB2312" w:eastAsia="仿宋_GB2312"/>
                <w:sz w:val="32"/>
              </w:rPr>
              <w:t>根据双方签订的合同约定执行。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供应商具备有效的安全生产许可证，具备建筑工程施工总承包叁级（含）或以上级资质或根据《住房和城乡建设部关于印发建设工程企业资质管理制度改革方案的通知（建市〔2020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无在建承诺函，格式自拟和2025年任意一个月社保凭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参加政府采购活动前三年内，在经营活动中没有环保类行政处罚记录：提供承诺函；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单位负责人为同一人或者存在直接控股、管理关系的不同供应商，不得参加同一合同项下的政府采购活动：提供声明函；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政府采购供应商信用承诺书 商务应答表 自觉抵制政府采购领域商业贿赂行为承诺书 封面 商业信誉、财务会计制度、缴纳税收和社保的承诺函 信用承诺书 具有独立承担民事责任的能力证明文件 供应商承诺函 投标（响应）报价明细表 其他材料 残疾人福利性单位声明函 供应商应提交的相关证明材料 无重大违法记录声明函 施工组织设计方案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供应商须提供包括但不限于以下方案：拆除文案；建筑垃圾清运；不锈钢栏杆施工技术措施；光缆更换施工技术措施；提供上述内容的，每项得1分，每缺少一项扣1分，扣完为止，本项满分4分； 根据供应商提供的施工方案与技术措施进行比较赋分： A.施工方案与技术措施科学合理，适用性强，思路清晰，内容全面，能够根据实际情况制订，满足采购人的需要，考虑问题周全，实施过程务实，各项指标均能完成；4.1-6分 B.施工方案与技术措施基本能够满足采购需要，操作性不强；2.1-4分 C.施工方案与技术措施不合理；0.1-2分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供应商须提供包括但不限于以下内容：提供质量承诺函并加盖公章；质量保证措施；质量控制制度；提供上述内容的，每项得1分，每缺少一项扣1分，扣完为止，本项满分3分； 根据供应商提供的质量管理体系与措施进行比较赋分: A.质量管理体系与措施科学合理，适用性强，思路清晰，内容全面，能够根据实际情况制订，满足采购人的需要，考虑问题周全，实施过程务实，各项指标均能完成；5.1-7分 B.质量管理体系与措施基本能够满足采购需要，操作性不强；3.1-5分 C.质量管理体系与措施不合理；0.1-3分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供应商须提供包括但不限于以下内容：提供安全生产管理制度；安全检查制度；安全教育制度；安全技术交底制度；提供上述内容的，每项得1分，每缺少一项扣1分，扣完为止，本项满分4分； 根据供应商提供的安全管理体系与措施进行比较赋分： A.安全管理体系与措施科学合理，适用性强，思路清晰，内容全面，能够根据实际情况制订，满足采购人的需要，考虑问题周全，实施过程务实，各项指标均能完成；4.1-6分 B.安全管理体系与措施基本能够满足采购需要，操作性不强；2.1-4分 C.安全管理体系与措施不合理；0.1-2分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供应商须提供包括但不限于以下内容：提供绿色施工方案；降噪防尘措施；环保技术交底制度；提供上述内容的，每项得1分，每缺少一项扣1分，扣完为止，本项满分3分； 根据供应商提供的环保管理体系与措施进行比较赋分： A.环保管理体系与措施科学合理，适用性强，思路清晰，内容全面，能够根据实际情况制订，满足采购人的需要，考虑问题周全，实施过程务实，各项指标均能完成；5.1-7分 B.环保管理体系与措施基本能够满足采购需要，操作性不强；3.1-5分 C.环保管理体系与措施不合理；0.1-3分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供应商须提供包括但不限于以下内容：工程进度保证措施；资源优化措施；人员保证措施；提供上述内容的，每项得1分，每缺少一项扣1分，扣完为止，本项满分3分； 根据供应商提供的工程进度计划与措施进行比较赋分： A.工程进度计划与措施科学合理，适用性强，思路清晰，内容全面，能够根据实际情况制订，满足采购人的需要，考虑问题周全，实施过程务实，各项指标均能完成；5.1-7分 B.工程进度计划与措施基本能够满足采购需要，操作性不强；3.1-5分 C.工程进度计划与措施不合理；0.1-3分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要求：技术负责人1名（具备建筑工程类相关专业中级或以上职称得2分）满分2分。（提供职称证和本单位社保缴纳凭证（2025年任意一个月）复印件加盖公章，否则不得分）；（2）其他岗位人员须配备：施工员1名（具备施工员岗位证），安全员1名（具备安全员岗位资格证书或C类安全生产考核合格证），质量员（质检员）1名（具备质量员岗位证书），资料员（资料员可以由其他岗位人员兼任，但应取得资料员岗位证书）1名，劳资专管员1名（提供任命书及身份证复印件，已开展劳资专管员岗位证书的身份，以颁发的证书为准），配备齐全得10分，缺少一名扣2分。（满分10分）（提供岗位证书和本单位社保缴纳凭证（2025年任意一个月）复印件加盖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2022年至今供应商承担的类似项目业绩，每提供一项得4分，满分8分。（以提供合同复印件加盖公章作为得分依据，以合同签订时间为准）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详见附件：人大附中三亚学校消防系统及风雨连廊修复等项目-施工合同.docx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[HNZX]20250500003[CS]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人大附中三亚学校消防系统及风雨连廊修复等项目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人大附中三亚学校消防系统及风雨连廊修复等项目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B08010000-房屋修缮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3006539.02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详见附件：施工组织设计方案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