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BE301">
      <w:pPr>
        <w:widowControl/>
        <w:kinsoku w:val="0"/>
        <w:autoSpaceDE w:val="0"/>
        <w:autoSpaceDN w:val="0"/>
        <w:adjustRightInd w:val="0"/>
        <w:snapToGrid w:val="0"/>
        <w:spacing w:line="288" w:lineRule="auto"/>
        <w:jc w:val="left"/>
        <w:textAlignment w:val="baseline"/>
        <w:rPr>
          <w:rFonts w:ascii="Arial" w:hAnsi="Arial" w:eastAsia="Arial" w:cs="Arial"/>
          <w:snapToGrid w:val="0"/>
          <w:color w:val="auto"/>
          <w:kern w:val="0"/>
          <w:szCs w:val="21"/>
          <w:highlight w:val="none"/>
          <w:lang w:eastAsia="en-US"/>
        </w:rPr>
      </w:pPr>
    </w:p>
    <w:p w14:paraId="1DCA9131">
      <w:pPr>
        <w:kinsoku w:val="0"/>
        <w:autoSpaceDE w:val="0"/>
        <w:autoSpaceDN w:val="0"/>
        <w:adjustRightInd w:val="0"/>
        <w:snapToGrid w:val="0"/>
        <w:spacing w:before="78" w:line="219" w:lineRule="auto"/>
        <w:ind w:left="5958"/>
        <w:jc w:val="left"/>
        <w:textAlignment w:val="baseline"/>
        <w:outlineLvl w:val="0"/>
        <w:rPr>
          <w:rFonts w:ascii="宋体" w:hAnsi="宋体" w:eastAsia="宋体" w:cs="宋体"/>
          <w:snapToGrid w:val="0"/>
          <w:color w:val="auto"/>
          <w:kern w:val="0"/>
          <w:sz w:val="24"/>
          <w:highlight w:val="none"/>
        </w:rPr>
      </w:pPr>
      <w:r>
        <w:rPr>
          <w:rFonts w:hint="eastAsia" w:ascii="宋体" w:hAnsi="宋体" w:eastAsia="宋体" w:cs="宋体"/>
          <w:b/>
          <w:bCs/>
          <w:snapToGrid w:val="0"/>
          <w:color w:val="auto"/>
          <w:spacing w:val="-4"/>
          <w:kern w:val="0"/>
          <w:sz w:val="24"/>
          <w:highlight w:val="none"/>
        </w:rPr>
        <w:t>合同</w:t>
      </w:r>
      <w:r>
        <w:rPr>
          <w:rFonts w:ascii="宋体" w:hAnsi="宋体" w:eastAsia="宋体" w:cs="宋体"/>
          <w:b/>
          <w:bCs/>
          <w:snapToGrid w:val="0"/>
          <w:color w:val="auto"/>
          <w:spacing w:val="-4"/>
          <w:kern w:val="0"/>
          <w:sz w:val="24"/>
          <w:highlight w:val="none"/>
        </w:rPr>
        <w:t>编号：</w:t>
      </w:r>
    </w:p>
    <w:p w14:paraId="6C65793D">
      <w:pPr>
        <w:widowControl/>
        <w:kinsoku w:val="0"/>
        <w:autoSpaceDE w:val="0"/>
        <w:autoSpaceDN w:val="0"/>
        <w:adjustRightInd w:val="0"/>
        <w:snapToGrid w:val="0"/>
        <w:spacing w:line="270" w:lineRule="auto"/>
        <w:jc w:val="left"/>
        <w:textAlignment w:val="baseline"/>
        <w:rPr>
          <w:rFonts w:ascii="Arial" w:hAnsi="Arial" w:eastAsia="Arial" w:cs="Arial"/>
          <w:snapToGrid w:val="0"/>
          <w:color w:val="auto"/>
          <w:kern w:val="0"/>
          <w:szCs w:val="21"/>
          <w:highlight w:val="none"/>
        </w:rPr>
      </w:pPr>
    </w:p>
    <w:p w14:paraId="50F85FEC">
      <w:pPr>
        <w:widowControl/>
        <w:kinsoku w:val="0"/>
        <w:autoSpaceDE w:val="0"/>
        <w:autoSpaceDN w:val="0"/>
        <w:adjustRightInd w:val="0"/>
        <w:snapToGrid w:val="0"/>
        <w:spacing w:line="270" w:lineRule="auto"/>
        <w:jc w:val="left"/>
        <w:textAlignment w:val="baseline"/>
        <w:rPr>
          <w:rFonts w:ascii="Arial" w:hAnsi="Arial" w:eastAsia="Arial" w:cs="Arial"/>
          <w:snapToGrid w:val="0"/>
          <w:color w:val="auto"/>
          <w:kern w:val="0"/>
          <w:szCs w:val="21"/>
          <w:highlight w:val="none"/>
        </w:rPr>
      </w:pPr>
    </w:p>
    <w:p w14:paraId="679D1A77">
      <w:pPr>
        <w:widowControl/>
        <w:kinsoku w:val="0"/>
        <w:autoSpaceDE w:val="0"/>
        <w:autoSpaceDN w:val="0"/>
        <w:adjustRightInd w:val="0"/>
        <w:snapToGrid w:val="0"/>
        <w:spacing w:line="270" w:lineRule="auto"/>
        <w:jc w:val="left"/>
        <w:textAlignment w:val="baseline"/>
        <w:rPr>
          <w:rFonts w:ascii="Arial" w:hAnsi="Arial" w:eastAsia="Arial" w:cs="Arial"/>
          <w:snapToGrid w:val="0"/>
          <w:color w:val="auto"/>
          <w:kern w:val="0"/>
          <w:szCs w:val="21"/>
          <w:highlight w:val="none"/>
        </w:rPr>
      </w:pPr>
    </w:p>
    <w:p w14:paraId="173B293F">
      <w:pPr>
        <w:widowControl/>
        <w:kinsoku w:val="0"/>
        <w:autoSpaceDE w:val="0"/>
        <w:autoSpaceDN w:val="0"/>
        <w:adjustRightInd w:val="0"/>
        <w:snapToGrid w:val="0"/>
        <w:spacing w:line="270" w:lineRule="auto"/>
        <w:jc w:val="center"/>
        <w:textAlignment w:val="baseline"/>
        <w:rPr>
          <w:rFonts w:ascii="Arial" w:hAnsi="Arial" w:eastAsia="Arial" w:cs="Arial"/>
          <w:snapToGrid w:val="0"/>
          <w:color w:val="auto"/>
          <w:kern w:val="0"/>
          <w:szCs w:val="21"/>
          <w:highlight w:val="none"/>
        </w:rPr>
      </w:pPr>
    </w:p>
    <w:p w14:paraId="73670E97">
      <w:pPr>
        <w:widowControl/>
        <w:kinsoku w:val="0"/>
        <w:autoSpaceDE w:val="0"/>
        <w:autoSpaceDN w:val="0"/>
        <w:adjustRightInd w:val="0"/>
        <w:snapToGrid w:val="0"/>
        <w:spacing w:line="271" w:lineRule="auto"/>
        <w:jc w:val="center"/>
        <w:textAlignment w:val="baseline"/>
        <w:rPr>
          <w:rFonts w:ascii="Arial" w:hAnsi="Arial" w:eastAsia="Arial" w:cs="Arial"/>
          <w:snapToGrid w:val="0"/>
          <w:color w:val="auto"/>
          <w:kern w:val="0"/>
          <w:szCs w:val="21"/>
          <w:highlight w:val="none"/>
        </w:rPr>
      </w:pPr>
    </w:p>
    <w:p w14:paraId="07268DE8">
      <w:pPr>
        <w:widowControl/>
        <w:kinsoku w:val="0"/>
        <w:autoSpaceDE w:val="0"/>
        <w:autoSpaceDN w:val="0"/>
        <w:adjustRightInd w:val="0"/>
        <w:snapToGrid w:val="0"/>
        <w:spacing w:line="271" w:lineRule="auto"/>
        <w:jc w:val="center"/>
        <w:textAlignment w:val="baseline"/>
        <w:rPr>
          <w:rFonts w:ascii="Arial" w:hAnsi="Arial" w:eastAsia="Arial" w:cs="Arial"/>
          <w:snapToGrid w:val="0"/>
          <w:color w:val="auto"/>
          <w:kern w:val="0"/>
          <w:szCs w:val="21"/>
          <w:highlight w:val="none"/>
        </w:rPr>
      </w:pPr>
    </w:p>
    <w:p w14:paraId="4BB1691C">
      <w:pPr>
        <w:widowControl/>
        <w:kinsoku w:val="0"/>
        <w:autoSpaceDE w:val="0"/>
        <w:autoSpaceDN w:val="0"/>
        <w:adjustRightInd w:val="0"/>
        <w:snapToGrid w:val="0"/>
        <w:spacing w:line="271" w:lineRule="auto"/>
        <w:jc w:val="center"/>
        <w:textAlignment w:val="baseline"/>
        <w:rPr>
          <w:rFonts w:ascii="Arial" w:hAnsi="Arial" w:eastAsia="宋体" w:cs="Arial"/>
          <w:snapToGrid w:val="0"/>
          <w:color w:val="auto"/>
          <w:kern w:val="0"/>
          <w:szCs w:val="21"/>
          <w:highlight w:val="none"/>
        </w:rPr>
      </w:pPr>
    </w:p>
    <w:p w14:paraId="6049416F">
      <w:pPr>
        <w:widowControl/>
        <w:kinsoku w:val="0"/>
        <w:autoSpaceDE w:val="0"/>
        <w:autoSpaceDN w:val="0"/>
        <w:adjustRightInd w:val="0"/>
        <w:snapToGrid w:val="0"/>
        <w:spacing w:line="271" w:lineRule="auto"/>
        <w:ind w:firstLine="3520" w:firstLineChars="1100"/>
        <w:textAlignment w:val="baseline"/>
        <w:rPr>
          <w:rFonts w:ascii="Arial" w:hAnsi="Arial" w:eastAsia="Arial" w:cs="Arial"/>
          <w:snapToGrid w:val="0"/>
          <w:color w:val="auto"/>
          <w:kern w:val="0"/>
          <w:szCs w:val="21"/>
          <w:highlight w:val="none"/>
        </w:rPr>
      </w:pPr>
    </w:p>
    <w:p w14:paraId="7DE407F3">
      <w:pPr>
        <w:kinsoku w:val="0"/>
        <w:adjustRightInd w:val="0"/>
        <w:snapToGrid w:val="0"/>
        <w:spacing w:before="169" w:line="360" w:lineRule="auto"/>
        <w:jc w:val="center"/>
        <w:textAlignment w:val="baseline"/>
        <w:rPr>
          <w:rFonts w:ascii="宋体" w:hAnsi="宋体" w:eastAsia="宋体" w:cs="宋体"/>
          <w:snapToGrid w:val="0"/>
          <w:color w:val="auto"/>
          <w:spacing w:val="25"/>
          <w:kern w:val="0"/>
          <w:sz w:val="52"/>
          <w:szCs w:val="52"/>
          <w:highlight w:val="none"/>
        </w:rPr>
      </w:pPr>
      <w:r>
        <w:rPr>
          <w:rFonts w:hint="eastAsia" w:ascii="宋体" w:hAnsi="宋体" w:eastAsia="宋体" w:cs="宋体"/>
          <w:snapToGrid w:val="0"/>
          <w:color w:val="auto"/>
          <w:spacing w:val="25"/>
          <w:kern w:val="0"/>
          <w:sz w:val="52"/>
          <w:szCs w:val="52"/>
          <w:highlight w:val="none"/>
        </w:rPr>
        <w:t>市委大院及市周转房食堂</w:t>
      </w:r>
    </w:p>
    <w:p w14:paraId="632DB1CB">
      <w:pPr>
        <w:kinsoku w:val="0"/>
        <w:adjustRightInd w:val="0"/>
        <w:snapToGrid w:val="0"/>
        <w:spacing w:before="169" w:line="360" w:lineRule="auto"/>
        <w:jc w:val="center"/>
        <w:textAlignment w:val="baseline"/>
        <w:rPr>
          <w:rFonts w:hint="eastAsia" w:ascii="宋体" w:hAnsi="宋体" w:eastAsia="宋体" w:cs="宋体"/>
          <w:snapToGrid w:val="0"/>
          <w:color w:val="auto"/>
          <w:spacing w:val="25"/>
          <w:kern w:val="0"/>
          <w:sz w:val="52"/>
          <w:szCs w:val="52"/>
          <w:highlight w:val="none"/>
        </w:rPr>
      </w:pPr>
      <w:r>
        <w:rPr>
          <w:rFonts w:hint="eastAsia" w:ascii="宋体" w:hAnsi="宋体" w:eastAsia="宋体" w:cs="宋体"/>
          <w:snapToGrid w:val="0"/>
          <w:color w:val="auto"/>
          <w:spacing w:val="25"/>
          <w:kern w:val="0"/>
          <w:sz w:val="52"/>
          <w:szCs w:val="52"/>
          <w:highlight w:val="none"/>
        </w:rPr>
        <w:t>运行管理服务项目采购合同</w:t>
      </w:r>
    </w:p>
    <w:p w14:paraId="07FAE261">
      <w:pPr>
        <w:kinsoku w:val="0"/>
        <w:adjustRightInd w:val="0"/>
        <w:snapToGrid w:val="0"/>
        <w:spacing w:before="169" w:line="360" w:lineRule="auto"/>
        <w:jc w:val="center"/>
        <w:textAlignment w:val="baseline"/>
        <w:rPr>
          <w:rFonts w:hint="default" w:ascii="宋体" w:hAnsi="宋体" w:eastAsia="宋体" w:cs="宋体"/>
          <w:snapToGrid w:val="0"/>
          <w:color w:val="auto"/>
          <w:spacing w:val="25"/>
          <w:kern w:val="0"/>
          <w:sz w:val="52"/>
          <w:szCs w:val="52"/>
          <w:highlight w:val="none"/>
          <w:lang w:val="en-US" w:eastAsia="zh-CN"/>
        </w:rPr>
      </w:pPr>
      <w:r>
        <w:rPr>
          <w:rFonts w:hint="eastAsia" w:ascii="宋体" w:hAnsi="宋体" w:eastAsia="宋体" w:cs="宋体"/>
          <w:snapToGrid w:val="0"/>
          <w:color w:val="auto"/>
          <w:spacing w:val="25"/>
          <w:kern w:val="0"/>
          <w:sz w:val="52"/>
          <w:szCs w:val="52"/>
          <w:highlight w:val="none"/>
          <w:lang w:val="en-US" w:eastAsia="zh-CN"/>
        </w:rPr>
        <w:t>(范本)</w:t>
      </w:r>
    </w:p>
    <w:p w14:paraId="5E6297EA">
      <w:pPr>
        <w:widowControl/>
        <w:spacing w:line="360" w:lineRule="auto"/>
        <w:jc w:val="center"/>
        <w:rPr>
          <w:rFonts w:ascii="Arial" w:hAnsi="Arial" w:eastAsia="Arial" w:cs="Arial"/>
          <w:snapToGrid w:val="0"/>
          <w:color w:val="auto"/>
          <w:kern w:val="0"/>
          <w:szCs w:val="21"/>
          <w:highlight w:val="none"/>
        </w:rPr>
      </w:pPr>
    </w:p>
    <w:p w14:paraId="0F223209">
      <w:pPr>
        <w:widowControl/>
        <w:kinsoku w:val="0"/>
        <w:autoSpaceDE w:val="0"/>
        <w:autoSpaceDN w:val="0"/>
        <w:adjustRightInd w:val="0"/>
        <w:snapToGrid w:val="0"/>
        <w:jc w:val="center"/>
        <w:textAlignment w:val="baseline"/>
        <w:rPr>
          <w:rFonts w:ascii="Arial" w:hAnsi="Arial" w:eastAsia="Arial" w:cs="Arial"/>
          <w:snapToGrid w:val="0"/>
          <w:color w:val="auto"/>
          <w:kern w:val="0"/>
          <w:szCs w:val="21"/>
          <w:highlight w:val="none"/>
        </w:rPr>
      </w:pPr>
    </w:p>
    <w:p w14:paraId="4158DB21">
      <w:pPr>
        <w:widowControl/>
        <w:kinsoku w:val="0"/>
        <w:autoSpaceDE w:val="0"/>
        <w:autoSpaceDN w:val="0"/>
        <w:adjustRightInd w:val="0"/>
        <w:snapToGrid w:val="0"/>
        <w:jc w:val="center"/>
        <w:textAlignment w:val="baseline"/>
        <w:rPr>
          <w:rFonts w:ascii="Arial" w:hAnsi="Arial" w:eastAsia="Arial" w:cs="Arial"/>
          <w:snapToGrid w:val="0"/>
          <w:color w:val="auto"/>
          <w:kern w:val="0"/>
          <w:szCs w:val="21"/>
          <w:highlight w:val="none"/>
        </w:rPr>
      </w:pPr>
    </w:p>
    <w:p w14:paraId="25305C7B">
      <w:pPr>
        <w:widowControl/>
        <w:kinsoku w:val="0"/>
        <w:autoSpaceDE w:val="0"/>
        <w:autoSpaceDN w:val="0"/>
        <w:adjustRightInd w:val="0"/>
        <w:snapToGrid w:val="0"/>
        <w:jc w:val="center"/>
        <w:textAlignment w:val="baseline"/>
        <w:rPr>
          <w:rFonts w:ascii="Arial" w:hAnsi="Arial" w:eastAsia="Arial" w:cs="Arial"/>
          <w:snapToGrid w:val="0"/>
          <w:color w:val="auto"/>
          <w:kern w:val="0"/>
          <w:szCs w:val="21"/>
          <w:highlight w:val="none"/>
        </w:rPr>
      </w:pPr>
    </w:p>
    <w:p w14:paraId="42FDDDA0">
      <w:pPr>
        <w:widowControl/>
        <w:kinsoku w:val="0"/>
        <w:autoSpaceDE w:val="0"/>
        <w:autoSpaceDN w:val="0"/>
        <w:adjustRightInd w:val="0"/>
        <w:snapToGrid w:val="0"/>
        <w:jc w:val="center"/>
        <w:textAlignment w:val="baseline"/>
        <w:rPr>
          <w:rFonts w:ascii="Arial" w:hAnsi="Arial" w:eastAsia="Arial" w:cs="Arial"/>
          <w:snapToGrid w:val="0"/>
          <w:color w:val="auto"/>
          <w:kern w:val="0"/>
          <w:szCs w:val="21"/>
          <w:highlight w:val="none"/>
        </w:rPr>
      </w:pPr>
    </w:p>
    <w:p w14:paraId="4D1B41EC">
      <w:pPr>
        <w:widowControl/>
        <w:kinsoku w:val="0"/>
        <w:autoSpaceDE w:val="0"/>
        <w:autoSpaceDN w:val="0"/>
        <w:adjustRightInd w:val="0"/>
        <w:snapToGrid w:val="0"/>
        <w:jc w:val="center"/>
        <w:textAlignment w:val="baseline"/>
        <w:rPr>
          <w:rFonts w:ascii="Arial" w:hAnsi="Arial" w:eastAsia="Arial" w:cs="Arial"/>
          <w:snapToGrid w:val="0"/>
          <w:color w:val="auto"/>
          <w:kern w:val="0"/>
          <w:szCs w:val="21"/>
          <w:highlight w:val="none"/>
        </w:rPr>
      </w:pPr>
    </w:p>
    <w:p w14:paraId="458273F5">
      <w:pPr>
        <w:widowControl/>
        <w:kinsoku w:val="0"/>
        <w:autoSpaceDE w:val="0"/>
        <w:autoSpaceDN w:val="0"/>
        <w:adjustRightInd w:val="0"/>
        <w:snapToGrid w:val="0"/>
        <w:jc w:val="center"/>
        <w:textAlignment w:val="baseline"/>
        <w:rPr>
          <w:rFonts w:ascii="Arial" w:hAnsi="Arial" w:eastAsia="Arial" w:cs="Arial"/>
          <w:snapToGrid w:val="0"/>
          <w:color w:val="auto"/>
          <w:kern w:val="0"/>
          <w:szCs w:val="21"/>
          <w:highlight w:val="none"/>
        </w:rPr>
      </w:pPr>
    </w:p>
    <w:p w14:paraId="3C401BE9">
      <w:pPr>
        <w:widowControl/>
        <w:kinsoku w:val="0"/>
        <w:autoSpaceDE w:val="0"/>
        <w:autoSpaceDN w:val="0"/>
        <w:adjustRightInd w:val="0"/>
        <w:snapToGrid w:val="0"/>
        <w:jc w:val="center"/>
        <w:textAlignment w:val="baseline"/>
        <w:rPr>
          <w:rFonts w:ascii="Arial" w:hAnsi="Arial" w:eastAsia="Arial" w:cs="Arial"/>
          <w:snapToGrid w:val="0"/>
          <w:color w:val="auto"/>
          <w:kern w:val="0"/>
          <w:szCs w:val="21"/>
          <w:highlight w:val="none"/>
        </w:rPr>
      </w:pPr>
    </w:p>
    <w:p w14:paraId="28FAA904">
      <w:pPr>
        <w:widowControl/>
        <w:kinsoku w:val="0"/>
        <w:autoSpaceDE w:val="0"/>
        <w:autoSpaceDN w:val="0"/>
        <w:adjustRightInd w:val="0"/>
        <w:snapToGrid w:val="0"/>
        <w:spacing w:line="241" w:lineRule="auto"/>
        <w:textAlignment w:val="baseline"/>
        <w:rPr>
          <w:rFonts w:ascii="Arial" w:hAnsi="Arial" w:eastAsia="Arial" w:cs="Arial"/>
          <w:snapToGrid w:val="0"/>
          <w:color w:val="auto"/>
          <w:kern w:val="0"/>
          <w:szCs w:val="21"/>
          <w:highlight w:val="none"/>
        </w:rPr>
      </w:pPr>
    </w:p>
    <w:p w14:paraId="4B286CB5">
      <w:pPr>
        <w:widowControl/>
        <w:kinsoku w:val="0"/>
        <w:autoSpaceDE w:val="0"/>
        <w:autoSpaceDN w:val="0"/>
        <w:adjustRightInd w:val="0"/>
        <w:snapToGrid w:val="0"/>
        <w:spacing w:line="241" w:lineRule="auto"/>
        <w:jc w:val="center"/>
        <w:textAlignment w:val="baseline"/>
        <w:rPr>
          <w:rFonts w:ascii="Arial" w:hAnsi="Arial" w:eastAsia="Arial" w:cs="Arial"/>
          <w:snapToGrid w:val="0"/>
          <w:color w:val="auto"/>
          <w:kern w:val="0"/>
          <w:szCs w:val="21"/>
          <w:highlight w:val="none"/>
        </w:rPr>
      </w:pPr>
    </w:p>
    <w:p w14:paraId="3BC3A956">
      <w:pPr>
        <w:widowControl/>
        <w:kinsoku w:val="0"/>
        <w:autoSpaceDE w:val="0"/>
        <w:autoSpaceDN w:val="0"/>
        <w:adjustRightInd w:val="0"/>
        <w:snapToGrid w:val="0"/>
        <w:spacing w:line="241" w:lineRule="auto"/>
        <w:jc w:val="center"/>
        <w:textAlignment w:val="baseline"/>
        <w:rPr>
          <w:rFonts w:ascii="Arial" w:hAnsi="Arial" w:eastAsia="宋体" w:cs="Arial"/>
          <w:snapToGrid w:val="0"/>
          <w:color w:val="auto"/>
          <w:kern w:val="0"/>
          <w:szCs w:val="21"/>
          <w:highlight w:val="none"/>
        </w:rPr>
      </w:pPr>
    </w:p>
    <w:p w14:paraId="32101ACC">
      <w:pPr>
        <w:kinsoku w:val="0"/>
        <w:autoSpaceDE w:val="0"/>
        <w:autoSpaceDN w:val="0"/>
        <w:adjustRightInd w:val="0"/>
        <w:snapToGrid w:val="0"/>
        <w:spacing w:before="101" w:line="224" w:lineRule="auto"/>
        <w:ind w:left="719" w:firstLine="330" w:firstLineChars="100"/>
        <w:jc w:val="left"/>
        <w:textAlignment w:val="baseline"/>
        <w:rPr>
          <w:rFonts w:ascii="宋体" w:hAnsi="宋体" w:eastAsia="宋体" w:cs="宋体"/>
          <w:snapToGrid w:val="0"/>
          <w:color w:val="auto"/>
          <w:kern w:val="0"/>
          <w:sz w:val="32"/>
          <w:szCs w:val="32"/>
          <w:highlight w:val="none"/>
        </w:rPr>
      </w:pPr>
      <w:r>
        <w:rPr>
          <w:rFonts w:ascii="宋体" w:hAnsi="宋体" w:eastAsia="宋体" w:cs="宋体"/>
          <w:snapToGrid w:val="0"/>
          <w:color w:val="auto"/>
          <w:spacing w:val="5"/>
          <w:kern w:val="0"/>
          <w:sz w:val="32"/>
          <w:szCs w:val="32"/>
          <w:highlight w:val="none"/>
        </w:rPr>
        <w:t>甲方：三亚市机关事务管理服务中心</w:t>
      </w:r>
    </w:p>
    <w:p w14:paraId="134AF897">
      <w:pPr>
        <w:kinsoku w:val="0"/>
        <w:autoSpaceDE w:val="0"/>
        <w:autoSpaceDN w:val="0"/>
        <w:adjustRightInd w:val="0"/>
        <w:snapToGrid w:val="0"/>
        <w:spacing w:before="144" w:line="224" w:lineRule="auto"/>
        <w:ind w:left="709" w:firstLine="320" w:firstLineChars="100"/>
        <w:jc w:val="left"/>
        <w:textAlignment w:val="baseline"/>
        <w:outlineLvl w:val="1"/>
        <w:rPr>
          <w:color w:val="auto"/>
          <w:highlight w:val="none"/>
        </w:rPr>
        <w:sectPr>
          <w:footerReference r:id="rId3" w:type="default"/>
          <w:pgSz w:w="11906" w:h="16839"/>
          <w:pgMar w:top="1431" w:right="1295" w:bottom="874" w:left="2184" w:header="0" w:footer="708" w:gutter="0"/>
          <w:cols w:space="720" w:num="1"/>
        </w:sectPr>
      </w:pPr>
      <w:r>
        <w:rPr>
          <w:rFonts w:ascii="宋体" w:hAnsi="宋体" w:eastAsia="宋体" w:cs="宋体"/>
          <w:snapToGrid w:val="0"/>
          <w:color w:val="auto"/>
          <w:kern w:val="0"/>
          <w:sz w:val="32"/>
          <w:szCs w:val="32"/>
          <w:highlight w:val="none"/>
        </w:rPr>
        <w:drawing>
          <wp:anchor distT="0" distB="0" distL="114300" distR="114300" simplePos="0" relativeHeight="251659264" behindDoc="1" locked="0" layoutInCell="1" allowOverlap="1">
            <wp:simplePos x="0" y="0"/>
            <wp:positionH relativeFrom="column">
              <wp:posOffset>4975860</wp:posOffset>
            </wp:positionH>
            <wp:positionV relativeFrom="paragraph">
              <wp:posOffset>660400</wp:posOffset>
            </wp:positionV>
            <wp:extent cx="6350" cy="3302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6350" cy="330200"/>
                    </a:xfrm>
                    <a:prstGeom prst="rect">
                      <a:avLst/>
                    </a:prstGeom>
                    <a:noFill/>
                    <a:ln>
                      <a:noFill/>
                    </a:ln>
                  </pic:spPr>
                </pic:pic>
              </a:graphicData>
            </a:graphic>
          </wp:anchor>
        </w:drawing>
      </w:r>
      <w:r>
        <w:rPr>
          <w:rFonts w:ascii="宋体" w:hAnsi="宋体" w:eastAsia="宋体" w:cs="宋体"/>
          <w:snapToGrid w:val="0"/>
          <w:color w:val="auto"/>
          <w:spacing w:val="-4"/>
          <w:kern w:val="0"/>
          <w:sz w:val="32"/>
          <w:szCs w:val="32"/>
          <w:highlight w:val="none"/>
        </w:rPr>
        <w:t>乙方</w:t>
      </w:r>
      <w:r>
        <w:rPr>
          <w:rFonts w:ascii="宋体" w:hAnsi="宋体" w:eastAsia="宋体" w:cs="宋体"/>
          <w:snapToGrid w:val="0"/>
          <w:color w:val="auto"/>
          <w:spacing w:val="5"/>
          <w:kern w:val="0"/>
          <w:sz w:val="32"/>
          <w:szCs w:val="32"/>
          <w:highlight w:val="none"/>
        </w:rPr>
        <w:t>：</w:t>
      </w:r>
    </w:p>
    <w:p w14:paraId="6FB9C6A9">
      <w:pPr>
        <w:widowControl/>
        <w:kinsoku w:val="0"/>
        <w:autoSpaceDE w:val="0"/>
        <w:autoSpaceDN w:val="0"/>
        <w:adjustRightInd w:val="0"/>
        <w:snapToGrid w:val="0"/>
        <w:spacing w:line="328" w:lineRule="auto"/>
        <w:ind w:firstLine="552" w:firstLineChars="200"/>
        <w:textAlignment w:val="baseline"/>
        <w:rPr>
          <w:rFonts w:ascii="宋体" w:hAnsi="宋体" w:eastAsia="宋体" w:cs="宋体"/>
          <w:snapToGrid w:val="0"/>
          <w:color w:val="auto"/>
          <w:spacing w:val="1"/>
          <w:kern w:val="0"/>
          <w:sz w:val="28"/>
          <w:szCs w:val="28"/>
          <w:highlight w:val="none"/>
        </w:rPr>
      </w:pPr>
      <w:r>
        <w:rPr>
          <w:rFonts w:ascii="宋体" w:hAnsi="宋体" w:eastAsia="宋体" w:cs="宋体"/>
          <w:snapToGrid w:val="0"/>
          <w:color w:val="auto"/>
          <w:spacing w:val="-2"/>
          <w:kern w:val="0"/>
          <w:sz w:val="28"/>
          <w:szCs w:val="28"/>
          <w:highlight w:val="none"/>
        </w:rPr>
        <w:t>委托方（甲方</w:t>
      </w:r>
      <w:r>
        <w:rPr>
          <w:rFonts w:ascii="宋体" w:hAnsi="宋体" w:eastAsia="宋体" w:cs="宋体"/>
          <w:snapToGrid w:val="0"/>
          <w:color w:val="auto"/>
          <w:spacing w:val="13"/>
          <w:kern w:val="0"/>
          <w:sz w:val="28"/>
          <w:szCs w:val="28"/>
          <w:highlight w:val="none"/>
        </w:rPr>
        <w:t>）：</w:t>
      </w:r>
      <w:r>
        <w:rPr>
          <w:rFonts w:ascii="宋体" w:hAnsi="宋体" w:eastAsia="宋体" w:cs="宋体"/>
          <w:snapToGrid w:val="0"/>
          <w:color w:val="auto"/>
          <w:spacing w:val="-2"/>
          <w:kern w:val="0"/>
          <w:sz w:val="28"/>
          <w:szCs w:val="28"/>
          <w:highlight w:val="none"/>
        </w:rPr>
        <w:t>三亚市机关事务管理务中心</w:t>
      </w:r>
    </w:p>
    <w:p w14:paraId="28FA5767">
      <w:pPr>
        <w:widowControl/>
        <w:kinsoku w:val="0"/>
        <w:autoSpaceDE w:val="0"/>
        <w:autoSpaceDN w:val="0"/>
        <w:adjustRightInd w:val="0"/>
        <w:snapToGrid w:val="0"/>
        <w:spacing w:line="328" w:lineRule="auto"/>
        <w:ind w:firstLine="552" w:firstLineChars="200"/>
        <w:textAlignment w:val="baseline"/>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spacing w:val="-2"/>
          <w:kern w:val="0"/>
          <w:sz w:val="28"/>
          <w:szCs w:val="28"/>
          <w:highlight w:val="none"/>
        </w:rPr>
        <w:t>法定</w:t>
      </w:r>
      <w:r>
        <w:rPr>
          <w:rFonts w:ascii="宋体" w:hAnsi="宋体" w:eastAsia="宋体" w:cs="宋体"/>
          <w:snapToGrid w:val="0"/>
          <w:color w:val="auto"/>
          <w:spacing w:val="-2"/>
          <w:kern w:val="0"/>
          <w:sz w:val="28"/>
          <w:szCs w:val="28"/>
          <w:highlight w:val="none"/>
        </w:rPr>
        <w:t>代表人：</w:t>
      </w:r>
      <w:r>
        <w:rPr>
          <w:rFonts w:hint="eastAsia" w:ascii="宋体" w:hAnsi="宋体" w:eastAsia="宋体" w:cs="宋体"/>
          <w:snapToGrid w:val="0"/>
          <w:color w:val="auto"/>
          <w:spacing w:val="-2"/>
          <w:kern w:val="0"/>
          <w:sz w:val="28"/>
          <w:szCs w:val="28"/>
          <w:highlight w:val="none"/>
        </w:rPr>
        <w:t>伍斌</w:t>
      </w:r>
    </w:p>
    <w:p w14:paraId="1475E52C">
      <w:pPr>
        <w:widowControl/>
        <w:kinsoku w:val="0"/>
        <w:autoSpaceDE w:val="0"/>
        <w:autoSpaceDN w:val="0"/>
        <w:adjustRightInd w:val="0"/>
        <w:snapToGrid w:val="0"/>
        <w:spacing w:line="330" w:lineRule="auto"/>
        <w:ind w:firstLine="556" w:firstLineChars="200"/>
        <w:textAlignment w:val="baseline"/>
        <w:rPr>
          <w:rFonts w:ascii="宋体" w:hAnsi="宋体" w:eastAsia="宋体" w:cs="宋体"/>
          <w:snapToGrid w:val="0"/>
          <w:color w:val="auto"/>
          <w:spacing w:val="9"/>
          <w:kern w:val="0"/>
          <w:sz w:val="28"/>
          <w:szCs w:val="28"/>
          <w:highlight w:val="none"/>
        </w:rPr>
      </w:pPr>
      <w:r>
        <w:rPr>
          <w:rFonts w:ascii="宋体" w:hAnsi="宋体" w:eastAsia="宋体" w:cs="宋体"/>
          <w:snapToGrid w:val="0"/>
          <w:color w:val="auto"/>
          <w:spacing w:val="-1"/>
          <w:kern w:val="0"/>
          <w:sz w:val="28"/>
          <w:szCs w:val="28"/>
          <w:highlight w:val="none"/>
        </w:rPr>
        <w:t>统一社会信用代码：12460200MB1E017293</w:t>
      </w:r>
    </w:p>
    <w:p w14:paraId="28B1AB9A">
      <w:pPr>
        <w:widowControl/>
        <w:kinsoku w:val="0"/>
        <w:autoSpaceDE w:val="0"/>
        <w:autoSpaceDN w:val="0"/>
        <w:adjustRightInd w:val="0"/>
        <w:snapToGrid w:val="0"/>
        <w:spacing w:line="330" w:lineRule="auto"/>
        <w:ind w:firstLine="548"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spacing w:val="-3"/>
          <w:kern w:val="0"/>
          <w:sz w:val="28"/>
          <w:szCs w:val="28"/>
          <w:highlight w:val="none"/>
        </w:rPr>
        <w:t>通讯地址：三亚市吉阳区</w:t>
      </w:r>
      <w:r>
        <w:rPr>
          <w:rFonts w:hint="eastAsia" w:ascii="宋体" w:hAnsi="宋体" w:eastAsia="宋体" w:cs="宋体"/>
          <w:snapToGrid w:val="0"/>
          <w:color w:val="auto"/>
          <w:spacing w:val="-3"/>
          <w:kern w:val="0"/>
          <w:sz w:val="28"/>
          <w:szCs w:val="28"/>
          <w:highlight w:val="none"/>
        </w:rPr>
        <w:t>春河小区2区</w:t>
      </w:r>
    </w:p>
    <w:p w14:paraId="7EB34E97">
      <w:pPr>
        <w:widowControl/>
        <w:kinsoku w:val="0"/>
        <w:autoSpaceDE w:val="0"/>
        <w:autoSpaceDN w:val="0"/>
        <w:adjustRightInd w:val="0"/>
        <w:snapToGrid w:val="0"/>
        <w:spacing w:line="465" w:lineRule="auto"/>
        <w:ind w:firstLine="640" w:firstLineChars="200"/>
        <w:textAlignment w:val="baseline"/>
        <w:rPr>
          <w:rFonts w:ascii="Arial" w:hAnsi="Arial" w:eastAsia="Arial" w:cs="Arial"/>
          <w:snapToGrid w:val="0"/>
          <w:color w:val="auto"/>
          <w:kern w:val="0"/>
          <w:szCs w:val="21"/>
          <w:highlight w:val="none"/>
        </w:rPr>
      </w:pPr>
    </w:p>
    <w:p w14:paraId="6841994F">
      <w:pPr>
        <w:widowControl/>
        <w:kinsoku w:val="0"/>
        <w:autoSpaceDE w:val="0"/>
        <w:autoSpaceDN w:val="0"/>
        <w:adjustRightInd w:val="0"/>
        <w:snapToGrid w:val="0"/>
        <w:spacing w:line="330" w:lineRule="auto"/>
        <w:ind w:firstLine="556" w:firstLineChars="200"/>
        <w:textAlignment w:val="baseline"/>
        <w:rPr>
          <w:rFonts w:ascii="宋体" w:hAnsi="宋体" w:eastAsia="宋体" w:cs="宋体"/>
          <w:snapToGrid w:val="0"/>
          <w:color w:val="auto"/>
          <w:spacing w:val="1"/>
          <w:kern w:val="0"/>
          <w:sz w:val="28"/>
          <w:szCs w:val="28"/>
          <w:highlight w:val="none"/>
          <w:lang w:eastAsia="en-US"/>
        </w:rPr>
      </w:pPr>
      <w:r>
        <w:rPr>
          <w:rFonts w:ascii="宋体" w:hAnsi="宋体" w:eastAsia="宋体" w:cs="宋体"/>
          <w:snapToGrid w:val="0"/>
          <w:color w:val="auto"/>
          <w:spacing w:val="-1"/>
          <w:kern w:val="0"/>
          <w:sz w:val="28"/>
          <w:szCs w:val="28"/>
          <w:highlight w:val="none"/>
          <w:lang w:eastAsia="en-US"/>
        </w:rPr>
        <w:t>受托方（乙方</w:t>
      </w:r>
      <w:r>
        <w:rPr>
          <w:rFonts w:ascii="宋体" w:hAnsi="宋体" w:eastAsia="宋体" w:cs="宋体"/>
          <w:snapToGrid w:val="0"/>
          <w:color w:val="auto"/>
          <w:spacing w:val="5"/>
          <w:kern w:val="0"/>
          <w:sz w:val="28"/>
          <w:szCs w:val="28"/>
          <w:highlight w:val="none"/>
          <w:lang w:eastAsia="en-US"/>
        </w:rPr>
        <w:t>）：</w:t>
      </w:r>
    </w:p>
    <w:p w14:paraId="6C160A5F">
      <w:pPr>
        <w:widowControl/>
        <w:kinsoku w:val="0"/>
        <w:autoSpaceDE w:val="0"/>
        <w:autoSpaceDN w:val="0"/>
        <w:adjustRightInd w:val="0"/>
        <w:snapToGrid w:val="0"/>
        <w:spacing w:line="330" w:lineRule="auto"/>
        <w:ind w:firstLine="552" w:firstLineChars="200"/>
        <w:textAlignment w:val="baseline"/>
        <w:rPr>
          <w:rFonts w:ascii="宋体" w:hAnsi="宋体" w:eastAsia="宋体" w:cs="宋体"/>
          <w:snapToGrid w:val="0"/>
          <w:color w:val="auto"/>
          <w:kern w:val="0"/>
          <w:sz w:val="28"/>
          <w:szCs w:val="28"/>
          <w:highlight w:val="none"/>
          <w:lang w:eastAsia="en-US"/>
        </w:rPr>
      </w:pPr>
      <w:r>
        <w:rPr>
          <w:rFonts w:ascii="宋体" w:hAnsi="宋体" w:eastAsia="宋体" w:cs="宋体"/>
          <w:snapToGrid w:val="0"/>
          <w:color w:val="auto"/>
          <w:spacing w:val="-2"/>
          <w:kern w:val="0"/>
          <w:sz w:val="28"/>
          <w:szCs w:val="28"/>
          <w:highlight w:val="none"/>
          <w:lang w:eastAsia="en-US"/>
        </w:rPr>
        <w:t>法定代表人：</w:t>
      </w:r>
    </w:p>
    <w:p w14:paraId="2B6D7E1D">
      <w:pPr>
        <w:widowControl/>
        <w:kinsoku w:val="0"/>
        <w:autoSpaceDE w:val="0"/>
        <w:autoSpaceDN w:val="0"/>
        <w:adjustRightInd w:val="0"/>
        <w:snapToGrid w:val="0"/>
        <w:spacing w:line="330" w:lineRule="auto"/>
        <w:ind w:firstLine="556" w:firstLineChars="200"/>
        <w:textAlignment w:val="baseline"/>
        <w:rPr>
          <w:rFonts w:ascii="宋体" w:hAnsi="宋体" w:eastAsia="宋体" w:cs="宋体"/>
          <w:snapToGrid w:val="0"/>
          <w:color w:val="auto"/>
          <w:spacing w:val="9"/>
          <w:kern w:val="0"/>
          <w:sz w:val="28"/>
          <w:szCs w:val="28"/>
          <w:highlight w:val="none"/>
        </w:rPr>
      </w:pPr>
      <w:r>
        <w:rPr>
          <w:rFonts w:ascii="宋体" w:hAnsi="宋体" w:eastAsia="宋体" w:cs="宋体"/>
          <w:snapToGrid w:val="0"/>
          <w:color w:val="auto"/>
          <w:spacing w:val="-1"/>
          <w:kern w:val="0"/>
          <w:sz w:val="28"/>
          <w:szCs w:val="28"/>
          <w:highlight w:val="none"/>
        </w:rPr>
        <w:t>统一社会信用代码：</w:t>
      </w:r>
    </w:p>
    <w:p w14:paraId="2DB63C81">
      <w:pPr>
        <w:widowControl/>
        <w:kinsoku w:val="0"/>
        <w:autoSpaceDE w:val="0"/>
        <w:autoSpaceDN w:val="0"/>
        <w:adjustRightInd w:val="0"/>
        <w:snapToGrid w:val="0"/>
        <w:spacing w:line="330" w:lineRule="auto"/>
        <w:ind w:firstLine="556"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spacing w:val="-1"/>
          <w:kern w:val="0"/>
          <w:sz w:val="28"/>
          <w:szCs w:val="28"/>
          <w:highlight w:val="none"/>
        </w:rPr>
        <w:t>纳税人类型：</w:t>
      </w:r>
    </w:p>
    <w:p w14:paraId="3FA8AC90">
      <w:pPr>
        <w:widowControl/>
        <w:kinsoku w:val="0"/>
        <w:autoSpaceDE w:val="0"/>
        <w:autoSpaceDN w:val="0"/>
        <w:adjustRightInd w:val="0"/>
        <w:snapToGrid w:val="0"/>
        <w:spacing w:line="329" w:lineRule="auto"/>
        <w:ind w:firstLine="556" w:firstLineChars="200"/>
        <w:textAlignment w:val="baseline"/>
        <w:rPr>
          <w:rFonts w:ascii="宋体" w:hAnsi="宋体" w:eastAsia="宋体" w:cs="宋体"/>
          <w:snapToGrid w:val="0"/>
          <w:color w:val="auto"/>
          <w:spacing w:val="-1"/>
          <w:kern w:val="0"/>
          <w:sz w:val="28"/>
          <w:szCs w:val="28"/>
          <w:highlight w:val="none"/>
        </w:rPr>
      </w:pPr>
      <w:r>
        <w:rPr>
          <w:rFonts w:ascii="宋体" w:hAnsi="宋体" w:eastAsia="宋体" w:cs="宋体"/>
          <w:snapToGrid w:val="0"/>
          <w:color w:val="auto"/>
          <w:spacing w:val="-1"/>
          <w:kern w:val="0"/>
          <w:sz w:val="28"/>
          <w:szCs w:val="28"/>
          <w:highlight w:val="none"/>
        </w:rPr>
        <w:t>开户银行：</w:t>
      </w:r>
    </w:p>
    <w:p w14:paraId="7E5387ED">
      <w:pPr>
        <w:widowControl/>
        <w:kinsoku w:val="0"/>
        <w:autoSpaceDE w:val="0"/>
        <w:autoSpaceDN w:val="0"/>
        <w:adjustRightInd w:val="0"/>
        <w:snapToGrid w:val="0"/>
        <w:spacing w:line="329" w:lineRule="auto"/>
        <w:ind w:firstLine="556"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spacing w:val="-1"/>
          <w:kern w:val="0"/>
          <w:sz w:val="28"/>
          <w:szCs w:val="28"/>
          <w:highlight w:val="none"/>
        </w:rPr>
        <w:t>银行账号：</w:t>
      </w:r>
    </w:p>
    <w:p w14:paraId="29DD2BDA">
      <w:pPr>
        <w:widowControl/>
        <w:kinsoku w:val="0"/>
        <w:autoSpaceDE w:val="0"/>
        <w:autoSpaceDN w:val="0"/>
        <w:adjustRightInd w:val="0"/>
        <w:snapToGrid w:val="0"/>
        <w:spacing w:line="330" w:lineRule="auto"/>
        <w:ind w:firstLine="552"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spacing w:val="-2"/>
          <w:kern w:val="0"/>
          <w:sz w:val="28"/>
          <w:szCs w:val="28"/>
          <w:highlight w:val="none"/>
        </w:rPr>
        <w:t>通讯地址：</w:t>
      </w:r>
    </w:p>
    <w:p w14:paraId="7B9F5ED4">
      <w:pPr>
        <w:kinsoku w:val="0"/>
        <w:autoSpaceDE w:val="0"/>
        <w:autoSpaceDN w:val="0"/>
        <w:adjustRightInd w:val="0"/>
        <w:snapToGrid w:val="0"/>
        <w:spacing w:line="560" w:lineRule="exact"/>
        <w:ind w:firstLine="559"/>
        <w:textAlignment w:val="baseline"/>
        <w:rPr>
          <w:rFonts w:ascii="宋体" w:hAnsi="宋体" w:eastAsia="宋体" w:cs="宋体"/>
          <w:snapToGrid w:val="0"/>
          <w:color w:val="auto"/>
          <w:spacing w:val="-2"/>
          <w:kern w:val="0"/>
          <w:sz w:val="28"/>
          <w:szCs w:val="28"/>
          <w:highlight w:val="none"/>
        </w:rPr>
      </w:pPr>
    </w:p>
    <w:p w14:paraId="35ABBA6A">
      <w:pPr>
        <w:kinsoku w:val="0"/>
        <w:autoSpaceDE w:val="0"/>
        <w:autoSpaceDN w:val="0"/>
        <w:adjustRightInd w:val="0"/>
        <w:snapToGrid w:val="0"/>
        <w:spacing w:line="560" w:lineRule="exact"/>
        <w:ind w:firstLine="559"/>
        <w:textAlignment w:val="baseline"/>
        <w:rPr>
          <w:rFonts w:ascii="宋体" w:hAnsi="宋体" w:eastAsia="宋体" w:cs="宋体"/>
          <w:snapToGrid w:val="0"/>
          <w:color w:val="auto"/>
          <w:spacing w:val="-2"/>
          <w:kern w:val="0"/>
          <w:sz w:val="28"/>
          <w:szCs w:val="28"/>
          <w:highlight w:val="none"/>
        </w:rPr>
      </w:pPr>
      <w:r>
        <w:rPr>
          <w:rFonts w:hint="eastAsia" w:ascii="宋体" w:hAnsi="宋体" w:eastAsia="宋体" w:cs="宋体"/>
          <w:snapToGrid w:val="0"/>
          <w:color w:val="auto"/>
          <w:spacing w:val="-2"/>
          <w:kern w:val="0"/>
          <w:sz w:val="28"/>
          <w:szCs w:val="28"/>
          <w:highlight w:val="none"/>
        </w:rPr>
        <w:t>鉴于乙方在20xx年xx月xx日成功中标三亚市委大院及市周转房食堂运营管理服务项目（项目编号：《中标通知书》编号为三亚市招投标(2025）xx，经过评委会全体成员的评审和媒体公示，乙方被认定为该项目的中标供应商，服务期限预计为三年。</w:t>
      </w:r>
    </w:p>
    <w:p w14:paraId="5B97511D">
      <w:pPr>
        <w:kinsoku w:val="0"/>
        <w:autoSpaceDE w:val="0"/>
        <w:autoSpaceDN w:val="0"/>
        <w:adjustRightInd w:val="0"/>
        <w:snapToGrid w:val="0"/>
        <w:spacing w:line="560" w:lineRule="exact"/>
        <w:ind w:firstLine="559"/>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spacing w:val="-2"/>
          <w:kern w:val="0"/>
          <w:sz w:val="28"/>
          <w:szCs w:val="28"/>
          <w:highlight w:val="none"/>
        </w:rPr>
        <w:t>根据《中华人民共和国民法典》</w:t>
      </w:r>
      <w:r>
        <w:rPr>
          <w:rFonts w:hint="eastAsia" w:ascii="宋体" w:hAnsi="宋体" w:eastAsia="宋体" w:cs="宋体"/>
          <w:snapToGrid w:val="0"/>
          <w:color w:val="auto"/>
          <w:spacing w:val="-2"/>
          <w:kern w:val="0"/>
          <w:sz w:val="28"/>
          <w:szCs w:val="28"/>
          <w:highlight w:val="none"/>
        </w:rPr>
        <w:t>及</w:t>
      </w:r>
      <w:r>
        <w:rPr>
          <w:rFonts w:ascii="宋体" w:hAnsi="宋体" w:eastAsia="宋体" w:cs="宋体"/>
          <w:snapToGrid w:val="0"/>
          <w:color w:val="auto"/>
          <w:spacing w:val="-2"/>
          <w:kern w:val="0"/>
          <w:sz w:val="28"/>
          <w:szCs w:val="28"/>
          <w:highlight w:val="none"/>
        </w:rPr>
        <w:t>相关法律法规规定，甲乙双方在</w:t>
      </w:r>
      <w:r>
        <w:rPr>
          <w:rFonts w:ascii="宋体" w:hAnsi="宋体" w:eastAsia="宋体" w:cs="宋体"/>
          <w:snapToGrid w:val="0"/>
          <w:color w:val="auto"/>
          <w:spacing w:val="-3"/>
          <w:kern w:val="0"/>
          <w:sz w:val="28"/>
          <w:szCs w:val="28"/>
          <w:highlight w:val="none"/>
        </w:rPr>
        <w:t>平等</w:t>
      </w:r>
      <w:r>
        <w:rPr>
          <w:rFonts w:ascii="宋体" w:hAnsi="宋体" w:eastAsia="宋体" w:cs="宋体"/>
          <w:snapToGrid w:val="0"/>
          <w:color w:val="auto"/>
          <w:spacing w:val="1"/>
          <w:kern w:val="0"/>
          <w:sz w:val="28"/>
          <w:szCs w:val="28"/>
          <w:highlight w:val="none"/>
        </w:rPr>
        <w:t>自愿、诚实信用的基础上，就甲方委托乙方负责</w:t>
      </w:r>
      <w:r>
        <w:rPr>
          <w:rFonts w:hint="eastAsia" w:ascii="宋体" w:hAnsi="宋体" w:eastAsia="宋体" w:cs="宋体"/>
          <w:snapToGrid w:val="0"/>
          <w:color w:val="auto"/>
          <w:spacing w:val="1"/>
          <w:kern w:val="0"/>
          <w:sz w:val="28"/>
          <w:szCs w:val="28"/>
          <w:highlight w:val="none"/>
        </w:rPr>
        <w:t>市委大院及市周转房食堂运行管理服务项目采购</w:t>
      </w:r>
      <w:r>
        <w:rPr>
          <w:rFonts w:ascii="宋体" w:hAnsi="宋体" w:eastAsia="宋体" w:cs="宋体"/>
          <w:snapToGrid w:val="0"/>
          <w:color w:val="auto"/>
          <w:spacing w:val="-1"/>
          <w:kern w:val="0"/>
          <w:sz w:val="28"/>
          <w:szCs w:val="28"/>
          <w:highlight w:val="none"/>
        </w:rPr>
        <w:t>工作事宜，协商达成一致，特订立本</w:t>
      </w:r>
      <w:r>
        <w:rPr>
          <w:rFonts w:hint="eastAsia" w:ascii="宋体" w:hAnsi="宋体" w:eastAsia="宋体" w:cs="宋体"/>
          <w:snapToGrid w:val="0"/>
          <w:color w:val="auto"/>
          <w:spacing w:val="-1"/>
          <w:kern w:val="0"/>
          <w:sz w:val="28"/>
          <w:szCs w:val="28"/>
          <w:highlight w:val="none"/>
        </w:rPr>
        <w:t>合同</w:t>
      </w:r>
      <w:r>
        <w:rPr>
          <w:rFonts w:ascii="宋体" w:hAnsi="宋体" w:eastAsia="宋体" w:cs="宋体"/>
          <w:snapToGrid w:val="0"/>
          <w:color w:val="auto"/>
          <w:spacing w:val="-1"/>
          <w:kern w:val="0"/>
          <w:sz w:val="28"/>
          <w:szCs w:val="28"/>
          <w:highlight w:val="none"/>
        </w:rPr>
        <w:t>。</w:t>
      </w:r>
    </w:p>
    <w:p w14:paraId="6CC775AD">
      <w:pPr>
        <w:kinsoku w:val="0"/>
        <w:autoSpaceDE w:val="0"/>
        <w:autoSpaceDN w:val="0"/>
        <w:adjustRightInd w:val="0"/>
        <w:snapToGrid w:val="0"/>
        <w:spacing w:line="560" w:lineRule="exact"/>
        <w:textAlignment w:val="baseline"/>
        <w:outlineLvl w:val="1"/>
        <w:rPr>
          <w:rFonts w:ascii="宋体" w:hAnsi="宋体" w:eastAsia="宋体" w:cs="宋体"/>
          <w:b/>
          <w:bCs/>
          <w:snapToGrid w:val="0"/>
          <w:color w:val="auto"/>
          <w:spacing w:val="-3"/>
          <w:kern w:val="0"/>
          <w:sz w:val="28"/>
          <w:szCs w:val="28"/>
          <w:highlight w:val="none"/>
        </w:rPr>
      </w:pPr>
    </w:p>
    <w:p w14:paraId="5FF106E5">
      <w:pPr>
        <w:kinsoku w:val="0"/>
        <w:autoSpaceDE w:val="0"/>
        <w:autoSpaceDN w:val="0"/>
        <w:adjustRightInd w:val="0"/>
        <w:snapToGrid w:val="0"/>
        <w:spacing w:line="560" w:lineRule="exact"/>
        <w:textAlignment w:val="baseline"/>
        <w:outlineLvl w:val="1"/>
        <w:rPr>
          <w:rFonts w:ascii="宋体" w:hAnsi="宋体" w:eastAsia="宋体" w:cs="宋体"/>
          <w:b/>
          <w:bCs/>
          <w:snapToGrid w:val="0"/>
          <w:color w:val="auto"/>
          <w:spacing w:val="-3"/>
          <w:kern w:val="0"/>
          <w:sz w:val="28"/>
          <w:szCs w:val="28"/>
          <w:highlight w:val="none"/>
        </w:rPr>
      </w:pPr>
    </w:p>
    <w:p w14:paraId="01788BC5">
      <w:pPr>
        <w:kinsoku w:val="0"/>
        <w:autoSpaceDE w:val="0"/>
        <w:autoSpaceDN w:val="0"/>
        <w:adjustRightInd w:val="0"/>
        <w:snapToGrid w:val="0"/>
        <w:spacing w:before="44" w:line="560" w:lineRule="exact"/>
        <w:ind w:left="3398"/>
        <w:textAlignment w:val="baseline"/>
        <w:outlineLvl w:val="1"/>
        <w:rPr>
          <w:rFonts w:ascii="宋体" w:hAnsi="宋体" w:eastAsia="宋体" w:cs="宋体"/>
          <w:b/>
          <w:bCs/>
          <w:snapToGrid w:val="0"/>
          <w:color w:val="auto"/>
          <w:spacing w:val="-3"/>
          <w:kern w:val="0"/>
          <w:sz w:val="28"/>
          <w:szCs w:val="28"/>
          <w:highlight w:val="none"/>
        </w:rPr>
      </w:pPr>
    </w:p>
    <w:p w14:paraId="1599CBC9">
      <w:pPr>
        <w:kinsoku w:val="0"/>
        <w:autoSpaceDE w:val="0"/>
        <w:autoSpaceDN w:val="0"/>
        <w:adjustRightInd w:val="0"/>
        <w:snapToGrid w:val="0"/>
        <w:spacing w:before="44" w:line="560" w:lineRule="exact"/>
        <w:ind w:left="3398"/>
        <w:textAlignment w:val="baseline"/>
        <w:outlineLvl w:val="1"/>
        <w:rPr>
          <w:rFonts w:ascii="宋体" w:hAnsi="宋体" w:eastAsia="宋体" w:cs="宋体"/>
          <w:b/>
          <w:bCs/>
          <w:snapToGrid w:val="0"/>
          <w:color w:val="auto"/>
          <w:spacing w:val="-3"/>
          <w:kern w:val="0"/>
          <w:sz w:val="28"/>
          <w:szCs w:val="28"/>
          <w:highlight w:val="none"/>
        </w:rPr>
      </w:pPr>
    </w:p>
    <w:p w14:paraId="6F399675">
      <w:pPr>
        <w:kinsoku w:val="0"/>
        <w:autoSpaceDE w:val="0"/>
        <w:autoSpaceDN w:val="0"/>
        <w:adjustRightInd w:val="0"/>
        <w:snapToGrid w:val="0"/>
        <w:spacing w:before="44" w:line="560" w:lineRule="exact"/>
        <w:textAlignment w:val="baseline"/>
        <w:outlineLvl w:val="1"/>
        <w:rPr>
          <w:rFonts w:ascii="宋体" w:hAnsi="宋体" w:eastAsia="宋体" w:cs="宋体"/>
          <w:b/>
          <w:bCs/>
          <w:snapToGrid w:val="0"/>
          <w:color w:val="auto"/>
          <w:spacing w:val="-3"/>
          <w:kern w:val="0"/>
          <w:sz w:val="28"/>
          <w:szCs w:val="28"/>
          <w:highlight w:val="none"/>
        </w:rPr>
      </w:pPr>
    </w:p>
    <w:p w14:paraId="026E4B46">
      <w:pPr>
        <w:kinsoku w:val="0"/>
        <w:autoSpaceDE w:val="0"/>
        <w:autoSpaceDN w:val="0"/>
        <w:adjustRightInd w:val="0"/>
        <w:snapToGrid w:val="0"/>
        <w:spacing w:before="44" w:line="578" w:lineRule="exact"/>
        <w:ind w:left="3398"/>
        <w:textAlignment w:val="baseline"/>
        <w:outlineLvl w:val="1"/>
        <w:rPr>
          <w:rFonts w:ascii="宋体" w:hAnsi="宋体" w:eastAsia="宋体" w:cs="宋体"/>
          <w:snapToGrid w:val="0"/>
          <w:color w:val="auto"/>
          <w:kern w:val="0"/>
          <w:sz w:val="28"/>
          <w:szCs w:val="28"/>
          <w:highlight w:val="none"/>
        </w:rPr>
      </w:pPr>
      <w:r>
        <w:rPr>
          <w:rFonts w:ascii="宋体" w:hAnsi="宋体" w:eastAsia="宋体" w:cs="宋体"/>
          <w:b/>
          <w:bCs/>
          <w:snapToGrid w:val="0"/>
          <w:color w:val="auto"/>
          <w:spacing w:val="-3"/>
          <w:kern w:val="0"/>
          <w:sz w:val="28"/>
          <w:szCs w:val="28"/>
          <w:highlight w:val="none"/>
        </w:rPr>
        <w:t>第一部分项目基本情况</w:t>
      </w:r>
    </w:p>
    <w:p w14:paraId="7AE86A39">
      <w:pPr>
        <w:kinsoku w:val="0"/>
        <w:autoSpaceDE w:val="0"/>
        <w:autoSpaceDN w:val="0"/>
        <w:adjustRightInd w:val="0"/>
        <w:snapToGrid w:val="0"/>
        <w:spacing w:line="578" w:lineRule="exact"/>
        <w:ind w:firstLine="550"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b/>
          <w:bCs/>
          <w:snapToGrid w:val="0"/>
          <w:color w:val="auto"/>
          <w:spacing w:val="-3"/>
          <w:kern w:val="0"/>
          <w:sz w:val="28"/>
          <w:szCs w:val="28"/>
          <w:highlight w:val="none"/>
        </w:rPr>
        <w:t>第一条项目情况</w:t>
      </w:r>
    </w:p>
    <w:p w14:paraId="2ABDC50C">
      <w:pPr>
        <w:kinsoku w:val="0"/>
        <w:autoSpaceDE w:val="0"/>
        <w:autoSpaceDN w:val="0"/>
        <w:adjustRightInd w:val="0"/>
        <w:snapToGrid w:val="0"/>
        <w:spacing w:line="578" w:lineRule="exact"/>
        <w:ind w:firstLine="564"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spacing w:val="1"/>
          <w:kern w:val="0"/>
          <w:sz w:val="28"/>
          <w:szCs w:val="28"/>
          <w:highlight w:val="none"/>
        </w:rPr>
        <w:t>项目名称：</w:t>
      </w:r>
      <w:r>
        <w:rPr>
          <w:rFonts w:hint="eastAsia" w:ascii="宋体" w:hAnsi="宋体" w:eastAsia="宋体" w:cs="宋体"/>
          <w:snapToGrid w:val="0"/>
          <w:color w:val="auto"/>
          <w:spacing w:val="1"/>
          <w:kern w:val="0"/>
          <w:sz w:val="28"/>
          <w:szCs w:val="28"/>
          <w:highlight w:val="none"/>
          <w:u w:val="single"/>
        </w:rPr>
        <w:t>市委大院及市周转房食堂运行管理服务项目采购</w:t>
      </w:r>
      <w:r>
        <w:rPr>
          <w:rFonts w:ascii="宋体" w:hAnsi="宋体" w:eastAsia="宋体" w:cs="宋体"/>
          <w:snapToGrid w:val="0"/>
          <w:color w:val="auto"/>
          <w:spacing w:val="1"/>
          <w:kern w:val="0"/>
          <w:sz w:val="28"/>
          <w:szCs w:val="28"/>
          <w:highlight w:val="none"/>
        </w:rPr>
        <w:t>；</w:t>
      </w:r>
    </w:p>
    <w:p w14:paraId="177D7F85">
      <w:pPr>
        <w:kinsoku w:val="0"/>
        <w:autoSpaceDE w:val="0"/>
        <w:autoSpaceDN w:val="0"/>
        <w:adjustRightInd w:val="0"/>
        <w:snapToGrid w:val="0"/>
        <w:spacing w:line="578" w:lineRule="exact"/>
        <w:ind w:firstLine="560"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kern w:val="0"/>
          <w:sz w:val="28"/>
          <w:szCs w:val="28"/>
          <w:highlight w:val="none"/>
        </w:rPr>
        <w:t>项目类型：</w:t>
      </w:r>
      <w:r>
        <w:rPr>
          <w:rFonts w:ascii="宋体" w:hAnsi="宋体" w:eastAsia="宋体" w:cs="宋体"/>
          <w:snapToGrid w:val="0"/>
          <w:color w:val="auto"/>
          <w:kern w:val="0"/>
          <w:sz w:val="28"/>
          <w:szCs w:val="28"/>
          <w:highlight w:val="none"/>
          <w:u w:val="single"/>
        </w:rPr>
        <w:t xml:space="preserve">            食堂  </w:t>
      </w:r>
      <w:r>
        <w:rPr>
          <w:rFonts w:ascii="宋体" w:hAnsi="宋体" w:eastAsia="宋体" w:cs="宋体"/>
          <w:snapToGrid w:val="0"/>
          <w:color w:val="auto"/>
          <w:spacing w:val="-1"/>
          <w:kern w:val="0"/>
          <w:sz w:val="28"/>
          <w:szCs w:val="28"/>
          <w:highlight w:val="none"/>
        </w:rPr>
        <w:t>；</w:t>
      </w:r>
    </w:p>
    <w:p w14:paraId="2ECA811A">
      <w:pPr>
        <w:kinsoku w:val="0"/>
        <w:autoSpaceDE w:val="0"/>
        <w:autoSpaceDN w:val="0"/>
        <w:adjustRightInd w:val="0"/>
        <w:snapToGrid w:val="0"/>
        <w:spacing w:line="578" w:lineRule="exact"/>
        <w:ind w:firstLine="564" w:firstLineChars="200"/>
        <w:textAlignment w:val="baseline"/>
        <w:rPr>
          <w:rFonts w:ascii="仿宋" w:hAnsi="仿宋" w:eastAsia="仿宋" w:cs="仿宋"/>
          <w:color w:val="auto"/>
          <w:sz w:val="30"/>
          <w:szCs w:val="30"/>
          <w:highlight w:val="none"/>
          <w:u w:val="single"/>
        </w:rPr>
      </w:pPr>
      <w:r>
        <w:rPr>
          <w:rFonts w:hint="eastAsia" w:ascii="宋体" w:hAnsi="宋体" w:eastAsia="宋体" w:cs="宋体"/>
          <w:snapToGrid w:val="0"/>
          <w:color w:val="auto"/>
          <w:spacing w:val="1"/>
          <w:kern w:val="0"/>
          <w:sz w:val="28"/>
          <w:szCs w:val="28"/>
          <w:highlight w:val="none"/>
        </w:rPr>
        <w:t>坐落位置</w:t>
      </w:r>
      <w:r>
        <w:rPr>
          <w:rFonts w:ascii="宋体" w:hAnsi="宋体" w:eastAsia="宋体" w:cs="宋体"/>
          <w:snapToGrid w:val="0"/>
          <w:color w:val="auto"/>
          <w:spacing w:val="1"/>
          <w:kern w:val="0"/>
          <w:sz w:val="28"/>
          <w:szCs w:val="28"/>
          <w:highlight w:val="none"/>
        </w:rPr>
        <w:t>：</w:t>
      </w:r>
      <w:r>
        <w:rPr>
          <w:rFonts w:hint="eastAsia" w:ascii="宋体" w:hAnsi="宋体" w:eastAsia="宋体" w:cs="宋体"/>
          <w:snapToGrid w:val="0"/>
          <w:color w:val="auto"/>
          <w:spacing w:val="1"/>
          <w:kern w:val="0"/>
          <w:sz w:val="28"/>
          <w:szCs w:val="28"/>
          <w:highlight w:val="none"/>
        </w:rPr>
        <w:t>1.</w:t>
      </w:r>
      <w:r>
        <w:rPr>
          <w:rFonts w:hint="eastAsia" w:ascii="宋体" w:hAnsi="宋体" w:eastAsia="宋体" w:cs="宋体"/>
          <w:color w:val="auto"/>
          <w:sz w:val="28"/>
          <w:szCs w:val="28"/>
          <w:highlight w:val="none"/>
          <w:u w:val="single"/>
        </w:rPr>
        <w:t>三亚市吉阳区榆亚路 1 号；</w:t>
      </w:r>
    </w:p>
    <w:p w14:paraId="64C23709">
      <w:pPr>
        <w:kinsoku w:val="0"/>
        <w:autoSpaceDE w:val="0"/>
        <w:autoSpaceDN w:val="0"/>
        <w:adjustRightInd w:val="0"/>
        <w:snapToGrid w:val="0"/>
        <w:spacing w:line="578" w:lineRule="exact"/>
        <w:ind w:firstLine="600" w:firstLineChars="200"/>
        <w:textAlignment w:val="baseline"/>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 xml:space="preserve">         2.</w:t>
      </w:r>
      <w:r>
        <w:rPr>
          <w:rFonts w:hint="eastAsia" w:ascii="宋体" w:hAnsi="宋体" w:eastAsia="宋体" w:cs="宋体"/>
          <w:color w:val="auto"/>
          <w:sz w:val="28"/>
          <w:szCs w:val="28"/>
          <w:highlight w:val="none"/>
          <w:u w:val="single"/>
        </w:rPr>
        <w:t>三亚市吉阳区海螺一路春河东岸小区；</w:t>
      </w:r>
    </w:p>
    <w:p w14:paraId="256DF3AB">
      <w:pPr>
        <w:kinsoku w:val="0"/>
        <w:autoSpaceDE w:val="0"/>
        <w:autoSpaceDN w:val="0"/>
        <w:adjustRightInd w:val="0"/>
        <w:snapToGrid w:val="0"/>
        <w:spacing w:line="578" w:lineRule="exact"/>
        <w:ind w:firstLine="1974" w:firstLineChars="700"/>
        <w:textAlignment w:val="baseline"/>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spacing w:val="1"/>
          <w:kern w:val="0"/>
          <w:sz w:val="28"/>
          <w:szCs w:val="28"/>
          <w:highlight w:val="none"/>
        </w:rPr>
        <w:t>3.</w:t>
      </w:r>
      <w:r>
        <w:rPr>
          <w:rFonts w:ascii="宋体" w:hAnsi="宋体" w:eastAsia="宋体" w:cs="宋体"/>
          <w:snapToGrid w:val="0"/>
          <w:color w:val="auto"/>
          <w:spacing w:val="1"/>
          <w:kern w:val="0"/>
          <w:sz w:val="28"/>
          <w:szCs w:val="28"/>
          <w:highlight w:val="none"/>
          <w:u w:val="single"/>
        </w:rPr>
        <w:t>三亚市吉阳区海螺一路同心家园29</w:t>
      </w:r>
      <w:r>
        <w:rPr>
          <w:rFonts w:ascii="宋体" w:hAnsi="宋体" w:eastAsia="宋体" w:cs="宋体"/>
          <w:snapToGrid w:val="0"/>
          <w:color w:val="auto"/>
          <w:kern w:val="0"/>
          <w:sz w:val="28"/>
          <w:szCs w:val="28"/>
          <w:highlight w:val="none"/>
          <w:u w:val="single"/>
        </w:rPr>
        <w:t>期安2栋</w:t>
      </w:r>
      <w:r>
        <w:rPr>
          <w:rFonts w:ascii="宋体" w:hAnsi="宋体" w:eastAsia="宋体" w:cs="宋体"/>
          <w:snapToGrid w:val="0"/>
          <w:color w:val="auto"/>
          <w:kern w:val="0"/>
          <w:sz w:val="28"/>
          <w:szCs w:val="28"/>
          <w:highlight w:val="none"/>
        </w:rPr>
        <w:t>。</w:t>
      </w:r>
    </w:p>
    <w:p w14:paraId="49DBFAB1">
      <w:pPr>
        <w:kinsoku w:val="0"/>
        <w:autoSpaceDE w:val="0"/>
        <w:autoSpaceDN w:val="0"/>
        <w:adjustRightInd w:val="0"/>
        <w:snapToGrid w:val="0"/>
        <w:spacing w:line="578" w:lineRule="exact"/>
        <w:ind w:firstLine="534" w:firstLineChars="200"/>
        <w:textAlignment w:val="baseline"/>
        <w:rPr>
          <w:rFonts w:ascii="宋体" w:hAnsi="宋体" w:eastAsia="宋体" w:cs="宋体"/>
          <w:b/>
          <w:bCs/>
          <w:snapToGrid w:val="0"/>
          <w:color w:val="auto"/>
          <w:spacing w:val="-3"/>
          <w:kern w:val="0"/>
          <w:sz w:val="28"/>
          <w:szCs w:val="28"/>
          <w:highlight w:val="none"/>
        </w:rPr>
      </w:pPr>
      <w:r>
        <w:rPr>
          <w:rFonts w:ascii="宋体" w:hAnsi="宋体" w:eastAsia="宋体" w:cs="宋体"/>
          <w:b/>
          <w:bCs/>
          <w:snapToGrid w:val="0"/>
          <w:color w:val="auto"/>
          <w:spacing w:val="-7"/>
          <w:kern w:val="0"/>
          <w:sz w:val="28"/>
          <w:szCs w:val="28"/>
          <w:highlight w:val="none"/>
        </w:rPr>
        <w:t>第二条</w:t>
      </w:r>
      <w:r>
        <w:rPr>
          <w:rFonts w:ascii="宋体" w:hAnsi="宋体" w:eastAsia="宋体" w:cs="宋体"/>
          <w:b/>
          <w:bCs/>
          <w:snapToGrid w:val="0"/>
          <w:color w:val="auto"/>
          <w:spacing w:val="-3"/>
          <w:kern w:val="0"/>
          <w:sz w:val="28"/>
          <w:szCs w:val="28"/>
          <w:highlight w:val="none"/>
        </w:rPr>
        <w:t>食堂管理服务区域：</w:t>
      </w:r>
    </w:p>
    <w:p w14:paraId="1BA5D1F8">
      <w:pPr>
        <w:pStyle w:val="2"/>
        <w:spacing w:line="578" w:lineRule="exact"/>
        <w:ind w:firstLine="564" w:firstLineChars="200"/>
        <w:rPr>
          <w:rFonts w:hAnsi="宋体" w:eastAsia="宋体" w:cs="宋体"/>
          <w:snapToGrid w:val="0"/>
          <w:color w:val="auto"/>
          <w:spacing w:val="1"/>
          <w:kern w:val="0"/>
          <w:sz w:val="28"/>
          <w:szCs w:val="28"/>
          <w:highlight w:val="none"/>
          <w:u w:val="single"/>
        </w:rPr>
      </w:pPr>
      <w:r>
        <w:rPr>
          <w:rFonts w:hAnsi="宋体" w:eastAsia="宋体" w:cs="宋体"/>
          <w:snapToGrid w:val="0"/>
          <w:color w:val="auto"/>
          <w:spacing w:val="1"/>
          <w:kern w:val="0"/>
          <w:sz w:val="28"/>
          <w:szCs w:val="28"/>
          <w:highlight w:val="none"/>
        </w:rPr>
        <w:t>1.</w:t>
      </w:r>
      <w:r>
        <w:rPr>
          <w:rFonts w:hAnsi="宋体" w:eastAsia="宋体" w:cs="宋体"/>
          <w:snapToGrid w:val="0"/>
          <w:color w:val="auto"/>
          <w:spacing w:val="1"/>
          <w:kern w:val="0"/>
          <w:sz w:val="28"/>
          <w:szCs w:val="28"/>
          <w:highlight w:val="none"/>
          <w:u w:val="single"/>
        </w:rPr>
        <w:t>三亚市委大院</w:t>
      </w:r>
      <w:r>
        <w:rPr>
          <w:rFonts w:hint="eastAsia" w:hAnsi="宋体" w:eastAsia="宋体" w:cs="宋体"/>
          <w:snapToGrid w:val="0"/>
          <w:color w:val="auto"/>
          <w:spacing w:val="1"/>
          <w:kern w:val="0"/>
          <w:sz w:val="28"/>
          <w:szCs w:val="28"/>
          <w:highlight w:val="none"/>
          <w:u w:val="single"/>
        </w:rPr>
        <w:t>；</w:t>
      </w:r>
    </w:p>
    <w:p w14:paraId="2CF2877B">
      <w:pPr>
        <w:pStyle w:val="2"/>
        <w:spacing w:line="578" w:lineRule="exact"/>
        <w:ind w:firstLine="564" w:firstLineChars="200"/>
        <w:rPr>
          <w:rFonts w:hAnsi="宋体" w:eastAsia="宋体" w:cs="宋体"/>
          <w:snapToGrid w:val="0"/>
          <w:color w:val="auto"/>
          <w:spacing w:val="1"/>
          <w:kern w:val="0"/>
          <w:sz w:val="28"/>
          <w:szCs w:val="28"/>
          <w:highlight w:val="none"/>
          <w:u w:val="single"/>
        </w:rPr>
      </w:pPr>
      <w:r>
        <w:rPr>
          <w:rFonts w:hAnsi="宋体" w:eastAsia="宋体" w:cs="宋体"/>
          <w:snapToGrid w:val="0"/>
          <w:color w:val="auto"/>
          <w:spacing w:val="1"/>
          <w:kern w:val="0"/>
          <w:sz w:val="28"/>
          <w:szCs w:val="28"/>
          <w:highlight w:val="none"/>
        </w:rPr>
        <w:t>2.</w:t>
      </w:r>
      <w:r>
        <w:rPr>
          <w:rFonts w:hAnsi="宋体" w:eastAsia="宋体" w:cs="宋体"/>
          <w:snapToGrid w:val="0"/>
          <w:color w:val="auto"/>
          <w:spacing w:val="1"/>
          <w:kern w:val="0"/>
          <w:sz w:val="28"/>
          <w:szCs w:val="28"/>
          <w:highlight w:val="none"/>
          <w:u w:val="single"/>
        </w:rPr>
        <w:t>市周转房：春河东岸项目</w:t>
      </w:r>
      <w:r>
        <w:rPr>
          <w:rFonts w:hint="eastAsia" w:hAnsi="宋体" w:eastAsia="宋体" w:cs="宋体"/>
          <w:snapToGrid w:val="0"/>
          <w:color w:val="auto"/>
          <w:spacing w:val="1"/>
          <w:kern w:val="0"/>
          <w:sz w:val="28"/>
          <w:szCs w:val="28"/>
          <w:highlight w:val="none"/>
          <w:u w:val="single"/>
        </w:rPr>
        <w:t>；</w:t>
      </w:r>
    </w:p>
    <w:p w14:paraId="48A82B6E">
      <w:pPr>
        <w:pStyle w:val="2"/>
        <w:spacing w:line="578" w:lineRule="exact"/>
        <w:ind w:firstLine="564" w:firstLineChars="200"/>
        <w:jc w:val="left"/>
        <w:rPr>
          <w:rFonts w:ascii="仿宋" w:hAnsi="仿宋" w:eastAsia="宋体" w:cs="仿宋"/>
          <w:color w:val="auto"/>
          <w:sz w:val="32"/>
          <w:szCs w:val="32"/>
          <w:highlight w:val="none"/>
        </w:rPr>
      </w:pPr>
      <w:r>
        <w:rPr>
          <w:rFonts w:hAnsi="宋体" w:eastAsia="宋体" w:cs="宋体"/>
          <w:snapToGrid w:val="0"/>
          <w:color w:val="auto"/>
          <w:spacing w:val="1"/>
          <w:kern w:val="0"/>
          <w:sz w:val="28"/>
          <w:szCs w:val="28"/>
          <w:highlight w:val="none"/>
        </w:rPr>
        <w:t>3.</w:t>
      </w:r>
      <w:r>
        <w:rPr>
          <w:rFonts w:hAnsi="宋体" w:eastAsia="宋体" w:cs="宋体"/>
          <w:snapToGrid w:val="0"/>
          <w:color w:val="auto"/>
          <w:spacing w:val="1"/>
          <w:kern w:val="0"/>
          <w:sz w:val="28"/>
          <w:szCs w:val="28"/>
          <w:highlight w:val="none"/>
          <w:u w:val="single"/>
        </w:rPr>
        <w:t>市周转房：同心家园二十九期项目</w:t>
      </w:r>
      <w:r>
        <w:rPr>
          <w:rFonts w:hint="eastAsia" w:hAnsi="宋体" w:eastAsia="宋体" w:cs="宋体"/>
          <w:snapToGrid w:val="0"/>
          <w:color w:val="auto"/>
          <w:spacing w:val="1"/>
          <w:kern w:val="0"/>
          <w:sz w:val="28"/>
          <w:szCs w:val="28"/>
          <w:highlight w:val="none"/>
          <w:u w:val="single"/>
        </w:rPr>
        <w:t>。</w:t>
      </w:r>
    </w:p>
    <w:p w14:paraId="5152D781">
      <w:pPr>
        <w:pStyle w:val="3"/>
        <w:spacing w:line="578" w:lineRule="exact"/>
        <w:ind w:firstLine="480" w:firstLineChars="200"/>
        <w:rPr>
          <w:color w:val="auto"/>
          <w:highlight w:val="none"/>
        </w:rPr>
      </w:pPr>
    </w:p>
    <w:p w14:paraId="1A943500">
      <w:pPr>
        <w:kinsoku w:val="0"/>
        <w:autoSpaceDE w:val="0"/>
        <w:autoSpaceDN w:val="0"/>
        <w:adjustRightInd w:val="0"/>
        <w:snapToGrid w:val="0"/>
        <w:spacing w:line="578" w:lineRule="exact"/>
        <w:ind w:firstLine="550" w:firstLineChars="200"/>
        <w:jc w:val="center"/>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第二部分 食堂运行管理服务内容、标准</w:t>
      </w:r>
    </w:p>
    <w:p w14:paraId="24B544B0">
      <w:pPr>
        <w:kinsoku w:val="0"/>
        <w:adjustRightInd w:val="0"/>
        <w:snapToGrid w:val="0"/>
        <w:spacing w:line="578" w:lineRule="exact"/>
        <w:ind w:firstLine="534" w:firstLineChars="200"/>
        <w:textAlignment w:val="baseline"/>
        <w:rPr>
          <w:rFonts w:ascii="宋体" w:hAnsi="宋体" w:eastAsia="宋体" w:cs="宋体"/>
          <w:b/>
          <w:bCs/>
          <w:snapToGrid w:val="0"/>
          <w:color w:val="auto"/>
          <w:spacing w:val="-7"/>
          <w:kern w:val="0"/>
          <w:sz w:val="28"/>
          <w:szCs w:val="28"/>
          <w:highlight w:val="none"/>
        </w:rPr>
      </w:pPr>
      <w:r>
        <w:rPr>
          <w:rFonts w:ascii="宋体" w:hAnsi="宋体" w:eastAsia="宋体" w:cs="宋体"/>
          <w:b/>
          <w:bCs/>
          <w:snapToGrid w:val="0"/>
          <w:color w:val="auto"/>
          <w:spacing w:val="-7"/>
          <w:kern w:val="0"/>
          <w:sz w:val="28"/>
          <w:szCs w:val="28"/>
          <w:highlight w:val="none"/>
        </w:rPr>
        <w:t>第三条 在市委大院、市周转房春河东岸项目、市周转房同心家园29期项目等共计3个食堂管理运营区域内，乙方提供的食堂运行管理服务包括以下内容：</w:t>
      </w:r>
    </w:p>
    <w:p w14:paraId="58C421E5">
      <w:pPr>
        <w:kinsoku w:val="0"/>
        <w:adjustRightInd w:val="0"/>
        <w:snapToGrid w:val="0"/>
        <w:spacing w:line="578" w:lineRule="exact"/>
        <w:ind w:firstLine="560"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kern w:val="0"/>
          <w:sz w:val="28"/>
          <w:szCs w:val="28"/>
          <w:highlight w:val="none"/>
        </w:rPr>
        <w:t>（一）负责食堂供餐及服务。保障驻市委大院办公单位</w:t>
      </w:r>
      <w:r>
        <w:rPr>
          <w:rFonts w:hint="eastAsia" w:ascii="宋体" w:hAnsi="宋体" w:eastAsia="宋体" w:cs="宋体"/>
          <w:snapToGrid w:val="0"/>
          <w:color w:val="auto"/>
          <w:kern w:val="0"/>
          <w:sz w:val="28"/>
          <w:szCs w:val="28"/>
          <w:highlight w:val="none"/>
        </w:rPr>
        <w:t>、相邻单位</w:t>
      </w:r>
      <w:r>
        <w:rPr>
          <w:rFonts w:ascii="宋体" w:hAnsi="宋体" w:eastAsia="宋体" w:cs="宋体"/>
          <w:snapToGrid w:val="0"/>
          <w:color w:val="auto"/>
          <w:kern w:val="0"/>
          <w:sz w:val="28"/>
          <w:szCs w:val="28"/>
          <w:highlight w:val="none"/>
        </w:rPr>
        <w:t>及市周转房住（用）户约6</w:t>
      </w:r>
      <w:r>
        <w:rPr>
          <w:rFonts w:hint="eastAsia" w:ascii="宋体" w:hAnsi="宋体" w:eastAsia="宋体" w:cs="宋体"/>
          <w:snapToGrid w:val="0"/>
          <w:color w:val="auto"/>
          <w:kern w:val="0"/>
          <w:sz w:val="28"/>
          <w:szCs w:val="28"/>
          <w:highlight w:val="none"/>
          <w:lang w:val="en-US" w:eastAsia="zh-CN"/>
        </w:rPr>
        <w:t>0</w:t>
      </w:r>
      <w:r>
        <w:rPr>
          <w:rFonts w:ascii="宋体" w:hAnsi="宋体" w:eastAsia="宋体" w:cs="宋体"/>
          <w:snapToGrid w:val="0"/>
          <w:color w:val="auto"/>
          <w:kern w:val="0"/>
          <w:sz w:val="28"/>
          <w:szCs w:val="28"/>
          <w:highlight w:val="none"/>
        </w:rPr>
        <w:t>0人早、中、晚餐的用餐，承担各单位接待用餐保障和用餐服务需求。</w:t>
      </w:r>
    </w:p>
    <w:p w14:paraId="40774CCF">
      <w:pPr>
        <w:kinsoku w:val="0"/>
        <w:adjustRightInd w:val="0"/>
        <w:snapToGrid w:val="0"/>
        <w:spacing w:line="578" w:lineRule="exact"/>
        <w:ind w:firstLine="560"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kern w:val="0"/>
          <w:sz w:val="28"/>
          <w:szCs w:val="28"/>
          <w:highlight w:val="none"/>
        </w:rPr>
        <w:t>（二）负责餐谱的制定、更新，食材选购；餐具的清洗、消毒，损毁部分的补充。</w:t>
      </w:r>
    </w:p>
    <w:p w14:paraId="33682506">
      <w:pPr>
        <w:kinsoku w:val="0"/>
        <w:adjustRightInd w:val="0"/>
        <w:snapToGrid w:val="0"/>
        <w:spacing w:line="578" w:lineRule="exact"/>
        <w:ind w:firstLine="560"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kern w:val="0"/>
          <w:sz w:val="28"/>
          <w:szCs w:val="28"/>
          <w:highlight w:val="none"/>
        </w:rPr>
        <w:t>（三）保证用餐环境的卫生、整洁，负责餐厅厨房共用设施设备的清洗、摆放、保养和管理，以及食堂</w:t>
      </w:r>
      <w:r>
        <w:rPr>
          <w:rFonts w:hint="eastAsia" w:ascii="宋体" w:hAnsi="宋体" w:eastAsia="宋体" w:cs="宋体"/>
          <w:snapToGrid w:val="0"/>
          <w:color w:val="auto"/>
          <w:kern w:val="0"/>
          <w:sz w:val="28"/>
          <w:szCs w:val="28"/>
          <w:highlight w:val="none"/>
          <w:lang w:val="en-US" w:eastAsia="zh-CN"/>
        </w:rPr>
        <w:t>区域</w:t>
      </w:r>
      <w:r>
        <w:rPr>
          <w:rFonts w:ascii="宋体" w:hAnsi="宋体" w:eastAsia="宋体" w:cs="宋体"/>
          <w:snapToGrid w:val="0"/>
          <w:color w:val="auto"/>
          <w:kern w:val="0"/>
          <w:sz w:val="28"/>
          <w:szCs w:val="28"/>
          <w:highlight w:val="none"/>
        </w:rPr>
        <w:t>的卫生保洁及垃圾收集工作。</w:t>
      </w:r>
    </w:p>
    <w:p w14:paraId="0826B5AC">
      <w:pPr>
        <w:kinsoku w:val="0"/>
        <w:adjustRightInd w:val="0"/>
        <w:snapToGrid w:val="0"/>
        <w:spacing w:line="578" w:lineRule="exact"/>
        <w:ind w:firstLine="560"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kern w:val="0"/>
          <w:sz w:val="28"/>
          <w:szCs w:val="28"/>
          <w:highlight w:val="none"/>
        </w:rPr>
        <w:t>（四）负责食堂</w:t>
      </w:r>
      <w:r>
        <w:rPr>
          <w:rFonts w:hint="eastAsia" w:ascii="宋体" w:hAnsi="宋体" w:eastAsia="宋体" w:cs="宋体"/>
          <w:snapToGrid w:val="0"/>
          <w:color w:val="auto"/>
          <w:kern w:val="0"/>
          <w:sz w:val="28"/>
          <w:szCs w:val="28"/>
          <w:highlight w:val="none"/>
          <w:lang w:val="en-US" w:eastAsia="zh-CN"/>
        </w:rPr>
        <w:t>区域</w:t>
      </w:r>
      <w:r>
        <w:rPr>
          <w:rFonts w:ascii="宋体" w:hAnsi="宋体" w:eastAsia="宋体" w:cs="宋体"/>
          <w:snapToGrid w:val="0"/>
          <w:color w:val="auto"/>
          <w:kern w:val="0"/>
          <w:sz w:val="28"/>
          <w:szCs w:val="28"/>
          <w:highlight w:val="none"/>
        </w:rPr>
        <w:t>内厨房、餐厅、活动室、招待室、卫生间、休闲区等设备设施的维护保养。</w:t>
      </w:r>
    </w:p>
    <w:p w14:paraId="0EFEFF9A">
      <w:pPr>
        <w:kinsoku w:val="0"/>
        <w:adjustRightInd w:val="0"/>
        <w:snapToGrid w:val="0"/>
        <w:spacing w:line="578" w:lineRule="exact"/>
        <w:ind w:firstLine="560" w:firstLineChars="200"/>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kern w:val="0"/>
          <w:sz w:val="28"/>
          <w:szCs w:val="28"/>
          <w:highlight w:val="none"/>
        </w:rPr>
        <w:t>（五）负责食堂区域的消防安全。</w:t>
      </w:r>
    </w:p>
    <w:p w14:paraId="221E440E">
      <w:pPr>
        <w:kinsoku w:val="0"/>
        <w:autoSpaceDE w:val="0"/>
        <w:autoSpaceDN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第四条 乙方提供的食堂运行管理服务应达到约定的质量标准(按照招标、投标文件执行)。</w:t>
      </w:r>
    </w:p>
    <w:p w14:paraId="70120A22">
      <w:pPr>
        <w:kinsoku w:val="0"/>
        <w:autoSpaceDE w:val="0"/>
        <w:autoSpaceDN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（一）基本要求</w:t>
      </w:r>
    </w:p>
    <w:p w14:paraId="6C21A8FC">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1．有完善的食堂运行管理方案，质量管理、财务管理、食品安全管理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lang w:val="en-US" w:eastAsia="zh-CN"/>
        </w:rPr>
        <w:t>反食品浪费</w:t>
      </w:r>
      <w:r>
        <w:rPr>
          <w:rFonts w:hint="eastAsia" w:ascii="宋体" w:hAnsi="宋体" w:eastAsia="宋体" w:cs="宋体"/>
          <w:snapToGrid w:val="0"/>
          <w:color w:val="auto"/>
          <w:spacing w:val="-3"/>
          <w:kern w:val="0"/>
          <w:sz w:val="28"/>
          <w:szCs w:val="28"/>
          <w:highlight w:val="none"/>
        </w:rPr>
        <w:t>等制度健全。</w:t>
      </w:r>
    </w:p>
    <w:p w14:paraId="71FAF192">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2．管理服务人员、专业操作人员按照国家有关规定取得执业资格证书。</w:t>
      </w:r>
    </w:p>
    <w:p w14:paraId="5957D1CC">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3．设置服务热线，公示服务电话。</w:t>
      </w:r>
    </w:p>
    <w:p w14:paraId="1F5075B2">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4．管理服务人员统一着装、佩戴标志，行为规范，服务主动、热情。</w:t>
      </w:r>
    </w:p>
    <w:p w14:paraId="53B7CAA2">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5．强化保密管理，严格进行政审，加强保密教育。</w:t>
      </w:r>
    </w:p>
    <w:p w14:paraId="7F365917">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6．按有关规定和约定，接受甲方对运行服务费用使用情况的监督。</w:t>
      </w:r>
    </w:p>
    <w:p w14:paraId="6854F97D">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7．强化节能意识，节约资源，杜绝浪费</w:t>
      </w:r>
    </w:p>
    <w:p w14:paraId="6C8B14E3">
      <w:pPr>
        <w:kinsoku w:val="0"/>
        <w:autoSpaceDE w:val="0"/>
        <w:autoSpaceDN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（二）卫生保洁</w:t>
      </w:r>
    </w:p>
    <w:p w14:paraId="5A714649">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1．食堂</w:t>
      </w:r>
      <w:r>
        <w:rPr>
          <w:rFonts w:hint="eastAsia" w:ascii="宋体" w:hAnsi="宋体" w:eastAsia="宋体" w:cs="宋体"/>
          <w:snapToGrid w:val="0"/>
          <w:color w:val="auto"/>
          <w:spacing w:val="-3"/>
          <w:kern w:val="0"/>
          <w:sz w:val="28"/>
          <w:szCs w:val="28"/>
          <w:highlight w:val="none"/>
          <w:lang w:val="en-US" w:eastAsia="zh-CN"/>
        </w:rPr>
        <w:t>相关</w:t>
      </w:r>
      <w:r>
        <w:rPr>
          <w:rFonts w:hint="eastAsia" w:ascii="宋体" w:hAnsi="宋体" w:eastAsia="宋体" w:cs="宋体"/>
          <w:snapToGrid w:val="0"/>
          <w:color w:val="auto"/>
          <w:spacing w:val="-3"/>
          <w:kern w:val="0"/>
          <w:sz w:val="28"/>
          <w:szCs w:val="28"/>
          <w:highlight w:val="none"/>
        </w:rPr>
        <w:t>区域的天花、墙面、地面无污迹、无积灰、无杂物、无蜘蛛网，适时清扫。</w:t>
      </w:r>
    </w:p>
    <w:p w14:paraId="30B94567">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2．桌面、台面、座椅无积灰、无污渍，每日擦拭除尘；门窗玻璃干净整洁，适时保洁。</w:t>
      </w:r>
    </w:p>
    <w:p w14:paraId="1F0CB7F0">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3．垃圾桶及时倾倒、清洗干净，静置状态时关闭盖子；卫生间干净整洁、无异味，大小便器无污垢、无堵塞，洗手盆进水排水正常，厕纸、擦手纸、洗手液等供应到位，每日检查、清洗。</w:t>
      </w:r>
    </w:p>
    <w:p w14:paraId="1A36AA31">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4．食堂运行管理区域病媒生物防治及卫生消杀按照三亚市卫生防疫站提供的药品清单及配比，规范操作，定期进行并根据季节、生物活动规律及客户反馈调整消杀频次。</w:t>
      </w:r>
    </w:p>
    <w:p w14:paraId="13E36900">
      <w:pPr>
        <w:kinsoku w:val="0"/>
        <w:autoSpaceDE w:val="0"/>
        <w:autoSpaceDN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（三）膳食要求</w:t>
      </w:r>
    </w:p>
    <w:p w14:paraId="470E1B6E">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lang w:eastAsia="zh-CN"/>
        </w:rPr>
      </w:pPr>
      <w:r>
        <w:rPr>
          <w:rFonts w:hint="eastAsia" w:ascii="宋体" w:hAnsi="宋体" w:eastAsia="宋体" w:cs="宋体"/>
          <w:snapToGrid w:val="0"/>
          <w:color w:val="auto"/>
          <w:spacing w:val="-3"/>
          <w:kern w:val="0"/>
          <w:sz w:val="28"/>
          <w:szCs w:val="28"/>
          <w:highlight w:val="none"/>
        </w:rPr>
        <w:t>1．每日所需食材由乙方提供（食堂管理服务费用不</w:t>
      </w:r>
      <w:r>
        <w:rPr>
          <w:rFonts w:hint="eastAsia" w:ascii="宋体" w:hAnsi="宋体" w:eastAsia="宋体" w:cs="宋体"/>
          <w:snapToGrid w:val="0"/>
          <w:color w:val="auto"/>
          <w:spacing w:val="-3"/>
          <w:kern w:val="0"/>
          <w:sz w:val="28"/>
          <w:szCs w:val="28"/>
          <w:highlight w:val="none"/>
          <w:lang w:eastAsia="zh-CN"/>
        </w:rPr>
        <w:t>包含食材费用）。</w:t>
      </w:r>
    </w:p>
    <w:p w14:paraId="21C96AFD">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2．乙方每周提供下一周的菜单，报备甲方审核。</w:t>
      </w:r>
    </w:p>
    <w:p w14:paraId="29AADA31">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3．餐食供应：制定更新餐谱，选购食材，提供每日（包括法定节假日）早中晚三餐。</w:t>
      </w:r>
    </w:p>
    <w:p w14:paraId="627AF18F">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4.早餐提供中、西式自助餐及明档供应</w:t>
      </w:r>
      <w:r>
        <w:rPr>
          <w:rFonts w:hint="eastAsia" w:ascii="宋体" w:hAnsi="宋体" w:eastAsia="宋体" w:cs="宋体"/>
          <w:snapToGrid w:val="0"/>
          <w:color w:val="auto"/>
          <w:spacing w:val="-3"/>
          <w:kern w:val="0"/>
          <w:sz w:val="28"/>
          <w:szCs w:val="28"/>
          <w:highlight w:val="none"/>
          <w:lang w:eastAsia="zh-CN"/>
        </w:rPr>
        <w:t>；中餐、晚餐为八菜一汤，主食不少于两种，供应水果，凉菜、甜品。</w:t>
      </w:r>
      <w:r>
        <w:rPr>
          <w:rFonts w:hint="eastAsia" w:ascii="宋体" w:hAnsi="宋体" w:eastAsia="宋体" w:cs="宋体"/>
          <w:snapToGrid w:val="0"/>
          <w:color w:val="auto"/>
          <w:spacing w:val="-3"/>
          <w:kern w:val="0"/>
          <w:sz w:val="28"/>
          <w:szCs w:val="28"/>
          <w:highlight w:val="none"/>
          <w:lang w:val="en-US" w:eastAsia="zh-CN"/>
        </w:rPr>
        <w:t>工作日午餐</w:t>
      </w:r>
      <w:r>
        <w:rPr>
          <w:rFonts w:hint="eastAsia" w:ascii="宋体" w:hAnsi="宋体" w:eastAsia="宋体" w:cs="宋体"/>
          <w:snapToGrid w:val="0"/>
          <w:color w:val="auto"/>
          <w:spacing w:val="-3"/>
          <w:kern w:val="0"/>
          <w:sz w:val="28"/>
          <w:szCs w:val="28"/>
          <w:highlight w:val="none"/>
          <w:lang w:eastAsia="zh-CN"/>
        </w:rPr>
        <w:t>依据财政标准结算，</w:t>
      </w:r>
      <w:r>
        <w:rPr>
          <w:rFonts w:hint="eastAsia" w:ascii="宋体" w:hAnsi="宋体" w:eastAsia="宋体" w:cs="宋体"/>
          <w:snapToGrid w:val="0"/>
          <w:color w:val="auto"/>
          <w:spacing w:val="-3"/>
          <w:kern w:val="0"/>
          <w:sz w:val="28"/>
          <w:szCs w:val="28"/>
          <w:highlight w:val="none"/>
          <w:lang w:val="en-US" w:eastAsia="zh-CN"/>
        </w:rPr>
        <w:t>其他餐按成本价结算</w:t>
      </w:r>
      <w:r>
        <w:rPr>
          <w:rFonts w:hint="eastAsia" w:ascii="宋体" w:hAnsi="宋体" w:eastAsia="宋体" w:cs="宋体"/>
          <w:snapToGrid w:val="0"/>
          <w:color w:val="auto"/>
          <w:spacing w:val="-3"/>
          <w:kern w:val="0"/>
          <w:sz w:val="28"/>
          <w:szCs w:val="28"/>
          <w:highlight w:val="none"/>
          <w:lang w:eastAsia="zh-CN"/>
        </w:rPr>
        <w:t>。</w:t>
      </w:r>
    </w:p>
    <w:p w14:paraId="3BD775EE">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5.市委食堂供餐时间为早餐6：40 - 08：00 、中餐12：00 - 13：30 、晚餐19：00 - 20：00；市周转房供餐时间为早餐 7:00 - 8:30、中餐 12:00 - 13:30、晚餐 18:00 - 19:30。因工作或特殊原因要求临时加餐或增加人员的，应提前通知运营方，运营方应按告知时间提供相应的用餐服务。</w:t>
      </w:r>
    </w:p>
    <w:p w14:paraId="5671BE52">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6．提供节日主题特色餐食、配备清真餐、素食餐、病号餐等选项；根据接待需求制定菜谱并提供用餐服务。</w:t>
      </w:r>
    </w:p>
    <w:p w14:paraId="52C7B733">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7.市周转房客户用餐采取预订形式，用餐费用由就餐人与乙方进行结算，并预付餐费，乙方按照预定形式提供堂食或者配送。</w:t>
      </w:r>
    </w:p>
    <w:p w14:paraId="099A33F3">
      <w:pPr>
        <w:kinsoku w:val="0"/>
        <w:autoSpaceDE w:val="0"/>
        <w:autoSpaceDN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（四）服务人员要求</w:t>
      </w:r>
    </w:p>
    <w:p w14:paraId="2F28BE3C">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1．乙方需配备食堂厨师长，厨师长每日必须在现场进行管理。</w:t>
      </w:r>
    </w:p>
    <w:p w14:paraId="3D3CF4B7">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2．乙方员工的资料必须向甲方进行报备；乙方与员工依法签订《劳动用工合同》，并按规定为其缴纳相关保险。</w:t>
      </w:r>
    </w:p>
    <w:p w14:paraId="03848D16">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3．食堂工作人员须符合餐饮从业人员健康要求，严禁食堂工作人员无健康证上岗，并定期进行体检，持有效健康证。</w:t>
      </w:r>
    </w:p>
    <w:p w14:paraId="1B41B34B">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4．食堂工作人员上岗时正确穿戴卫生防护用品、佩戴健康证，严禁在食堂内出现吸烟、穿拖鞋等不文明行为，养成良好的卫生习惯。</w:t>
      </w:r>
    </w:p>
    <w:p w14:paraId="091FA771">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5．食堂工作人员要加强防火防盗和劳动保护安全意识，落实安全防范措施，正确使用各种食堂设备，保证消防安全。</w:t>
      </w:r>
    </w:p>
    <w:p w14:paraId="4FFDC26C">
      <w:pPr>
        <w:kinsoku/>
        <w:overflowPunct w:val="0"/>
        <w:topLinePunct/>
        <w:autoSpaceDE/>
        <w:autoSpaceDN/>
        <w:adjustRightInd w:val="0"/>
        <w:snapToGrid w:val="0"/>
        <w:spacing w:afterLines="0" w:line="578" w:lineRule="exact"/>
        <w:ind w:firstLine="548" w:firstLineChars="200"/>
        <w:textAlignment w:val="auto"/>
        <w:outlineLvl w:val="9"/>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6．</w:t>
      </w:r>
      <w:r>
        <w:rPr>
          <w:rFonts w:hint="default" w:ascii="宋体" w:hAnsi="宋体" w:eastAsia="宋体" w:cs="宋体"/>
          <w:snapToGrid w:val="0"/>
          <w:color w:val="auto"/>
          <w:spacing w:val="-3"/>
          <w:kern w:val="0"/>
          <w:sz w:val="28"/>
          <w:szCs w:val="28"/>
          <w:highlight w:val="none"/>
          <w:lang w:val="en-US" w:eastAsia="zh-CN"/>
        </w:rPr>
        <w:t>食堂工作人员应政审合格，遵守工作纪律，严格执行保密要求。</w:t>
      </w:r>
    </w:p>
    <w:p w14:paraId="19812C16">
      <w:pPr>
        <w:kinsoku w:val="0"/>
        <w:autoSpaceDE w:val="0"/>
        <w:autoSpaceDN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（五）卫生及食品安全要求</w:t>
      </w:r>
    </w:p>
    <w:p w14:paraId="193A924C">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1．食堂每日每餐专人保洁，餐具每次使用完清洁后必须消毒。保证厨房内厨具及时清洗，环境整洁卫生；储物间货物上架并摆放整洁，张贴标签。做好病媒防治工作，防止蚊虫鼠滋生，符合食堂卫生管理部门规定的标准。</w:t>
      </w:r>
    </w:p>
    <w:p w14:paraId="1E2812F4">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2．定期对食堂厨房的油烟管道及烟囱进行清洗，定期检查天然气、电器元件等，并做好检查记录，发现隐患及时整改，确保安全无火灾隐患。</w:t>
      </w:r>
    </w:p>
    <w:p w14:paraId="3D1833AA">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3．按照相关卫生标准规定每日食品留样。</w:t>
      </w:r>
    </w:p>
    <w:p w14:paraId="64E481EC">
      <w:pPr>
        <w:kinsoku w:val="0"/>
        <w:autoSpaceDE w:val="0"/>
        <w:autoSpaceDN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（六）设备设施管理要求</w:t>
      </w:r>
    </w:p>
    <w:p w14:paraId="20A2F942">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1．定期检查食堂设备设施器材，制定定期维护保养计划并严格执行。</w:t>
      </w:r>
    </w:p>
    <w:p w14:paraId="0783F118">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2．对项目区域内设备的规划、购置、安装、调试、交验、运行、保养、维修、报废等过程进行有效控制，以提高设备的使用价值，更好地为客户服务。</w:t>
      </w:r>
    </w:p>
    <w:p w14:paraId="5EE20204">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3．项目区域内设备及相关的阀门、管线、配电箱（柜）均应在明显位置安置设备标识，设备标识应简单明了地标明名称及功用。</w:t>
      </w:r>
    </w:p>
    <w:p w14:paraId="65932B5A">
      <w:pPr>
        <w:kinsoku w:val="0"/>
        <w:autoSpaceDE w:val="0"/>
        <w:autoSpaceDN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4．离开厨房前要检查各类设备、关好门窗，做好相关的安全措施，每日填写检查记录。</w:t>
      </w:r>
    </w:p>
    <w:p w14:paraId="5CC304EA">
      <w:pPr>
        <w:kinsoku w:val="0"/>
        <w:autoSpaceDE w:val="0"/>
        <w:autoSpaceDN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（七）人员配备标准</w:t>
      </w:r>
    </w:p>
    <w:p w14:paraId="000F9E9A">
      <w:pPr>
        <w:pStyle w:val="2"/>
        <w:spacing w:line="578" w:lineRule="exact"/>
        <w:ind w:firstLine="548" w:firstLineChars="200"/>
        <w:rPr>
          <w:rFonts w:hAnsi="宋体" w:eastAsia="宋体" w:cs="宋体"/>
          <w:snapToGrid w:val="0"/>
          <w:color w:val="auto"/>
          <w:spacing w:val="-3"/>
          <w:kern w:val="0"/>
          <w:sz w:val="28"/>
          <w:szCs w:val="28"/>
          <w:highlight w:val="none"/>
        </w:rPr>
      </w:pPr>
      <w:r>
        <w:rPr>
          <w:rFonts w:hint="eastAsia" w:hAnsi="宋体" w:eastAsia="宋体" w:cs="宋体"/>
          <w:snapToGrid w:val="0"/>
          <w:color w:val="auto"/>
          <w:spacing w:val="-3"/>
          <w:kern w:val="0"/>
          <w:sz w:val="28"/>
          <w:szCs w:val="28"/>
          <w:highlight w:val="none"/>
        </w:rPr>
        <w:t>乙方根据采购需求合理安排人员配备，应具备（但不限于）以下岗位：</w:t>
      </w:r>
    </w:p>
    <w:tbl>
      <w:tblPr>
        <w:tblStyle w:val="11"/>
        <w:tblW w:w="789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5"/>
        <w:gridCol w:w="1830"/>
        <w:gridCol w:w="930"/>
        <w:gridCol w:w="4162"/>
      </w:tblGrid>
      <w:tr w14:paraId="40A63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7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1EBB05">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B1BB106">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岗位</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A83A8B">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人数</w:t>
            </w:r>
          </w:p>
        </w:tc>
        <w:tc>
          <w:tcPr>
            <w:tcW w:w="416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B22802">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eastAsia"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岗位职责</w:t>
            </w:r>
          </w:p>
        </w:tc>
      </w:tr>
      <w:tr w14:paraId="6E86A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7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B2E8B8">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1</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9FED4C">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餐饮经理</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76DD36">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1</w:t>
            </w:r>
          </w:p>
        </w:tc>
        <w:tc>
          <w:tcPr>
            <w:tcW w:w="416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1AEC19">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left"/>
              <w:textAlignment w:val="cente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负责制定餐厅的运营计划，管理团队，监督食品质量和服务水平，确保食堂高效运作。</w:t>
            </w:r>
          </w:p>
        </w:tc>
      </w:tr>
      <w:tr w14:paraId="609A5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tcBorders>
              <w:top w:val="single" w:color="000000" w:sz="4" w:space="0"/>
              <w:left w:val="single" w:color="000000" w:sz="4" w:space="0"/>
              <w:bottom w:val="single" w:color="000000" w:sz="4" w:space="0"/>
              <w:right w:val="single" w:color="000000" w:sz="4" w:space="0"/>
            </w:tcBorders>
            <w:noWrap w:val="0"/>
            <w:vAlign w:val="center"/>
          </w:tcPr>
          <w:p w14:paraId="767FDF27">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kern w:val="2"/>
                <w:sz w:val="24"/>
                <w:szCs w:val="24"/>
                <w:highlight w:val="none"/>
                <w:u w:val="none"/>
                <w:shd w:val="clear" w:color="auto" w:fill="auto"/>
                <w:lang w:val="en-US" w:eastAsia="zh-CN" w:bidi="ar-SA"/>
              </w:rPr>
            </w:pPr>
            <w:r>
              <w:rPr>
                <w:rFonts w:hint="eastAsia" w:ascii="Times New Roman" w:hAnsi="Times New Roman" w:cs="Times New Roman"/>
                <w:b w:val="0"/>
                <w:bCs w:val="0"/>
                <w:i w:val="0"/>
                <w:iCs w:val="0"/>
                <w:color w:val="auto"/>
                <w:kern w:val="0"/>
                <w:sz w:val="24"/>
                <w:szCs w:val="24"/>
                <w:highlight w:val="none"/>
                <w:u w:val="none"/>
                <w:shd w:val="clear" w:color="auto" w:fill="auto"/>
                <w:lang w:val="en-US" w:eastAsia="zh-CN" w:bidi="ar"/>
              </w:rPr>
              <w:t>2</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14:paraId="7E32A6EB">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kern w:val="2"/>
                <w:sz w:val="24"/>
                <w:szCs w:val="24"/>
                <w:highlight w:val="none"/>
                <w:u w:val="none"/>
                <w:shd w:val="clear" w:color="auto" w:fill="auto"/>
                <w:lang w:val="en-US" w:eastAsia="zh-CN" w:bidi="ar-SA"/>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项目主管</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8E83E45">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eastAsia" w:ascii="Times New Roman" w:hAnsi="Times New Roman" w:eastAsia="仿宋_GB2312" w:cs="Times New Roman"/>
                <w:b w:val="0"/>
                <w:bCs w:val="0"/>
                <w:i w:val="0"/>
                <w:iCs w:val="0"/>
                <w:color w:val="auto"/>
                <w:kern w:val="2"/>
                <w:sz w:val="24"/>
                <w:szCs w:val="24"/>
                <w:highlight w:val="none"/>
                <w:u w:val="none"/>
                <w:shd w:val="clear" w:color="auto" w:fill="auto"/>
                <w:lang w:val="en-US" w:eastAsia="zh-CN" w:bidi="ar-SA"/>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1</w:t>
            </w:r>
          </w:p>
        </w:tc>
        <w:tc>
          <w:tcPr>
            <w:tcW w:w="4162" w:type="dxa"/>
            <w:tcBorders>
              <w:top w:val="single" w:color="000000" w:sz="4" w:space="0"/>
              <w:left w:val="single" w:color="000000" w:sz="4" w:space="0"/>
              <w:bottom w:val="single" w:color="000000" w:sz="4" w:space="0"/>
              <w:right w:val="single" w:color="000000" w:sz="4" w:space="0"/>
            </w:tcBorders>
            <w:noWrap w:val="0"/>
            <w:vAlign w:val="center"/>
          </w:tcPr>
          <w:p w14:paraId="1B9F72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36" w:lineRule="exact"/>
              <w:ind w:left="0" w:leftChars="0" w:right="0" w:rightChars="0"/>
              <w:jc w:val="left"/>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default" w:ascii="Times New Roman" w:hAnsi="Times New Roman" w:eastAsia="仿宋_GB2312" w:cs="Times New Roman"/>
                <w:b w:val="0"/>
                <w:i w:val="0"/>
                <w:color w:val="auto"/>
                <w:kern w:val="0"/>
                <w:sz w:val="24"/>
                <w:szCs w:val="24"/>
                <w:highlight w:val="none"/>
                <w:lang w:val="en-US" w:eastAsia="zh-CN" w:bidi="ar"/>
              </w:rPr>
              <w:t>负责统筹食堂整体运作，确保食堂高效、安全、合规地提供餐饮服务。</w:t>
            </w:r>
          </w:p>
        </w:tc>
      </w:tr>
      <w:tr w14:paraId="07B3D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DB94FF">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2</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DC1789">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厨师长</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197CE3">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eastAsia" w:ascii="Times New Roman" w:hAnsi="Times New Roman" w:cs="Times New Roman"/>
                <w:b w:val="0"/>
                <w:bCs w:val="0"/>
                <w:i w:val="0"/>
                <w:iCs w:val="0"/>
                <w:color w:val="auto"/>
                <w:kern w:val="0"/>
                <w:sz w:val="24"/>
                <w:szCs w:val="24"/>
                <w:highlight w:val="none"/>
                <w:u w:val="none"/>
                <w:shd w:val="clear" w:color="auto" w:fill="auto"/>
                <w:lang w:val="en-US" w:eastAsia="zh-CN" w:bidi="ar"/>
              </w:rPr>
              <w:t>3</w:t>
            </w:r>
          </w:p>
        </w:tc>
        <w:tc>
          <w:tcPr>
            <w:tcW w:w="416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FAC5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36" w:lineRule="exact"/>
              <w:ind w:left="0" w:right="0"/>
              <w:jc w:val="left"/>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default" w:ascii="Times New Roman" w:hAnsi="Times New Roman" w:eastAsia="仿宋_GB2312" w:cs="Times New Roman"/>
                <w:color w:val="auto"/>
                <w:kern w:val="0"/>
                <w:sz w:val="24"/>
                <w:szCs w:val="24"/>
                <w:highlight w:val="none"/>
                <w:lang w:val="en-US" w:eastAsia="zh-CN" w:bidi="ar"/>
              </w:rPr>
              <w:t>负责食堂用餐菜品烹饪，食材菜品质量把控，菜品研发、推陈出新，食品安全与厨房卫生管控。食堂团队管理，配合项目主管工作。</w:t>
            </w:r>
          </w:p>
        </w:tc>
      </w:tr>
      <w:tr w14:paraId="01CBA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1D692D">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3</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405287">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主厨（炒锅）</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46502B">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lang w:val="en-US" w:eastAsia="zh-CN"/>
              </w:rPr>
            </w:pPr>
            <w:r>
              <w:rPr>
                <w:rFonts w:hint="eastAsia" w:ascii="Times New Roman" w:hAnsi="Times New Roman" w:cs="Times New Roman"/>
                <w:b w:val="0"/>
                <w:bCs w:val="0"/>
                <w:i w:val="0"/>
                <w:iCs w:val="0"/>
                <w:color w:val="auto"/>
                <w:sz w:val="24"/>
                <w:szCs w:val="24"/>
                <w:highlight w:val="none"/>
                <w:u w:val="none"/>
                <w:shd w:val="clear" w:color="auto" w:fill="auto"/>
                <w:lang w:val="en-US" w:eastAsia="zh-CN"/>
              </w:rPr>
              <w:t>6</w:t>
            </w:r>
          </w:p>
        </w:tc>
        <w:tc>
          <w:tcPr>
            <w:tcW w:w="416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0EAF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36" w:lineRule="exact"/>
              <w:ind w:left="0" w:right="0"/>
              <w:jc w:val="left"/>
              <w:rPr>
                <w:rFonts w:hint="default" w:ascii="Times New Roman" w:hAnsi="Times New Roman" w:eastAsia="仿宋_GB2312" w:cs="Times New Roman"/>
                <w:b w:val="0"/>
                <w:bCs w:val="0"/>
                <w:i w:val="0"/>
                <w:iCs w:val="0"/>
                <w:color w:val="auto"/>
                <w:sz w:val="24"/>
                <w:szCs w:val="24"/>
                <w:highlight w:val="none"/>
                <w:u w:val="none"/>
                <w:shd w:val="clear" w:color="auto" w:fill="auto"/>
                <w:lang w:val="en-US" w:eastAsia="zh-CN"/>
              </w:rPr>
            </w:pPr>
            <w:r>
              <w:rPr>
                <w:rFonts w:hint="default" w:ascii="Times New Roman" w:hAnsi="Times New Roman" w:eastAsia="仿宋_GB2312" w:cs="Times New Roman"/>
                <w:color w:val="auto"/>
                <w:kern w:val="0"/>
                <w:sz w:val="24"/>
                <w:szCs w:val="24"/>
                <w:highlight w:val="none"/>
                <w:lang w:val="en-US" w:eastAsia="zh-CN" w:bidi="ar"/>
              </w:rPr>
              <w:t>按菜谱完成每日餐食制作，确保饭菜质量，不得浪费，做好防火工作</w:t>
            </w:r>
          </w:p>
        </w:tc>
      </w:tr>
      <w:tr w14:paraId="288D4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776C6B">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4</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90129B7">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副厨（炒锅）</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621650">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lang w:val="en-US" w:eastAsia="zh-CN"/>
              </w:rPr>
            </w:pPr>
            <w:r>
              <w:rPr>
                <w:rFonts w:hint="default" w:ascii="Times New Roman" w:hAnsi="Times New Roman" w:eastAsia="仿宋_GB2312" w:cs="Times New Roman"/>
                <w:b w:val="0"/>
                <w:bCs w:val="0"/>
                <w:i w:val="0"/>
                <w:iCs w:val="0"/>
                <w:color w:val="auto"/>
                <w:sz w:val="24"/>
                <w:szCs w:val="24"/>
                <w:highlight w:val="none"/>
                <w:u w:val="none"/>
                <w:shd w:val="clear" w:color="auto" w:fill="auto"/>
                <w:lang w:val="en-US" w:eastAsia="zh-CN"/>
              </w:rPr>
              <w:t>3</w:t>
            </w:r>
          </w:p>
        </w:tc>
        <w:tc>
          <w:tcPr>
            <w:tcW w:w="416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9CEF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36" w:lineRule="exact"/>
              <w:ind w:left="0" w:right="0"/>
              <w:jc w:val="left"/>
              <w:rPr>
                <w:rFonts w:hint="default" w:ascii="Times New Roman" w:hAnsi="Times New Roman" w:eastAsia="仿宋_GB2312" w:cs="Times New Roman"/>
                <w:b w:val="0"/>
                <w:bCs w:val="0"/>
                <w:i w:val="0"/>
                <w:iCs w:val="0"/>
                <w:color w:val="auto"/>
                <w:sz w:val="24"/>
                <w:szCs w:val="24"/>
                <w:highlight w:val="none"/>
                <w:u w:val="none"/>
                <w:shd w:val="clear" w:color="auto" w:fill="auto"/>
                <w:lang w:val="en-US" w:eastAsia="zh-CN"/>
              </w:rPr>
            </w:pPr>
            <w:r>
              <w:rPr>
                <w:rFonts w:hint="default" w:ascii="Times New Roman" w:hAnsi="Times New Roman" w:eastAsia="仿宋_GB2312" w:cs="Times New Roman"/>
                <w:color w:val="auto"/>
                <w:kern w:val="0"/>
                <w:sz w:val="24"/>
                <w:szCs w:val="24"/>
                <w:highlight w:val="none"/>
                <w:lang w:val="en-US" w:eastAsia="zh-CN" w:bidi="ar"/>
              </w:rPr>
              <w:t>按菜谱完成每日餐食制作，确保饭菜质量，不得浪费，做好防火工作</w:t>
            </w:r>
          </w:p>
        </w:tc>
      </w:tr>
      <w:tr w14:paraId="3EAA8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48DB3D">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5</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97EF972">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面点师</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33DF1B">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eastAsia" w:ascii="Times New Roman" w:hAnsi="Times New Roman" w:cs="Times New Roman"/>
                <w:b w:val="0"/>
                <w:bCs w:val="0"/>
                <w:i w:val="0"/>
                <w:iCs w:val="0"/>
                <w:color w:val="auto"/>
                <w:kern w:val="0"/>
                <w:sz w:val="24"/>
                <w:szCs w:val="24"/>
                <w:highlight w:val="none"/>
                <w:u w:val="none"/>
                <w:shd w:val="clear" w:color="auto" w:fill="auto"/>
                <w:lang w:val="en-US" w:eastAsia="zh-CN" w:bidi="ar"/>
              </w:rPr>
              <w:t>3</w:t>
            </w:r>
          </w:p>
        </w:tc>
        <w:tc>
          <w:tcPr>
            <w:tcW w:w="416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C75401">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left"/>
              <w:textAlignment w:val="cente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default" w:ascii="Times New Roman" w:hAnsi="Times New Roman" w:eastAsia="仿宋_GB2312" w:cs="Times New Roman"/>
                <w:b w:val="0"/>
                <w:i w:val="0"/>
                <w:color w:val="auto"/>
                <w:kern w:val="2"/>
                <w:sz w:val="24"/>
                <w:szCs w:val="24"/>
                <w:highlight w:val="none"/>
                <w:lang w:val="en-US" w:eastAsia="zh-CN" w:bidi="ar"/>
              </w:rPr>
              <w:t>负责面点新品研发，推陈出新，把控制作流程与品质标准。</w:t>
            </w:r>
          </w:p>
        </w:tc>
      </w:tr>
      <w:tr w14:paraId="14BC4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tcBorders>
              <w:top w:val="single" w:color="000000" w:sz="4" w:space="0"/>
              <w:left w:val="single" w:color="000000" w:sz="4" w:space="0"/>
              <w:bottom w:val="single" w:color="000000" w:sz="4" w:space="0"/>
              <w:right w:val="single" w:color="000000" w:sz="4" w:space="0"/>
            </w:tcBorders>
            <w:noWrap w:val="0"/>
            <w:vAlign w:val="center"/>
          </w:tcPr>
          <w:p w14:paraId="540FDC25">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6</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14:paraId="081E61B3">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面点工</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677A8E4B">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eastAsia" w:ascii="Times New Roman" w:hAnsi="Times New Roman" w:cs="Times New Roman"/>
                <w:b w:val="0"/>
                <w:bCs w:val="0"/>
                <w:i w:val="0"/>
                <w:iCs w:val="0"/>
                <w:color w:val="auto"/>
                <w:kern w:val="0"/>
                <w:sz w:val="24"/>
                <w:szCs w:val="24"/>
                <w:highlight w:val="none"/>
                <w:u w:val="none"/>
                <w:shd w:val="clear" w:color="auto" w:fill="auto"/>
                <w:lang w:val="en-US" w:eastAsia="zh-CN" w:bidi="ar"/>
              </w:rPr>
              <w:t>4</w:t>
            </w:r>
          </w:p>
        </w:tc>
        <w:tc>
          <w:tcPr>
            <w:tcW w:w="4162" w:type="dxa"/>
            <w:tcBorders>
              <w:top w:val="single" w:color="000000" w:sz="4" w:space="0"/>
              <w:left w:val="single" w:color="000000" w:sz="4" w:space="0"/>
              <w:bottom w:val="single" w:color="000000" w:sz="4" w:space="0"/>
              <w:right w:val="single" w:color="000000" w:sz="4" w:space="0"/>
            </w:tcBorders>
            <w:noWrap/>
            <w:vAlign w:val="center"/>
          </w:tcPr>
          <w:p w14:paraId="790A5A58">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left"/>
              <w:textAlignment w:val="cente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辅助面点师按配方和流程制作面点。</w:t>
            </w:r>
          </w:p>
        </w:tc>
      </w:tr>
      <w:tr w14:paraId="6E36D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tcBorders>
              <w:top w:val="single" w:color="000000" w:sz="4" w:space="0"/>
              <w:left w:val="single" w:color="000000" w:sz="4" w:space="0"/>
              <w:bottom w:val="single" w:color="000000" w:sz="4" w:space="0"/>
              <w:right w:val="single" w:color="000000" w:sz="4" w:space="0"/>
            </w:tcBorders>
            <w:noWrap w:val="0"/>
            <w:vAlign w:val="center"/>
          </w:tcPr>
          <w:p w14:paraId="5D94D301">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7</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14:paraId="2F221086">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切配打荷厨师</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35F0564B">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eastAsia" w:ascii="Times New Roman" w:hAnsi="Times New Roman" w:cs="Times New Roman"/>
                <w:b w:val="0"/>
                <w:bCs w:val="0"/>
                <w:i w:val="0"/>
                <w:iCs w:val="0"/>
                <w:color w:val="auto"/>
                <w:kern w:val="0"/>
                <w:sz w:val="24"/>
                <w:szCs w:val="24"/>
                <w:highlight w:val="none"/>
                <w:u w:val="none"/>
                <w:shd w:val="clear" w:color="auto" w:fill="auto"/>
                <w:lang w:val="en-US" w:eastAsia="zh-CN" w:bidi="ar"/>
              </w:rPr>
              <w:t>5</w:t>
            </w:r>
          </w:p>
        </w:tc>
        <w:tc>
          <w:tcPr>
            <w:tcW w:w="4162" w:type="dxa"/>
            <w:tcBorders>
              <w:top w:val="single" w:color="000000" w:sz="4" w:space="0"/>
              <w:left w:val="single" w:color="000000" w:sz="4" w:space="0"/>
              <w:bottom w:val="single" w:color="000000" w:sz="4" w:space="0"/>
              <w:right w:val="single" w:color="000000" w:sz="4" w:space="0"/>
            </w:tcBorders>
            <w:noWrap w:val="0"/>
            <w:vAlign w:val="center"/>
          </w:tcPr>
          <w:p w14:paraId="11F2A422">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left"/>
              <w:textAlignment w:val="cente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default" w:ascii="Times New Roman" w:hAnsi="Times New Roman" w:eastAsia="仿宋_GB2312" w:cs="Times New Roman"/>
                <w:color w:val="auto"/>
                <w:kern w:val="0"/>
                <w:sz w:val="24"/>
                <w:szCs w:val="24"/>
                <w:highlight w:val="none"/>
                <w:lang w:val="en-US" w:eastAsia="zh-CN" w:bidi="ar"/>
              </w:rPr>
              <w:t>按菜谱完成每日餐食制作</w:t>
            </w:r>
          </w:p>
        </w:tc>
      </w:tr>
      <w:tr w14:paraId="6C717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975" w:type="dxa"/>
            <w:tcBorders>
              <w:top w:val="single" w:color="000000" w:sz="4" w:space="0"/>
              <w:left w:val="single" w:color="000000" w:sz="4" w:space="0"/>
              <w:bottom w:val="single" w:color="000000" w:sz="4" w:space="0"/>
              <w:right w:val="single" w:color="000000" w:sz="4" w:space="0"/>
            </w:tcBorders>
            <w:noWrap w:val="0"/>
            <w:vAlign w:val="center"/>
          </w:tcPr>
          <w:p w14:paraId="0ED21B41">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8</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14:paraId="28B02719">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480" w:firstLineChars="200"/>
              <w:jc w:val="both"/>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用餐服务</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153607DB">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eastAsia" w:ascii="Times New Roman" w:hAnsi="Times New Roman" w:cs="Times New Roman"/>
                <w:b w:val="0"/>
                <w:bCs w:val="0"/>
                <w:i w:val="0"/>
                <w:iCs w:val="0"/>
                <w:color w:val="auto"/>
                <w:kern w:val="0"/>
                <w:sz w:val="24"/>
                <w:szCs w:val="24"/>
                <w:highlight w:val="none"/>
                <w:u w:val="none"/>
                <w:shd w:val="clear" w:color="auto" w:fill="auto"/>
                <w:lang w:val="en-US" w:eastAsia="zh-CN" w:bidi="ar"/>
              </w:rPr>
              <w:t>7</w:t>
            </w:r>
          </w:p>
        </w:tc>
        <w:tc>
          <w:tcPr>
            <w:tcW w:w="4162" w:type="dxa"/>
            <w:tcBorders>
              <w:top w:val="single" w:color="000000" w:sz="4" w:space="0"/>
              <w:left w:val="single" w:color="000000" w:sz="4" w:space="0"/>
              <w:bottom w:val="single" w:color="000000" w:sz="4" w:space="0"/>
              <w:right w:val="single" w:color="000000" w:sz="4" w:space="0"/>
            </w:tcBorders>
            <w:noWrap/>
            <w:vAlign w:val="center"/>
          </w:tcPr>
          <w:p w14:paraId="160749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36" w:lineRule="exact"/>
              <w:ind w:left="0" w:right="0"/>
              <w:jc w:val="left"/>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default" w:ascii="Times New Roman" w:hAnsi="Times New Roman" w:eastAsia="仿宋_GB2312" w:cs="Times New Roman"/>
                <w:color w:val="auto"/>
                <w:kern w:val="0"/>
                <w:sz w:val="24"/>
                <w:szCs w:val="24"/>
                <w:highlight w:val="none"/>
                <w:lang w:val="en-US" w:eastAsia="zh-CN" w:bidi="ar"/>
              </w:rPr>
              <w:t>提供全流程用餐服务，响应用餐需求，负责用餐区卫生保洁。</w:t>
            </w:r>
          </w:p>
        </w:tc>
      </w:tr>
      <w:tr w14:paraId="0F706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975" w:type="dxa"/>
            <w:tcBorders>
              <w:top w:val="single" w:color="000000" w:sz="4" w:space="0"/>
              <w:left w:val="single" w:color="000000" w:sz="4" w:space="0"/>
              <w:bottom w:val="single" w:color="000000" w:sz="4" w:space="0"/>
              <w:right w:val="single" w:color="000000" w:sz="4" w:space="0"/>
            </w:tcBorders>
            <w:noWrap w:val="0"/>
            <w:vAlign w:val="center"/>
          </w:tcPr>
          <w:p w14:paraId="02119E08">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9</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14:paraId="4CE1587C">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t>勤杂工（洗碗、卫生）</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543671CB">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eastAsia" w:ascii="Times New Roman" w:hAnsi="Times New Roman" w:cs="Times New Roman"/>
                <w:b w:val="0"/>
                <w:bCs w:val="0"/>
                <w:i w:val="0"/>
                <w:iCs w:val="0"/>
                <w:color w:val="auto"/>
                <w:kern w:val="0"/>
                <w:sz w:val="24"/>
                <w:szCs w:val="24"/>
                <w:highlight w:val="none"/>
                <w:u w:val="none"/>
                <w:shd w:val="clear" w:color="auto" w:fill="auto"/>
                <w:lang w:val="en-US" w:eastAsia="zh-CN" w:bidi="ar"/>
              </w:rPr>
              <w:t>5</w:t>
            </w:r>
          </w:p>
        </w:tc>
        <w:tc>
          <w:tcPr>
            <w:tcW w:w="4162" w:type="dxa"/>
            <w:tcBorders>
              <w:top w:val="single" w:color="000000" w:sz="4" w:space="0"/>
              <w:left w:val="single" w:color="000000" w:sz="4" w:space="0"/>
              <w:bottom w:val="single" w:color="000000" w:sz="4" w:space="0"/>
              <w:right w:val="single" w:color="000000" w:sz="4" w:space="0"/>
            </w:tcBorders>
            <w:noWrap/>
            <w:vAlign w:val="center"/>
          </w:tcPr>
          <w:p w14:paraId="0CDE35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36" w:lineRule="exact"/>
              <w:ind w:left="0" w:right="0"/>
              <w:jc w:val="left"/>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default" w:ascii="Times New Roman" w:hAnsi="Times New Roman" w:eastAsia="仿宋_GB2312" w:cs="Times New Roman"/>
                <w:color w:val="auto"/>
                <w:kern w:val="0"/>
                <w:sz w:val="24"/>
                <w:szCs w:val="24"/>
                <w:highlight w:val="none"/>
                <w:lang w:val="en-US" w:eastAsia="zh-CN" w:bidi="ar"/>
              </w:rPr>
              <w:t>负责食堂厨房、餐厅区域卫生。</w:t>
            </w:r>
          </w:p>
        </w:tc>
      </w:tr>
      <w:tr w14:paraId="668E0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71EA996D">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sz w:val="24"/>
                <w:szCs w:val="24"/>
                <w:highlight w:val="none"/>
                <w:u w:val="none"/>
                <w:shd w:val="clear" w:color="auto" w:fill="auto"/>
              </w:rPr>
            </w:pPr>
            <w:r>
              <w:rPr>
                <w:rFonts w:hint="eastAsia" w:ascii="Times New Roman" w:hAnsi="Times New Roman" w:cs="Times New Roman"/>
                <w:b w:val="0"/>
                <w:bCs w:val="0"/>
                <w:i w:val="0"/>
                <w:iCs w:val="0"/>
                <w:color w:val="auto"/>
                <w:kern w:val="0"/>
                <w:sz w:val="24"/>
                <w:szCs w:val="24"/>
                <w:highlight w:val="none"/>
                <w:u w:val="none"/>
                <w:shd w:val="clear" w:color="auto" w:fill="auto"/>
                <w:lang w:val="en-US" w:eastAsia="zh-CN" w:bidi="ar"/>
              </w:rPr>
              <w:t>合计</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7E08444">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r>
              <w:rPr>
                <w:rFonts w:hint="eastAsia" w:ascii="Times New Roman" w:hAnsi="Times New Roman" w:cs="Times New Roman"/>
                <w:b w:val="0"/>
                <w:bCs w:val="0"/>
                <w:i w:val="0"/>
                <w:iCs w:val="0"/>
                <w:color w:val="auto"/>
                <w:kern w:val="0"/>
                <w:sz w:val="24"/>
                <w:szCs w:val="24"/>
                <w:highlight w:val="none"/>
                <w:u w:val="none"/>
                <w:shd w:val="clear" w:color="auto" w:fill="auto"/>
                <w:lang w:val="en-US" w:eastAsia="zh-CN" w:bidi="ar"/>
              </w:rPr>
              <w:t>38</w:t>
            </w:r>
          </w:p>
        </w:tc>
        <w:tc>
          <w:tcPr>
            <w:tcW w:w="4162" w:type="dxa"/>
            <w:tcBorders>
              <w:top w:val="single" w:color="000000" w:sz="4" w:space="0"/>
              <w:left w:val="single" w:color="000000" w:sz="4" w:space="0"/>
              <w:bottom w:val="single" w:color="000000" w:sz="4" w:space="0"/>
              <w:right w:val="single" w:color="000000" w:sz="4" w:space="0"/>
            </w:tcBorders>
            <w:noWrap w:val="0"/>
            <w:vAlign w:val="center"/>
          </w:tcPr>
          <w:p w14:paraId="42851387">
            <w:pPr>
              <w:keepNext w:val="0"/>
              <w:keepLines w:val="0"/>
              <w:pageBreakBefore w:val="0"/>
              <w:widowControl/>
              <w:suppressLineNumbers w:val="0"/>
              <w:kinsoku/>
              <w:wordWrap/>
              <w:overflowPunct/>
              <w:topLinePunct w:val="0"/>
              <w:autoSpaceDE/>
              <w:autoSpaceDN/>
              <w:bidi w:val="0"/>
              <w:adjustRightInd/>
              <w:snapToGrid/>
              <w:spacing w:line="536" w:lineRule="exact"/>
              <w:ind w:left="0" w:leftChars="0" w:firstLine="0" w:firstLineChars="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shd w:val="clear" w:color="auto" w:fill="auto"/>
                <w:lang w:val="en-US" w:eastAsia="zh-CN" w:bidi="ar"/>
              </w:rPr>
            </w:pPr>
          </w:p>
        </w:tc>
      </w:tr>
    </w:tbl>
    <w:p w14:paraId="7CB8E41D">
      <w:pPr>
        <w:kinsoku w:val="0"/>
        <w:adjustRightInd w:val="0"/>
        <w:snapToGrid w:val="0"/>
        <w:spacing w:line="560" w:lineRule="exact"/>
        <w:textAlignment w:val="baseline"/>
        <w:outlineLvl w:val="1"/>
        <w:rPr>
          <w:rFonts w:ascii="宋体" w:hAnsi="宋体" w:eastAsia="宋体" w:cs="宋体"/>
          <w:b/>
          <w:bCs/>
          <w:snapToGrid w:val="0"/>
          <w:color w:val="auto"/>
          <w:spacing w:val="-3"/>
          <w:kern w:val="0"/>
          <w:sz w:val="28"/>
          <w:szCs w:val="28"/>
          <w:highlight w:val="none"/>
          <w:lang w:eastAsia="en-US"/>
        </w:rPr>
      </w:pPr>
    </w:p>
    <w:p w14:paraId="100693D4">
      <w:pPr>
        <w:kinsoku w:val="0"/>
        <w:adjustRightInd w:val="0"/>
        <w:snapToGrid w:val="0"/>
        <w:spacing w:line="560" w:lineRule="exact"/>
        <w:jc w:val="center"/>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第三部分 合同期限、费用及考核验收</w:t>
      </w:r>
    </w:p>
    <w:p w14:paraId="139ACE2F">
      <w:pPr>
        <w:kinsoku w:val="0"/>
        <w:adjustRightInd w:val="0"/>
        <w:snapToGrid w:val="0"/>
        <w:spacing w:line="560"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第五条 合同服务期限</w:t>
      </w:r>
    </w:p>
    <w:p w14:paraId="4F3854D1">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服务期限预计为三年，即自2025年</w:t>
      </w:r>
      <w:r>
        <w:rPr>
          <w:rFonts w:hint="eastAsia" w:ascii="宋体" w:hAnsi="宋体" w:eastAsia="宋体" w:cs="宋体"/>
          <w:snapToGrid w:val="0"/>
          <w:color w:val="auto"/>
          <w:spacing w:val="-3"/>
          <w:kern w:val="0"/>
          <w:sz w:val="28"/>
          <w:szCs w:val="28"/>
          <w:highlight w:val="none"/>
          <w:lang w:val="en-US" w:eastAsia="zh-CN"/>
        </w:rPr>
        <w:t>X</w:t>
      </w:r>
      <w:r>
        <w:rPr>
          <w:rFonts w:hint="eastAsia" w:ascii="宋体" w:hAnsi="宋体" w:eastAsia="宋体" w:cs="宋体"/>
          <w:snapToGrid w:val="0"/>
          <w:color w:val="auto"/>
          <w:spacing w:val="-3"/>
          <w:kern w:val="0"/>
          <w:sz w:val="28"/>
          <w:szCs w:val="28"/>
          <w:highlight w:val="none"/>
        </w:rPr>
        <w:t>月</w:t>
      </w:r>
      <w:r>
        <w:rPr>
          <w:rFonts w:hint="eastAsia" w:ascii="宋体" w:hAnsi="宋体" w:eastAsia="宋体" w:cs="宋体"/>
          <w:snapToGrid w:val="0"/>
          <w:color w:val="auto"/>
          <w:spacing w:val="-3"/>
          <w:kern w:val="0"/>
          <w:sz w:val="28"/>
          <w:szCs w:val="28"/>
          <w:highlight w:val="none"/>
          <w:lang w:val="en-US" w:eastAsia="zh-CN"/>
        </w:rPr>
        <w:t>X</w:t>
      </w:r>
      <w:r>
        <w:rPr>
          <w:rFonts w:hint="eastAsia" w:ascii="宋体" w:hAnsi="宋体" w:eastAsia="宋体" w:cs="宋体"/>
          <w:snapToGrid w:val="0"/>
          <w:color w:val="auto"/>
          <w:spacing w:val="-3"/>
          <w:kern w:val="0"/>
          <w:sz w:val="28"/>
          <w:szCs w:val="28"/>
          <w:highlight w:val="none"/>
        </w:rPr>
        <w:t>日至2028年</w:t>
      </w:r>
      <w:r>
        <w:rPr>
          <w:rFonts w:hint="eastAsia" w:ascii="宋体" w:hAnsi="宋体" w:eastAsia="宋体" w:cs="宋体"/>
          <w:snapToGrid w:val="0"/>
          <w:color w:val="auto"/>
          <w:spacing w:val="-3"/>
          <w:kern w:val="0"/>
          <w:sz w:val="28"/>
          <w:szCs w:val="28"/>
          <w:highlight w:val="none"/>
          <w:lang w:val="en-US" w:eastAsia="zh-CN"/>
        </w:rPr>
        <w:t>X</w:t>
      </w:r>
      <w:r>
        <w:rPr>
          <w:rFonts w:hint="eastAsia" w:ascii="宋体" w:hAnsi="宋体" w:eastAsia="宋体" w:cs="宋体"/>
          <w:snapToGrid w:val="0"/>
          <w:color w:val="auto"/>
          <w:spacing w:val="-3"/>
          <w:kern w:val="0"/>
          <w:sz w:val="28"/>
          <w:szCs w:val="28"/>
          <w:highlight w:val="none"/>
        </w:rPr>
        <w:t>月</w:t>
      </w:r>
      <w:r>
        <w:rPr>
          <w:rFonts w:hint="eastAsia" w:ascii="宋体" w:hAnsi="宋体" w:eastAsia="宋体" w:cs="宋体"/>
          <w:snapToGrid w:val="0"/>
          <w:color w:val="auto"/>
          <w:spacing w:val="-3"/>
          <w:kern w:val="0"/>
          <w:sz w:val="28"/>
          <w:szCs w:val="28"/>
          <w:highlight w:val="none"/>
          <w:lang w:val="en-US" w:eastAsia="zh-CN"/>
        </w:rPr>
        <w:t>X</w:t>
      </w:r>
      <w:r>
        <w:rPr>
          <w:rFonts w:hint="eastAsia" w:ascii="宋体" w:hAnsi="宋体" w:eastAsia="宋体" w:cs="宋体"/>
          <w:snapToGrid w:val="0"/>
          <w:color w:val="auto"/>
          <w:spacing w:val="-3"/>
          <w:kern w:val="0"/>
          <w:sz w:val="28"/>
          <w:szCs w:val="28"/>
          <w:highlight w:val="none"/>
        </w:rPr>
        <w:t>日。服务合同一年一签，本合同为第一年即2025年</w:t>
      </w:r>
      <w:r>
        <w:rPr>
          <w:rFonts w:hint="eastAsia" w:ascii="宋体" w:hAnsi="宋体" w:eastAsia="宋体" w:cs="宋体"/>
          <w:snapToGrid w:val="0"/>
          <w:color w:val="auto"/>
          <w:spacing w:val="-3"/>
          <w:kern w:val="0"/>
          <w:sz w:val="28"/>
          <w:szCs w:val="28"/>
          <w:highlight w:val="none"/>
          <w:lang w:val="en-US" w:eastAsia="zh-CN"/>
        </w:rPr>
        <w:t>X</w:t>
      </w:r>
      <w:r>
        <w:rPr>
          <w:rFonts w:hint="eastAsia" w:ascii="宋体" w:hAnsi="宋体" w:eastAsia="宋体" w:cs="宋体"/>
          <w:snapToGrid w:val="0"/>
          <w:color w:val="auto"/>
          <w:spacing w:val="-3"/>
          <w:kern w:val="0"/>
          <w:sz w:val="28"/>
          <w:szCs w:val="28"/>
          <w:highlight w:val="none"/>
        </w:rPr>
        <w:t>月</w:t>
      </w:r>
      <w:r>
        <w:rPr>
          <w:rFonts w:hint="eastAsia" w:ascii="宋体" w:hAnsi="宋体" w:eastAsia="宋体" w:cs="宋体"/>
          <w:snapToGrid w:val="0"/>
          <w:color w:val="auto"/>
          <w:spacing w:val="-3"/>
          <w:kern w:val="0"/>
          <w:sz w:val="28"/>
          <w:szCs w:val="28"/>
          <w:highlight w:val="none"/>
          <w:lang w:val="en-US" w:eastAsia="zh-CN"/>
        </w:rPr>
        <w:t>X</w:t>
      </w:r>
      <w:r>
        <w:rPr>
          <w:rFonts w:hint="eastAsia" w:ascii="宋体" w:hAnsi="宋体" w:eastAsia="宋体" w:cs="宋体"/>
          <w:snapToGrid w:val="0"/>
          <w:color w:val="auto"/>
          <w:spacing w:val="-3"/>
          <w:kern w:val="0"/>
          <w:sz w:val="28"/>
          <w:szCs w:val="28"/>
          <w:highlight w:val="none"/>
        </w:rPr>
        <w:t>日至2026年</w:t>
      </w:r>
      <w:r>
        <w:rPr>
          <w:rFonts w:hint="eastAsia" w:ascii="宋体" w:hAnsi="宋体" w:eastAsia="宋体" w:cs="宋体"/>
          <w:snapToGrid w:val="0"/>
          <w:color w:val="auto"/>
          <w:spacing w:val="-3"/>
          <w:kern w:val="0"/>
          <w:sz w:val="28"/>
          <w:szCs w:val="28"/>
          <w:highlight w:val="none"/>
          <w:lang w:val="en-US" w:eastAsia="zh-CN"/>
        </w:rPr>
        <w:t>X</w:t>
      </w:r>
      <w:r>
        <w:rPr>
          <w:rFonts w:hint="eastAsia" w:ascii="宋体" w:hAnsi="宋体" w:eastAsia="宋体" w:cs="宋体"/>
          <w:snapToGrid w:val="0"/>
          <w:color w:val="auto"/>
          <w:spacing w:val="-3"/>
          <w:kern w:val="0"/>
          <w:sz w:val="28"/>
          <w:szCs w:val="28"/>
          <w:highlight w:val="none"/>
        </w:rPr>
        <w:t>月</w:t>
      </w:r>
      <w:r>
        <w:rPr>
          <w:rFonts w:hint="eastAsia" w:ascii="宋体" w:hAnsi="宋体" w:eastAsia="宋体" w:cs="宋体"/>
          <w:snapToGrid w:val="0"/>
          <w:color w:val="auto"/>
          <w:spacing w:val="-3"/>
          <w:kern w:val="0"/>
          <w:sz w:val="28"/>
          <w:szCs w:val="28"/>
          <w:highlight w:val="none"/>
          <w:lang w:val="en-US" w:eastAsia="zh-CN"/>
        </w:rPr>
        <w:t>X</w:t>
      </w:r>
      <w:r>
        <w:rPr>
          <w:rFonts w:hint="eastAsia" w:ascii="宋体" w:hAnsi="宋体" w:eastAsia="宋体" w:cs="宋体"/>
          <w:snapToGrid w:val="0"/>
          <w:color w:val="auto"/>
          <w:spacing w:val="-3"/>
          <w:kern w:val="0"/>
          <w:sz w:val="28"/>
          <w:szCs w:val="28"/>
          <w:highlight w:val="none"/>
        </w:rPr>
        <w:t>日期间的服务合同。在年度预算保障的前提下，乙方依据合同约定履约，且履约评价考核达标后可续签下年度服务合同，否则不再续签。</w:t>
      </w:r>
    </w:p>
    <w:p w14:paraId="1C687A04">
      <w:pPr>
        <w:kinsoku w:val="0"/>
        <w:adjustRightInd w:val="0"/>
        <w:snapToGrid w:val="0"/>
        <w:spacing w:line="560"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第六条 运行管理服务费用及支付</w:t>
      </w:r>
    </w:p>
    <w:p w14:paraId="43C8AD1B">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（一）运行管理服务费用采用包干制。2025年</w:t>
      </w:r>
      <w:r>
        <w:rPr>
          <w:rFonts w:hint="eastAsia" w:ascii="宋体" w:hAnsi="宋体" w:eastAsia="宋体" w:cs="宋体"/>
          <w:snapToGrid w:val="0"/>
          <w:color w:val="auto"/>
          <w:spacing w:val="-3"/>
          <w:kern w:val="0"/>
          <w:sz w:val="28"/>
          <w:szCs w:val="28"/>
          <w:highlight w:val="none"/>
          <w:lang w:val="en-US" w:eastAsia="zh-CN"/>
        </w:rPr>
        <w:t>XX</w:t>
      </w:r>
      <w:r>
        <w:rPr>
          <w:rFonts w:hint="eastAsia" w:ascii="宋体" w:hAnsi="宋体" w:eastAsia="宋体" w:cs="宋体"/>
          <w:snapToGrid w:val="0"/>
          <w:color w:val="auto"/>
          <w:spacing w:val="-3"/>
          <w:kern w:val="0"/>
          <w:sz w:val="28"/>
          <w:szCs w:val="28"/>
          <w:highlight w:val="none"/>
        </w:rPr>
        <w:t>月</w:t>
      </w:r>
      <w:r>
        <w:rPr>
          <w:rFonts w:hint="eastAsia" w:ascii="宋体" w:hAnsi="宋体" w:eastAsia="宋体" w:cs="宋体"/>
          <w:snapToGrid w:val="0"/>
          <w:color w:val="auto"/>
          <w:spacing w:val="-3"/>
          <w:kern w:val="0"/>
          <w:sz w:val="28"/>
          <w:szCs w:val="28"/>
          <w:highlight w:val="none"/>
          <w:lang w:val="en-US" w:eastAsia="zh-CN"/>
        </w:rPr>
        <w:t>XX</w:t>
      </w:r>
      <w:r>
        <w:rPr>
          <w:rFonts w:hint="eastAsia" w:ascii="宋体" w:hAnsi="宋体" w:eastAsia="宋体" w:cs="宋体"/>
          <w:snapToGrid w:val="0"/>
          <w:color w:val="auto"/>
          <w:spacing w:val="-3"/>
          <w:kern w:val="0"/>
          <w:sz w:val="28"/>
          <w:szCs w:val="28"/>
          <w:highlight w:val="none"/>
        </w:rPr>
        <w:t>日至2026年</w:t>
      </w:r>
      <w:r>
        <w:rPr>
          <w:rFonts w:hint="eastAsia" w:ascii="宋体" w:hAnsi="宋体" w:eastAsia="宋体" w:cs="宋体"/>
          <w:snapToGrid w:val="0"/>
          <w:color w:val="auto"/>
          <w:spacing w:val="-3"/>
          <w:kern w:val="0"/>
          <w:sz w:val="28"/>
          <w:szCs w:val="28"/>
          <w:highlight w:val="none"/>
          <w:lang w:val="en-US" w:eastAsia="zh-CN"/>
        </w:rPr>
        <w:t>XX</w:t>
      </w:r>
      <w:r>
        <w:rPr>
          <w:rFonts w:hint="eastAsia" w:ascii="宋体" w:hAnsi="宋体" w:eastAsia="宋体" w:cs="宋体"/>
          <w:snapToGrid w:val="0"/>
          <w:color w:val="auto"/>
          <w:spacing w:val="-3"/>
          <w:kern w:val="0"/>
          <w:sz w:val="28"/>
          <w:szCs w:val="28"/>
          <w:highlight w:val="none"/>
        </w:rPr>
        <w:t>月</w:t>
      </w:r>
      <w:r>
        <w:rPr>
          <w:rFonts w:hint="eastAsia" w:ascii="宋体" w:hAnsi="宋体" w:eastAsia="宋体" w:cs="宋体"/>
          <w:snapToGrid w:val="0"/>
          <w:color w:val="auto"/>
          <w:spacing w:val="-3"/>
          <w:kern w:val="0"/>
          <w:sz w:val="28"/>
          <w:szCs w:val="28"/>
          <w:highlight w:val="none"/>
          <w:lang w:val="en-US" w:eastAsia="zh-CN"/>
        </w:rPr>
        <w:t>XX</w:t>
      </w:r>
      <w:r>
        <w:rPr>
          <w:rFonts w:hint="eastAsia" w:ascii="宋体" w:hAnsi="宋体" w:eastAsia="宋体" w:cs="宋体"/>
          <w:snapToGrid w:val="0"/>
          <w:color w:val="auto"/>
          <w:spacing w:val="-3"/>
          <w:kern w:val="0"/>
          <w:sz w:val="28"/>
          <w:szCs w:val="28"/>
          <w:highlight w:val="none"/>
        </w:rPr>
        <w:t>日预算食堂运行管理服务费用总额为人民币</w:t>
      </w:r>
      <w:r>
        <w:rPr>
          <w:rFonts w:hint="eastAsia" w:ascii="宋体" w:hAnsi="宋体" w:eastAsia="宋体" w:cs="宋体"/>
          <w:snapToGrid w:val="0"/>
          <w:color w:val="auto"/>
          <w:spacing w:val="-3"/>
          <w:kern w:val="0"/>
          <w:sz w:val="28"/>
          <w:szCs w:val="28"/>
          <w:highlight w:val="none"/>
          <w:u w:val="single"/>
          <w:lang w:val="en-US" w:eastAsia="zh-CN"/>
        </w:rPr>
        <w:t>XXX</w:t>
      </w:r>
      <w:r>
        <w:rPr>
          <w:rFonts w:hint="eastAsia" w:ascii="宋体" w:hAnsi="宋体" w:eastAsia="宋体" w:cs="宋体"/>
          <w:snapToGrid w:val="0"/>
          <w:color w:val="auto"/>
          <w:spacing w:val="-3"/>
          <w:kern w:val="0"/>
          <w:sz w:val="28"/>
          <w:szCs w:val="28"/>
          <w:highlight w:val="none"/>
        </w:rPr>
        <w:t>元（含税），大写：</w:t>
      </w:r>
      <w:r>
        <w:rPr>
          <w:rFonts w:hint="eastAsia" w:ascii="宋体" w:hAnsi="宋体" w:eastAsia="宋体" w:cs="宋体"/>
          <w:snapToGrid w:val="0"/>
          <w:color w:val="auto"/>
          <w:spacing w:val="-3"/>
          <w:kern w:val="0"/>
          <w:sz w:val="28"/>
          <w:szCs w:val="28"/>
          <w:highlight w:val="none"/>
          <w:lang w:val="en-US" w:eastAsia="zh-CN"/>
        </w:rPr>
        <w:t xml:space="preserve">  </w:t>
      </w:r>
      <w:r>
        <w:rPr>
          <w:rFonts w:hint="eastAsia" w:ascii="宋体" w:hAnsi="宋体" w:eastAsia="宋体" w:cs="宋体"/>
          <w:snapToGrid w:val="0"/>
          <w:color w:val="auto"/>
          <w:spacing w:val="-3"/>
          <w:kern w:val="0"/>
          <w:sz w:val="28"/>
          <w:szCs w:val="28"/>
          <w:highlight w:val="none"/>
        </w:rPr>
        <w:t>。</w:t>
      </w:r>
    </w:p>
    <w:p w14:paraId="30FA08F2">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食堂运行管理服务项目采购服务费用包括但不限于以下开支：</w:t>
      </w:r>
    </w:p>
    <w:p w14:paraId="5105C2CA">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1．工作人员的工资、社会保险、体检、制服和按规定提取的福利费等；</w:t>
      </w:r>
    </w:p>
    <w:p w14:paraId="0C9CC9E3">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2．食堂区域清洁卫生及四害消杀费用；</w:t>
      </w:r>
    </w:p>
    <w:p w14:paraId="568D2552">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3．食堂卫生及食品安全管理费用；</w:t>
      </w:r>
    </w:p>
    <w:p w14:paraId="39E06FFE">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4．能源费用；</w:t>
      </w:r>
    </w:p>
    <w:p w14:paraId="63403C3B">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5．办公费用、小型维修费用、厨房餐具用具等易耗品费用；</w:t>
      </w:r>
    </w:p>
    <w:p w14:paraId="3FF8EA3B">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6．食堂区域内的服务费（含物业管理服务费等）；</w:t>
      </w:r>
    </w:p>
    <w:p w14:paraId="7A21E4CA">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7．其他费用。</w:t>
      </w:r>
    </w:p>
    <w:p w14:paraId="14C2AB67">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乙方按照上述标准收取食堂运行管理服务费用，并按采购需求中的食堂运行管理服务内容和服务标准提供服务，盈余或亏损由乙方享有或承担。</w:t>
      </w:r>
    </w:p>
    <w:p w14:paraId="058A8153">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二）2025年7月1日至2026年6月30日的运行管理服务费用按月支付，预算月服务费用为【具体金额】元（含税），实际应付金额按下述第（三）项约定确定支付；如遇付款方式发生调整，双方可进行友好协商，因财政拨款、内部审批等原因导致甲方迟延履行付款义务的，乙方表示理解并保证不向甲方主张任何违约付款责任。</w:t>
      </w:r>
    </w:p>
    <w:p w14:paraId="7DBC598F">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（三）甲方依据食堂管理标准每月对乙方进行服务考核。</w:t>
      </w:r>
    </w:p>
    <w:p w14:paraId="625C38D5">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验收考核具体如下（考核标准详见附件1）：</w:t>
      </w:r>
    </w:p>
    <w:p w14:paraId="0F896A68">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考核总分值为100分，每月对服务方进行综合量化考核，并确定分值，根据考核分值确定服务费用扣除金额。扣除标准如下：</w:t>
      </w:r>
    </w:p>
    <w:p w14:paraId="1E401BA9">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（1）低于</w:t>
      </w:r>
      <w:r>
        <w:rPr>
          <w:rFonts w:ascii="宋体" w:hAnsi="宋体" w:eastAsia="宋体" w:cs="宋体"/>
          <w:snapToGrid w:val="0"/>
          <w:color w:val="auto"/>
          <w:spacing w:val="-3"/>
          <w:kern w:val="0"/>
          <w:sz w:val="28"/>
          <w:szCs w:val="28"/>
          <w:highlight w:val="none"/>
        </w:rPr>
        <w:t>85分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lang w:val="en-US" w:eastAsia="zh-CN"/>
        </w:rPr>
        <w:t>不含85分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rPr>
        <w:t>，扣除提供商当月2%的服务费；</w:t>
      </w:r>
    </w:p>
    <w:p w14:paraId="20F71F94">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（2）低于</w:t>
      </w:r>
      <w:r>
        <w:rPr>
          <w:rFonts w:ascii="宋体" w:hAnsi="宋体" w:eastAsia="宋体" w:cs="宋体"/>
          <w:snapToGrid w:val="0"/>
          <w:color w:val="auto"/>
          <w:spacing w:val="-3"/>
          <w:kern w:val="0"/>
          <w:sz w:val="28"/>
          <w:szCs w:val="28"/>
          <w:highlight w:val="none"/>
          <w:lang w:eastAsia="zh-CN"/>
        </w:rPr>
        <w:t>75分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lang w:val="en-US" w:eastAsia="zh-CN"/>
        </w:rPr>
        <w:t>不含75分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rPr>
        <w:t>，扣除提供商当月5%的服务费；</w:t>
      </w:r>
    </w:p>
    <w:p w14:paraId="45D6F78D">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（3）低于</w:t>
      </w:r>
      <w:r>
        <w:rPr>
          <w:rFonts w:ascii="宋体" w:hAnsi="宋体" w:eastAsia="宋体" w:cs="宋体"/>
          <w:snapToGrid w:val="0"/>
          <w:color w:val="auto"/>
          <w:spacing w:val="-3"/>
          <w:kern w:val="0"/>
          <w:sz w:val="28"/>
          <w:szCs w:val="28"/>
          <w:highlight w:val="none"/>
          <w:lang w:eastAsia="zh-CN"/>
        </w:rPr>
        <w:t>60分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lang w:val="en-US" w:eastAsia="zh-CN"/>
        </w:rPr>
        <w:t>不含60分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rPr>
        <w:t>，扣除提供商当月10%的服务费。</w:t>
      </w:r>
    </w:p>
    <w:p w14:paraId="65F3F89B">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四）乙方根据甲方验收结果及双方协商一致的扣除标准确定上月服务费后，于每月28日前按确定的上月服务费用提供税务发票给甲方，甲方收到乙方发票后20个工作日内一次性转账支付上个月的管理服务费用给乙方。指定收款账户信息如下：</w:t>
      </w:r>
    </w:p>
    <w:p w14:paraId="3C3974F2">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公司名称：【公司全称】</w:t>
      </w:r>
    </w:p>
    <w:p w14:paraId="0E74DEBC">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开户行及账户：【完整开户行名称及银行账户】</w:t>
      </w:r>
    </w:p>
    <w:p w14:paraId="55F2083F">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甲方开票信息：</w:t>
      </w:r>
    </w:p>
    <w:p w14:paraId="1D8ACE37">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单位名称：三亚市机关事务管理服务中心</w:t>
      </w:r>
    </w:p>
    <w:p w14:paraId="6B89AADF">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纳税人识别号：12460200MB1E017293</w:t>
      </w:r>
    </w:p>
    <w:p w14:paraId="1FF178F6">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地址：三亚市吉阳区春河小区2区</w:t>
      </w:r>
    </w:p>
    <w:p w14:paraId="36D1130E">
      <w:pPr>
        <w:kinsoku w:val="0"/>
        <w:adjustRightInd w:val="0"/>
        <w:snapToGrid w:val="0"/>
        <w:spacing w:line="560"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电话：0898-88827236</w:t>
      </w:r>
    </w:p>
    <w:p w14:paraId="531B2ACC">
      <w:pPr>
        <w:kinsoku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（五）除本合同食堂运行管理服务费以外，如增加食堂设备设施、设备设施大中修及更新改造等，所发生的费用均由甲方承担，食堂设备设施维护保养的费用均由乙方承担。</w:t>
      </w:r>
    </w:p>
    <w:p w14:paraId="01E6B2AD">
      <w:pPr>
        <w:kinsoku w:val="0"/>
        <w:adjustRightInd w:val="0"/>
        <w:snapToGrid w:val="0"/>
        <w:spacing w:line="560" w:lineRule="exact"/>
        <w:jc w:val="center"/>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第四部分 项目的承接验收</w:t>
      </w:r>
    </w:p>
    <w:p w14:paraId="2E54D67C">
      <w:pPr>
        <w:kinsoku w:val="0"/>
        <w:adjustRightInd w:val="0"/>
        <w:snapToGrid w:val="0"/>
        <w:spacing w:line="578" w:lineRule="exact"/>
        <w:ind w:firstLine="550"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第七条 </w:t>
      </w:r>
      <w:r>
        <w:rPr>
          <w:rFonts w:hint="eastAsia" w:ascii="宋体" w:hAnsi="宋体" w:eastAsia="宋体" w:cs="宋体"/>
          <w:snapToGrid w:val="0"/>
          <w:color w:val="auto"/>
          <w:spacing w:val="-3"/>
          <w:kern w:val="0"/>
          <w:sz w:val="28"/>
          <w:szCs w:val="28"/>
          <w:highlight w:val="none"/>
        </w:rPr>
        <w:t>乙方承接食堂运行管理项目时，甲方应配合乙方对以下共用部位、共用设施设备进行查验：</w:t>
      </w:r>
    </w:p>
    <w:p w14:paraId="55CB0038">
      <w:pPr>
        <w:kinsoku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(一)食堂内餐具、厨具等设备；</w:t>
      </w:r>
    </w:p>
    <w:p w14:paraId="421F28D1">
      <w:pPr>
        <w:kinsoku w:val="0"/>
        <w:adjustRightInd w:val="0"/>
        <w:snapToGrid w:val="0"/>
        <w:spacing w:line="578" w:lineRule="exact"/>
        <w:ind w:firstLine="548"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(二)食堂公共区域内设备设施。</w:t>
      </w:r>
    </w:p>
    <w:p w14:paraId="22FCACE7">
      <w:pPr>
        <w:kinsoku w:val="0"/>
        <w:adjustRightInd w:val="0"/>
        <w:snapToGrid w:val="0"/>
        <w:spacing w:line="578" w:lineRule="exact"/>
        <w:ind w:firstLine="550"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第八条 </w:t>
      </w:r>
      <w:r>
        <w:rPr>
          <w:rFonts w:hint="eastAsia" w:ascii="宋体" w:hAnsi="宋体" w:eastAsia="宋体" w:cs="宋体"/>
          <w:snapToGrid w:val="0"/>
          <w:color w:val="auto"/>
          <w:spacing w:val="-3"/>
          <w:kern w:val="0"/>
          <w:sz w:val="28"/>
          <w:szCs w:val="28"/>
          <w:highlight w:val="none"/>
        </w:rPr>
        <w:t>对于本合同签订后承接的项目共用部位、共用设施设备，甲乙双方应按照前条规定进行查验并签订确认书，作为界定甲方和乙方承担责任的依据。</w:t>
      </w:r>
    </w:p>
    <w:p w14:paraId="5125CFD8">
      <w:pPr>
        <w:kinsoku w:val="0"/>
        <w:adjustRightInd w:val="0"/>
        <w:snapToGrid w:val="0"/>
        <w:spacing w:line="578" w:lineRule="exact"/>
        <w:ind w:firstLine="550" w:firstLineChars="200"/>
        <w:textAlignment w:val="baseline"/>
        <w:outlineLvl w:val="1"/>
        <w:rPr>
          <w:rFonts w:ascii="宋体" w:hAnsi="宋体" w:eastAsia="宋体" w:cs="宋体"/>
          <w:snapToGrid w:val="0"/>
          <w:color w:val="auto"/>
          <w:spacing w:val="-3"/>
          <w:kern w:val="0"/>
          <w:sz w:val="28"/>
          <w:szCs w:val="28"/>
          <w:highlight w:val="none"/>
          <w:lang w:eastAsia="zh-CN"/>
        </w:rPr>
      </w:pPr>
      <w:r>
        <w:rPr>
          <w:rFonts w:hint="eastAsia" w:ascii="宋体" w:hAnsi="宋体" w:eastAsia="宋体" w:cs="宋体"/>
          <w:b/>
          <w:bCs/>
          <w:snapToGrid w:val="0"/>
          <w:color w:val="auto"/>
          <w:spacing w:val="-3"/>
          <w:kern w:val="0"/>
          <w:sz w:val="28"/>
          <w:szCs w:val="28"/>
          <w:highlight w:val="none"/>
        </w:rPr>
        <w:t xml:space="preserve">第九条 </w:t>
      </w:r>
      <w:r>
        <w:rPr>
          <w:rFonts w:hint="eastAsia" w:ascii="宋体" w:hAnsi="宋体" w:eastAsia="宋体" w:cs="宋体"/>
          <w:snapToGrid w:val="0"/>
          <w:color w:val="auto"/>
          <w:spacing w:val="-3"/>
          <w:kern w:val="0"/>
          <w:sz w:val="28"/>
          <w:szCs w:val="28"/>
          <w:highlight w:val="none"/>
        </w:rPr>
        <w:t>乙方按前述条款约定签订确认书查收相关设施设备后，即视为甲方交付乙方的设施设备均属正常适用状态，乙方应依法依约及依行业规范使用及维护保养。</w:t>
      </w:r>
    </w:p>
    <w:p w14:paraId="3CBEE849">
      <w:pPr>
        <w:kinsoku w:val="0"/>
        <w:adjustRightInd w:val="0"/>
        <w:snapToGrid w:val="0"/>
        <w:spacing w:line="578" w:lineRule="exact"/>
        <w:ind w:firstLine="550" w:firstLineChars="200"/>
        <w:jc w:val="center"/>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第五部分 设备设施的使用与维护</w:t>
      </w:r>
    </w:p>
    <w:p w14:paraId="5F09959F">
      <w:pPr>
        <w:kinsoku w:val="0"/>
        <w:adjustRightInd w:val="0"/>
        <w:snapToGrid w:val="0"/>
        <w:spacing w:line="578" w:lineRule="exact"/>
        <w:ind w:firstLine="550"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第十条 </w:t>
      </w:r>
      <w:r>
        <w:rPr>
          <w:rFonts w:hint="eastAsia" w:ascii="宋体" w:hAnsi="宋体" w:eastAsia="宋体" w:cs="宋体"/>
          <w:snapToGrid w:val="0"/>
          <w:color w:val="auto"/>
          <w:spacing w:val="-3"/>
          <w:kern w:val="0"/>
          <w:sz w:val="28"/>
          <w:szCs w:val="28"/>
          <w:highlight w:val="none"/>
        </w:rPr>
        <w:t>乙方应配合甲方制定食堂管理区域内共用部位和共用设施设备的使用、环境卫生的维护等方面的规章制度。</w:t>
      </w:r>
    </w:p>
    <w:p w14:paraId="5F43ABFC">
      <w:pPr>
        <w:kinsoku w:val="0"/>
        <w:adjustRightInd w:val="0"/>
        <w:snapToGrid w:val="0"/>
        <w:spacing w:line="578" w:lineRule="exact"/>
        <w:ind w:firstLine="550"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第十一条 </w:t>
      </w:r>
      <w:r>
        <w:rPr>
          <w:rFonts w:hint="eastAsia" w:ascii="宋体" w:hAnsi="宋体" w:eastAsia="宋体" w:cs="宋体"/>
          <w:snapToGrid w:val="0"/>
          <w:color w:val="auto"/>
          <w:spacing w:val="-3"/>
          <w:kern w:val="0"/>
          <w:sz w:val="28"/>
          <w:szCs w:val="28"/>
          <w:highlight w:val="none"/>
        </w:rPr>
        <w:t>乙方根据规章制度提供管理服务时，甲方和客户应给予必要配合。</w:t>
      </w:r>
    </w:p>
    <w:p w14:paraId="63BBB66A">
      <w:pPr>
        <w:kinsoku w:val="0"/>
        <w:adjustRightInd w:val="0"/>
        <w:snapToGrid w:val="0"/>
        <w:spacing w:line="578" w:lineRule="exact"/>
        <w:ind w:firstLine="550"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第十二条 </w:t>
      </w:r>
      <w:r>
        <w:rPr>
          <w:rFonts w:hint="eastAsia" w:ascii="宋体" w:hAnsi="宋体" w:eastAsia="宋体" w:cs="宋体"/>
          <w:snapToGrid w:val="0"/>
          <w:color w:val="auto"/>
          <w:spacing w:val="-3"/>
          <w:kern w:val="0"/>
          <w:sz w:val="28"/>
          <w:szCs w:val="28"/>
          <w:highlight w:val="none"/>
        </w:rPr>
        <w:t>乙方可采取规劝、发出书面整改通知等必要措施，制止客户违反食堂管理区域内食堂管理规章制度的行为。</w:t>
      </w:r>
    </w:p>
    <w:p w14:paraId="284DDB07">
      <w:pPr>
        <w:kinsoku w:val="0"/>
        <w:adjustRightInd w:val="0"/>
        <w:snapToGrid w:val="0"/>
        <w:spacing w:line="578" w:lineRule="exact"/>
        <w:ind w:firstLine="550"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第十三条 </w:t>
      </w:r>
      <w:r>
        <w:rPr>
          <w:rFonts w:hint="eastAsia" w:ascii="宋体" w:hAnsi="宋体" w:eastAsia="宋体" w:cs="宋体"/>
          <w:snapToGrid w:val="0"/>
          <w:color w:val="auto"/>
          <w:spacing w:val="-3"/>
          <w:kern w:val="0"/>
          <w:sz w:val="28"/>
          <w:szCs w:val="28"/>
          <w:highlight w:val="none"/>
        </w:rPr>
        <w:t>乙方应及时向甲方和客户通告食堂管理区域内有关食堂管理的重大事项，及时处理客户的投诉，接受甲方和客户的监督。</w:t>
      </w:r>
    </w:p>
    <w:p w14:paraId="235B6A07">
      <w:pPr>
        <w:kinsoku w:val="0"/>
        <w:adjustRightInd w:val="0"/>
        <w:snapToGrid w:val="0"/>
        <w:spacing w:line="578" w:lineRule="exact"/>
        <w:ind w:firstLine="550" w:firstLineChars="200"/>
        <w:textAlignment w:val="baseline"/>
        <w:outlineLvl w:val="1"/>
        <w:rPr>
          <w:rFonts w:ascii="宋体" w:hAnsi="宋体" w:eastAsia="宋体" w:cs="宋体"/>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第十四条 </w:t>
      </w:r>
      <w:r>
        <w:rPr>
          <w:rFonts w:hint="eastAsia" w:ascii="宋体" w:hAnsi="宋体" w:eastAsia="宋体" w:cs="宋体"/>
          <w:snapToGrid w:val="0"/>
          <w:color w:val="auto"/>
          <w:spacing w:val="-3"/>
          <w:kern w:val="0"/>
          <w:sz w:val="28"/>
          <w:szCs w:val="28"/>
          <w:highlight w:val="none"/>
        </w:rPr>
        <w:t>因项目区域已完成装修，乙方应严格按规定禁止进行二次装饰装修。</w:t>
      </w:r>
    </w:p>
    <w:p w14:paraId="735BFDD8">
      <w:pPr>
        <w:kinsoku w:val="0"/>
        <w:adjustRightInd w:val="0"/>
        <w:snapToGrid w:val="0"/>
        <w:spacing w:line="578" w:lineRule="exact"/>
        <w:ind w:firstLine="550" w:firstLineChars="200"/>
        <w:jc w:val="center"/>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第六部分 双方的权利义务</w:t>
      </w:r>
    </w:p>
    <w:p w14:paraId="478BEBCB">
      <w:pPr>
        <w:kinsoku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第十五条 甲方的权利和义务</w:t>
      </w:r>
    </w:p>
    <w:p w14:paraId="1FE27D9B">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（一）审定乙方制定的食堂管理服务方案；</w:t>
      </w:r>
    </w:p>
    <w:p w14:paraId="5F02D2FB">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（二）对食堂管理活动进行考核、监督与指导，有权对食堂管理实施情况提出意见、建议及整改措施；</w:t>
      </w:r>
    </w:p>
    <w:p w14:paraId="39FA35DB">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（三）审定乙方拟订的食堂管理各项规章和制度，并检查监督乙方对各项规章制度的执行情况；</w:t>
      </w:r>
    </w:p>
    <w:p w14:paraId="528BE24F">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（四）对乙方分包专业公司的食堂管理事项享有监督、管理权，且有权拒绝不具有相关资质或给甲方造成任何不利影响的分包专业公司向甲方提供服务，相应后果均由乙方承担；</w:t>
      </w:r>
    </w:p>
    <w:p w14:paraId="188C7012">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（五）乙方按时保质履约的，甲方应按时足额向乙方支付食堂运行管理服务的各项费用；</w:t>
      </w:r>
    </w:p>
    <w:p w14:paraId="5B0A24C3">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（六）甲方为乙方提供必要的食堂管理用房及宿舍等办公场所和物资；</w:t>
      </w:r>
    </w:p>
    <w:p w14:paraId="28F1AF94">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lang w:eastAsia="zh-CN"/>
        </w:rPr>
      </w:pPr>
      <w:r>
        <w:rPr>
          <w:rFonts w:hint="eastAsia" w:ascii="宋体" w:hAnsi="宋体" w:eastAsia="宋体" w:cs="宋体"/>
          <w:snapToGrid w:val="0"/>
          <w:color w:val="auto"/>
          <w:spacing w:val="-3"/>
          <w:kern w:val="0"/>
          <w:sz w:val="28"/>
          <w:szCs w:val="28"/>
          <w:highlight w:val="none"/>
          <w:lang w:eastAsia="zh-CN"/>
        </w:rPr>
        <w:t>（七）</w:t>
      </w:r>
      <w:r>
        <w:rPr>
          <w:rFonts w:hint="eastAsia" w:ascii="宋体" w:hAnsi="宋体" w:eastAsia="宋体" w:cs="宋体"/>
          <w:snapToGrid w:val="0"/>
          <w:color w:val="auto"/>
          <w:spacing w:val="-1"/>
          <w:sz w:val="28"/>
          <w:szCs w:val="28"/>
          <w:highlight w:val="none"/>
        </w:rPr>
        <w:t>甲方全权对餐厅的工作实施统一的监督、管理；</w:t>
      </w:r>
    </w:p>
    <w:p w14:paraId="4E4BA822">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1. 甲方对餐厅工作实施统一监督、指导、考核，包括但不限于食品安全及卫生、饭菜质量、安全管理、设备维护保养、前厅服务、清洁卫生、人员变动、个人卫生等方面。有权针对发现问题要求乙方改进或限期整改，乙方应在24小时内以书面形式向甲方反馈整改措施并经甲方书面确认。</w:t>
      </w:r>
    </w:p>
    <w:p w14:paraId="4E74A1C9">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2. 甲方负责提供厨房、餐厅、厨具、厨房设备、餐具，如需新增厨房餐具用具等易耗品，则由乙方购买。</w:t>
      </w:r>
    </w:p>
    <w:p w14:paraId="7E271E99">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3. 甲方有权要求乙方更换不合格厨师和服务人员。对于甲方要求更换的人员，乙方应在一周内完成更换。</w:t>
      </w:r>
    </w:p>
    <w:p w14:paraId="56B61066">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4. 在自身职责范围内协助乙方办理卫生许可证审批及年检手续，相关费用由乙方承担。</w:t>
      </w:r>
    </w:p>
    <w:p w14:paraId="19A77B56">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（八）合同期间，甲方有权对乙方提供的服务进行抽查和检查，对检查过程中发现的问题，甲方有权要求乙方进行整改；</w:t>
      </w:r>
    </w:p>
    <w:p w14:paraId="639A63BC">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（九）甲方有权要求乙方撤换不称职的人员；</w:t>
      </w:r>
    </w:p>
    <w:p w14:paraId="15629682">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（十）其他相关法律法规规定的权利和义务。</w:t>
      </w:r>
    </w:p>
    <w:p w14:paraId="43F6EB1C">
      <w:pPr>
        <w:kinsoku w:val="0"/>
        <w:adjustRightInd w:val="0"/>
        <w:snapToGrid w:val="0"/>
        <w:spacing w:line="578" w:lineRule="exact"/>
        <w:ind w:firstLine="550" w:firstLineChars="200"/>
        <w:textAlignment w:val="baseline"/>
        <w:outlineLvl w:val="1"/>
        <w:rPr>
          <w:rFonts w:ascii="宋体" w:hAnsi="宋体" w:eastAsia="宋体" w:cs="宋体"/>
          <w:b/>
          <w:bCs/>
          <w:snapToGrid w:val="0"/>
          <w:color w:val="auto"/>
          <w:spacing w:val="-3"/>
          <w:kern w:val="0"/>
          <w:sz w:val="28"/>
          <w:szCs w:val="28"/>
          <w:highlight w:val="none"/>
        </w:rPr>
      </w:pPr>
      <w:r>
        <w:rPr>
          <w:rFonts w:hint="eastAsia" w:ascii="宋体" w:hAnsi="宋体" w:eastAsia="宋体" w:cs="宋体"/>
          <w:b/>
          <w:bCs/>
          <w:snapToGrid w:val="0"/>
          <w:color w:val="auto"/>
          <w:spacing w:val="-3"/>
          <w:kern w:val="0"/>
          <w:sz w:val="28"/>
          <w:szCs w:val="28"/>
          <w:highlight w:val="none"/>
        </w:rPr>
        <w:t>第十六条 乙方的权利和义务</w:t>
      </w:r>
    </w:p>
    <w:p w14:paraId="0786C5DC">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（一）根据甲方的委托和法律法规及本合同的约定，在本项目区域内提供食堂等管理服务；</w:t>
      </w:r>
    </w:p>
    <w:p w14:paraId="4BC1A527">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（二）按双方约定的服务标准向甲方提供服务，在按时保质履行本合同项下约定内容的基础上，向甲方收取食堂运行管理服务费；</w:t>
      </w:r>
    </w:p>
    <w:p w14:paraId="1107E173">
      <w:pPr>
        <w:spacing w:line="578" w:lineRule="exact"/>
        <w:ind w:firstLine="548" w:firstLineChars="200"/>
        <w:jc w:val="left"/>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三）根据《三亚市财政局关于做好832平台采购份额预留和购销工作的通知》（三财〔2021〕551号）文件要求，乙方预留本项目服务期食堂食材采购额的10%，通过脱贫地区农副产品网络销售平台（原贫困地区农副产品网络销售平台，简称“832平台”）采购脱贫地区农副产品。本合同服务期第二年食堂食材采购额预留比例未确定，以服务期第二年上级扶贫脱贫工作通知要求为准。必须严格执行此规定。三亚市级区级政府发布的助农扶贫采购活动，成交供应商必须参与助农扶贫活动的兜底。兜底金额以实际活动产生金额为准。</w:t>
      </w:r>
    </w:p>
    <w:p w14:paraId="572B8C11">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（四）根据有关法律法规及本合同的约定，拟定食堂运行服务方案、管理规章制度，经甲方确认后执行；</w:t>
      </w:r>
    </w:p>
    <w:p w14:paraId="5B198B87">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（五）挑选政治可靠、品质优秀、技术熟练、礼仪得体的人员为甲方提供服务；乙方应根据甲方的要求及时调换不适合在甲方工作的服务人员；</w:t>
      </w:r>
    </w:p>
    <w:p w14:paraId="0D4F65A1">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（六）经甲方同意后，可以选聘专业性服务企业承担本项目区域内的专项服务项目，但不得将本项目区域内的全部食堂运行管理服务委托给第三方；</w:t>
      </w:r>
    </w:p>
    <w:p w14:paraId="32FADC13">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（七）乙方须接受甲方对食堂运行管理日常工作的检查、监督和指导；若甲方检查发现不合格项，乙方应按要求立即整改；对于甲方提出的问题，乙方需提出解决方案，经甲方同意后实施；</w:t>
      </w:r>
    </w:p>
    <w:p w14:paraId="6CC3BC45">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（八）乙方派遣至甲方的岗位人员必须按照国家有关部门的要求，具备从事岗位工作的相应技能和资格，乙方应对其工作人员进行安全教育、培训，并形成安全培训记录；</w:t>
      </w:r>
    </w:p>
    <w:p w14:paraId="13D8306D">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（九）对客户违反本食堂运行管理规定的行为，有权进行规劝和制止，如发现客户有重大违规而又无法制止时，及时向甲方报告，并由甲方负责处理；</w:t>
      </w:r>
    </w:p>
    <w:p w14:paraId="405D5728">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（十）乙方设立专门的服务、投诉电话，受理服务咨询和投诉，乙方应将对投诉事件的处理结果及时书面报告甲方，并接受甲方的监督和指导；</w:t>
      </w:r>
    </w:p>
    <w:p w14:paraId="2A037ABD">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（十一）对食堂设施设备不得擅自占用和改变使用功能，如需在本项目内改、扩建或完善配套项目，须经甲方书面同意后报有关部门批准实施；</w:t>
      </w:r>
    </w:p>
    <w:p w14:paraId="501DB80B">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(十二）因乙方或乙方人员造成甲方、甲方人员或第三方人员人身损害、财产损失或其他损失的，乙方承担赔偿责任；</w:t>
      </w:r>
    </w:p>
    <w:p w14:paraId="32B26D95">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（十三）遵守甲方保密规定，并有义务根据甲方要求签订保密合同；</w:t>
      </w:r>
    </w:p>
    <w:p w14:paraId="6CC6F595">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（十四）乙方需依据相关法律法规和行业规范，制定切实可行的规章制度，并严格执行；</w:t>
      </w:r>
    </w:p>
    <w:p w14:paraId="53463E3B">
      <w:pPr>
        <w:kinsoku w:val="0"/>
        <w:autoSpaceDE w:val="0"/>
        <w:autoSpaceDN w:val="0"/>
        <w:adjustRightInd w:val="0"/>
        <w:snapToGrid w:val="0"/>
        <w:spacing w:line="578" w:lineRule="exact"/>
        <w:ind w:firstLine="548" w:firstLineChars="200"/>
        <w:textAlignment w:val="baseline"/>
        <w:rPr>
          <w:rFonts w:ascii="宋体" w:hAnsi="宋体" w:eastAsia="宋体" w:cs="宋体"/>
          <w:snapToGrid w:val="0"/>
          <w:color w:val="auto"/>
          <w:spacing w:val="-3"/>
          <w:kern w:val="0"/>
          <w:sz w:val="28"/>
          <w:szCs w:val="28"/>
          <w:highlight w:val="none"/>
        </w:rPr>
      </w:pPr>
      <w:r>
        <w:rPr>
          <w:rFonts w:hint="eastAsia" w:ascii="宋体" w:hAnsi="宋体" w:eastAsia="宋体" w:cs="宋体"/>
          <w:snapToGrid w:val="0"/>
          <w:color w:val="auto"/>
          <w:spacing w:val="-3"/>
          <w:kern w:val="0"/>
          <w:sz w:val="28"/>
          <w:szCs w:val="28"/>
          <w:highlight w:val="none"/>
        </w:rPr>
        <w:t>（十五）其他相关法律法规规定的权利和义务。</w:t>
      </w:r>
    </w:p>
    <w:p w14:paraId="4CDAF918">
      <w:pPr>
        <w:kinsoku w:val="0"/>
        <w:adjustRightInd w:val="0"/>
        <w:snapToGrid w:val="0"/>
        <w:spacing w:line="578" w:lineRule="exact"/>
        <w:jc w:val="center"/>
        <w:textAlignment w:val="baseline"/>
        <w:rPr>
          <w:rFonts w:ascii="宋体" w:hAnsi="宋体" w:eastAsia="宋体" w:cs="宋体"/>
          <w:b/>
          <w:bCs/>
          <w:snapToGrid w:val="0"/>
          <w:color w:val="auto"/>
          <w:spacing w:val="-4"/>
          <w:kern w:val="0"/>
          <w:sz w:val="28"/>
          <w:szCs w:val="28"/>
          <w:highlight w:val="none"/>
        </w:rPr>
      </w:pPr>
      <w:r>
        <w:rPr>
          <w:rFonts w:hint="eastAsia" w:ascii="宋体" w:hAnsi="宋体" w:eastAsia="宋体" w:cs="宋体"/>
          <w:b/>
          <w:bCs/>
          <w:snapToGrid w:val="0"/>
          <w:color w:val="auto"/>
          <w:spacing w:val="-4"/>
          <w:kern w:val="0"/>
          <w:sz w:val="28"/>
          <w:szCs w:val="28"/>
          <w:highlight w:val="none"/>
        </w:rPr>
        <w:t>第七部分 违约责任</w:t>
      </w:r>
    </w:p>
    <w:p w14:paraId="178BA8B5">
      <w:pPr>
        <w:spacing w:line="578" w:lineRule="exact"/>
        <w:ind w:firstLine="550" w:firstLineChars="200"/>
        <w:rPr>
          <w:rFonts w:ascii="仿宋" w:hAnsi="仿宋" w:eastAsia="宋体" w:cs="仿宋"/>
          <w:color w:val="auto"/>
          <w:sz w:val="28"/>
          <w:szCs w:val="30"/>
          <w:highlight w:val="none"/>
        </w:rPr>
      </w:pPr>
      <w:r>
        <w:rPr>
          <w:rFonts w:hint="eastAsia" w:ascii="宋体" w:hAnsi="宋体" w:eastAsia="宋体" w:cs="宋体"/>
          <w:b/>
          <w:bCs/>
          <w:snapToGrid w:val="0"/>
          <w:color w:val="auto"/>
          <w:spacing w:val="-3"/>
          <w:kern w:val="0"/>
          <w:sz w:val="28"/>
          <w:szCs w:val="28"/>
          <w:highlight w:val="none"/>
        </w:rPr>
        <w:t>第十七条</w:t>
      </w:r>
      <w:r>
        <w:rPr>
          <w:rFonts w:hint="eastAsia" w:ascii="仿宋" w:hAnsi="仿宋" w:eastAsia="宋体" w:cs="仿宋"/>
          <w:color w:val="auto"/>
          <w:sz w:val="28"/>
          <w:szCs w:val="30"/>
          <w:highlight w:val="none"/>
        </w:rPr>
        <w:t>如出现如下情形，甲方有权解除本合同，乙方应承担由此产生的一切损失及责任，</w:t>
      </w:r>
      <w:r>
        <w:rPr>
          <w:rFonts w:hint="eastAsia" w:ascii="宋体" w:hAnsi="宋体" w:eastAsia="宋体" w:cs="宋体"/>
          <w:snapToGrid w:val="0"/>
          <w:color w:val="auto"/>
          <w:spacing w:val="-4"/>
          <w:sz w:val="28"/>
          <w:szCs w:val="28"/>
          <w:highlight w:val="none"/>
        </w:rPr>
        <w:t>损失赔偿范围包括但不限于甲方向第三方支付的赔偿款、处理违约事件发生的调查费、诉讼费、律师费、保全费、担保费、公证费等全部费用，同时乙方需按合同约定年服务费用的</w:t>
      </w:r>
      <w:r>
        <w:rPr>
          <w:rFonts w:hint="eastAsia" w:ascii="宋体" w:hAnsi="宋体" w:eastAsia="宋体" w:cs="宋体"/>
          <w:color w:val="auto"/>
          <w:spacing w:val="-4"/>
          <w:sz w:val="28"/>
          <w:szCs w:val="28"/>
          <w:highlight w:val="none"/>
        </w:rPr>
        <w:t>30%</w:t>
      </w:r>
      <w:r>
        <w:rPr>
          <w:rFonts w:hint="eastAsia" w:ascii="宋体" w:hAnsi="宋体" w:eastAsia="宋体" w:cs="宋体"/>
          <w:snapToGrid w:val="0"/>
          <w:color w:val="auto"/>
          <w:spacing w:val="-4"/>
          <w:sz w:val="28"/>
          <w:szCs w:val="28"/>
          <w:highlight w:val="none"/>
        </w:rPr>
        <w:t>向甲方支付违约金。</w:t>
      </w:r>
    </w:p>
    <w:p w14:paraId="150C4784">
      <w:pPr>
        <w:spacing w:line="578" w:lineRule="exact"/>
        <w:ind w:firstLine="560" w:firstLineChars="200"/>
        <w:rPr>
          <w:rFonts w:ascii="仿宋" w:hAnsi="仿宋" w:eastAsia="宋体" w:cs="仿宋"/>
          <w:bCs/>
          <w:color w:val="auto"/>
          <w:sz w:val="28"/>
          <w:szCs w:val="32"/>
          <w:highlight w:val="none"/>
        </w:rPr>
      </w:pPr>
      <w:r>
        <w:rPr>
          <w:rFonts w:hint="eastAsia" w:ascii="仿宋" w:hAnsi="仿宋" w:eastAsia="宋体" w:cs="仿宋"/>
          <w:bCs/>
          <w:color w:val="auto"/>
          <w:sz w:val="28"/>
          <w:szCs w:val="32"/>
          <w:highlight w:val="none"/>
        </w:rPr>
        <w:t>1.出现安全生产、食品安全、消防安全事故;</w:t>
      </w:r>
    </w:p>
    <w:p w14:paraId="7364D7F3">
      <w:pPr>
        <w:spacing w:line="578" w:lineRule="exact"/>
        <w:ind w:firstLine="560" w:firstLineChars="200"/>
        <w:rPr>
          <w:rFonts w:ascii="仿宋" w:hAnsi="仿宋" w:eastAsia="宋体" w:cs="仿宋"/>
          <w:bCs/>
          <w:color w:val="auto"/>
          <w:sz w:val="28"/>
          <w:szCs w:val="32"/>
          <w:highlight w:val="none"/>
        </w:rPr>
      </w:pPr>
      <w:r>
        <w:rPr>
          <w:rFonts w:hint="eastAsia" w:ascii="仿宋" w:hAnsi="仿宋" w:eastAsia="宋体" w:cs="仿宋"/>
          <w:bCs/>
          <w:color w:val="auto"/>
          <w:sz w:val="28"/>
          <w:szCs w:val="32"/>
          <w:highlight w:val="none"/>
        </w:rPr>
        <w:t>2.发生被投诉、通报，造成恶劣影响的;</w:t>
      </w:r>
    </w:p>
    <w:p w14:paraId="6E169E5C">
      <w:pPr>
        <w:spacing w:line="578" w:lineRule="exact"/>
        <w:ind w:firstLine="560" w:firstLineChars="200"/>
        <w:rPr>
          <w:rFonts w:ascii="仿宋" w:hAnsi="仿宋" w:eastAsia="宋体" w:cs="仿宋"/>
          <w:bCs/>
          <w:color w:val="auto"/>
          <w:sz w:val="28"/>
          <w:szCs w:val="32"/>
          <w:highlight w:val="none"/>
        </w:rPr>
      </w:pPr>
      <w:r>
        <w:rPr>
          <w:rFonts w:hint="eastAsia" w:ascii="仿宋" w:hAnsi="仿宋" w:eastAsia="宋体" w:cs="仿宋"/>
          <w:bCs/>
          <w:color w:val="auto"/>
          <w:sz w:val="28"/>
          <w:szCs w:val="32"/>
          <w:highlight w:val="none"/>
        </w:rPr>
        <w:t>3.对乙方的服务考核累计两次考核为低于60分的；</w:t>
      </w:r>
    </w:p>
    <w:p w14:paraId="10DD054A">
      <w:pPr>
        <w:spacing w:line="578" w:lineRule="exact"/>
        <w:ind w:firstLine="560" w:firstLineChars="200"/>
        <w:jc w:val="left"/>
        <w:rPr>
          <w:rFonts w:ascii="仿宋" w:hAnsi="仿宋" w:eastAsia="宋体" w:cs="仿宋"/>
          <w:color w:val="auto"/>
          <w:sz w:val="28"/>
          <w:szCs w:val="30"/>
          <w:highlight w:val="none"/>
        </w:rPr>
      </w:pPr>
      <w:r>
        <w:rPr>
          <w:rFonts w:hint="eastAsia" w:ascii="仿宋" w:hAnsi="仿宋" w:eastAsia="宋体" w:cs="仿宋"/>
          <w:bCs/>
          <w:color w:val="auto"/>
          <w:sz w:val="28"/>
          <w:szCs w:val="32"/>
          <w:highlight w:val="none"/>
        </w:rPr>
        <w:t>4.</w:t>
      </w:r>
      <w:r>
        <w:rPr>
          <w:rFonts w:hint="eastAsia" w:ascii="仿宋" w:hAnsi="仿宋" w:eastAsia="宋体" w:cs="仿宋"/>
          <w:color w:val="auto"/>
          <w:sz w:val="28"/>
          <w:szCs w:val="30"/>
          <w:highlight w:val="none"/>
        </w:rPr>
        <w:t>乙方的管理服务达不到本合同约定的服务内容和质量标准，甲方有权要求乙方限期整改；逾期未整改的，或整改不符合要求的；</w:t>
      </w:r>
    </w:p>
    <w:p w14:paraId="42D7F4AB">
      <w:pPr>
        <w:spacing w:line="578" w:lineRule="exact"/>
        <w:ind w:firstLine="562" w:firstLineChars="200"/>
        <w:rPr>
          <w:rFonts w:ascii="仿宋" w:hAnsi="仿宋" w:eastAsia="宋体" w:cs="仿宋"/>
          <w:color w:val="auto"/>
          <w:sz w:val="28"/>
          <w:szCs w:val="30"/>
          <w:highlight w:val="none"/>
        </w:rPr>
      </w:pPr>
      <w:r>
        <w:rPr>
          <w:rFonts w:hint="eastAsia" w:ascii="仿宋" w:hAnsi="仿宋" w:eastAsia="宋体" w:cs="仿宋"/>
          <w:b/>
          <w:bCs/>
          <w:color w:val="auto"/>
          <w:sz w:val="28"/>
          <w:szCs w:val="30"/>
          <w:highlight w:val="none"/>
        </w:rPr>
        <w:t>5.</w:t>
      </w:r>
      <w:r>
        <w:rPr>
          <w:rFonts w:hint="eastAsia" w:ascii="仿宋" w:hAnsi="仿宋" w:eastAsia="宋体" w:cs="仿宋"/>
          <w:color w:val="auto"/>
          <w:sz w:val="28"/>
          <w:szCs w:val="30"/>
          <w:highlight w:val="none"/>
        </w:rPr>
        <w:t>乙方擅自将本合同的项目管理责任权利转让给第三方；</w:t>
      </w:r>
    </w:p>
    <w:p w14:paraId="5CF2CEF7">
      <w:pPr>
        <w:spacing w:line="578" w:lineRule="exact"/>
        <w:ind w:firstLine="562" w:firstLineChars="200"/>
        <w:rPr>
          <w:rFonts w:ascii="仿宋" w:hAnsi="仿宋" w:eastAsia="宋体" w:cs="仿宋"/>
          <w:color w:val="auto"/>
          <w:sz w:val="28"/>
          <w:szCs w:val="30"/>
          <w:highlight w:val="none"/>
        </w:rPr>
      </w:pPr>
      <w:r>
        <w:rPr>
          <w:rFonts w:hint="eastAsia" w:ascii="仿宋" w:hAnsi="仿宋" w:eastAsia="宋体" w:cs="仿宋"/>
          <w:b/>
          <w:bCs/>
          <w:color w:val="auto"/>
          <w:sz w:val="28"/>
          <w:szCs w:val="30"/>
          <w:highlight w:val="none"/>
        </w:rPr>
        <w:t>6.</w:t>
      </w:r>
      <w:r>
        <w:rPr>
          <w:rFonts w:hint="eastAsia" w:ascii="仿宋" w:hAnsi="仿宋" w:eastAsia="宋体" w:cs="仿宋"/>
          <w:color w:val="auto"/>
          <w:sz w:val="28"/>
          <w:szCs w:val="30"/>
          <w:highlight w:val="none"/>
        </w:rPr>
        <w:t>发生用电用水、火灾、群体事件等安全责任事故；</w:t>
      </w:r>
    </w:p>
    <w:p w14:paraId="6B49D709">
      <w:pPr>
        <w:kinsoku w:val="0"/>
        <w:adjustRightInd w:val="0"/>
        <w:snapToGrid w:val="0"/>
        <w:spacing w:line="578" w:lineRule="exact"/>
        <w:ind w:firstLine="562" w:firstLineChars="200"/>
        <w:textAlignment w:val="baseline"/>
        <w:rPr>
          <w:rFonts w:ascii="宋体" w:hAnsi="宋体" w:eastAsia="宋体" w:cs="宋体"/>
          <w:snapToGrid w:val="0"/>
          <w:color w:val="auto"/>
          <w:spacing w:val="-4"/>
          <w:kern w:val="0"/>
          <w:sz w:val="28"/>
          <w:szCs w:val="28"/>
          <w:highlight w:val="none"/>
        </w:rPr>
      </w:pPr>
      <w:r>
        <w:rPr>
          <w:rFonts w:hint="eastAsia" w:ascii="仿宋" w:hAnsi="仿宋" w:eastAsia="宋体" w:cs="仿宋"/>
          <w:b/>
          <w:bCs/>
          <w:color w:val="auto"/>
          <w:sz w:val="28"/>
          <w:szCs w:val="30"/>
          <w:highlight w:val="none"/>
        </w:rPr>
        <w:t>7.</w:t>
      </w:r>
      <w:r>
        <w:rPr>
          <w:rFonts w:hint="eastAsia" w:ascii="仿宋" w:hAnsi="仿宋" w:eastAsia="宋体" w:cs="仿宋"/>
          <w:color w:val="auto"/>
          <w:sz w:val="28"/>
          <w:szCs w:val="30"/>
          <w:highlight w:val="none"/>
        </w:rPr>
        <w:t>乙方利用甲方服务场所进行违法活动</w:t>
      </w:r>
    </w:p>
    <w:p w14:paraId="60C7E267">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第十八条 </w:t>
      </w:r>
      <w:r>
        <w:rPr>
          <w:rFonts w:hint="eastAsia" w:ascii="宋体" w:hAnsi="宋体" w:eastAsia="宋体" w:cs="宋体"/>
          <w:snapToGrid w:val="0"/>
          <w:color w:val="auto"/>
          <w:spacing w:val="-4"/>
          <w:kern w:val="0"/>
          <w:sz w:val="28"/>
          <w:szCs w:val="28"/>
          <w:highlight w:val="none"/>
        </w:rPr>
        <w:t>甲方不得无故拖欠应付给乙方之款项，否则，每拖欠一日按拖欠款额的万分之五向乙方支付滞纳金，如甲方迟延付款超过30日，乙方有权单独解除合同并要求甲方支付拖欠款项及违约金。</w:t>
      </w:r>
    </w:p>
    <w:p w14:paraId="625DE3E2">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第十九条</w:t>
      </w:r>
      <w:r>
        <w:rPr>
          <w:rFonts w:hint="eastAsia" w:ascii="宋体" w:hAnsi="宋体" w:eastAsia="宋体" w:cs="宋体"/>
          <w:snapToGrid w:val="0"/>
          <w:color w:val="auto"/>
          <w:spacing w:val="-4"/>
          <w:kern w:val="0"/>
          <w:sz w:val="28"/>
          <w:szCs w:val="28"/>
          <w:highlight w:val="none"/>
        </w:rPr>
        <w:t>合同履行期间，乙方如需单方面解除终止本合同，应提前三个月通知对方，否则，视为单方违约，应向甲方支付相当于年食堂运行管理费的30%作为违约金；由于解除合同造成的经济损失超过违约金的，还应给予赔偿。</w:t>
      </w:r>
    </w:p>
    <w:p w14:paraId="31B7BBE5">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第二十条 </w:t>
      </w:r>
      <w:r>
        <w:rPr>
          <w:rFonts w:hint="eastAsia" w:ascii="宋体" w:hAnsi="宋体" w:eastAsia="宋体" w:cs="宋体"/>
          <w:snapToGrid w:val="0"/>
          <w:color w:val="auto"/>
          <w:spacing w:val="-4"/>
          <w:kern w:val="0"/>
          <w:sz w:val="28"/>
          <w:szCs w:val="28"/>
          <w:highlight w:val="none"/>
        </w:rPr>
        <w:t>乙方有确切证据证明属于以下情况的，可不承担违约责任：</w:t>
      </w:r>
    </w:p>
    <w:p w14:paraId="0C1E64C0">
      <w:pPr>
        <w:kinsoku w:val="0"/>
        <w:adjustRightInd w:val="0"/>
        <w:snapToGrid w:val="0"/>
        <w:spacing w:line="578" w:lineRule="exact"/>
        <w:ind w:firstLine="544"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snapToGrid w:val="0"/>
          <w:color w:val="auto"/>
          <w:spacing w:val="-4"/>
          <w:kern w:val="0"/>
          <w:sz w:val="28"/>
          <w:szCs w:val="28"/>
          <w:highlight w:val="none"/>
        </w:rPr>
        <w:t>（一）由于甲方或客户的自身责任导致乙方的服务无法达到合同要求的；</w:t>
      </w:r>
    </w:p>
    <w:p w14:paraId="06A44ECC">
      <w:pPr>
        <w:kinsoku w:val="0"/>
        <w:adjustRightInd w:val="0"/>
        <w:snapToGrid w:val="0"/>
        <w:spacing w:line="578" w:lineRule="exact"/>
        <w:ind w:firstLine="544"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snapToGrid w:val="0"/>
          <w:color w:val="auto"/>
          <w:spacing w:val="-4"/>
          <w:kern w:val="0"/>
          <w:sz w:val="28"/>
          <w:szCs w:val="28"/>
          <w:highlight w:val="none"/>
        </w:rPr>
        <w:t>（二）因维修养护本项目区域内的共用部位、共用设施设备，需要且事先已告知甲方，暂时停水、停电、停止共用设施设备使用等造成损失的；</w:t>
      </w:r>
    </w:p>
    <w:p w14:paraId="76DCFF0C">
      <w:pPr>
        <w:kinsoku w:val="0"/>
        <w:adjustRightInd w:val="0"/>
        <w:snapToGrid w:val="0"/>
        <w:spacing w:line="578" w:lineRule="exact"/>
        <w:ind w:firstLine="544"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snapToGrid w:val="0"/>
          <w:color w:val="auto"/>
          <w:spacing w:val="-4"/>
          <w:kern w:val="0"/>
          <w:sz w:val="28"/>
          <w:szCs w:val="28"/>
          <w:highlight w:val="none"/>
        </w:rPr>
        <w:t>（三）非乙方责任出现供水、供电、供气、供热、通讯、有线电视及其他共用设施设备运行障碍造成损失的。</w:t>
      </w:r>
    </w:p>
    <w:p w14:paraId="433B1BD5">
      <w:pPr>
        <w:kinsoku w:val="0"/>
        <w:adjustRightInd w:val="0"/>
        <w:snapToGrid w:val="0"/>
        <w:spacing w:line="578" w:lineRule="exact"/>
        <w:jc w:val="center"/>
        <w:textAlignment w:val="baseline"/>
        <w:rPr>
          <w:rFonts w:ascii="宋体" w:hAnsi="宋体" w:eastAsia="宋体" w:cs="宋体"/>
          <w:b/>
          <w:bCs/>
          <w:snapToGrid w:val="0"/>
          <w:color w:val="auto"/>
          <w:spacing w:val="-4"/>
          <w:kern w:val="0"/>
          <w:sz w:val="28"/>
          <w:szCs w:val="28"/>
          <w:highlight w:val="none"/>
        </w:rPr>
      </w:pPr>
      <w:r>
        <w:rPr>
          <w:rFonts w:hint="eastAsia" w:ascii="宋体" w:hAnsi="宋体" w:eastAsia="宋体" w:cs="宋体"/>
          <w:b/>
          <w:bCs/>
          <w:snapToGrid w:val="0"/>
          <w:color w:val="auto"/>
          <w:spacing w:val="-4"/>
          <w:kern w:val="0"/>
          <w:sz w:val="28"/>
          <w:szCs w:val="28"/>
          <w:highlight w:val="none"/>
        </w:rPr>
        <w:t>第八部分 紧急避险、不可抗力</w:t>
      </w:r>
    </w:p>
    <w:p w14:paraId="515F2D5A">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第二十一条 </w:t>
      </w:r>
      <w:r>
        <w:rPr>
          <w:rFonts w:hint="eastAsia" w:ascii="宋体" w:hAnsi="宋体" w:eastAsia="宋体" w:cs="宋体"/>
          <w:snapToGrid w:val="0"/>
          <w:color w:val="auto"/>
          <w:spacing w:val="-4"/>
          <w:kern w:val="0"/>
          <w:sz w:val="28"/>
          <w:szCs w:val="28"/>
          <w:highlight w:val="none"/>
        </w:rPr>
        <w:t>紧急避险是指为维护甲方、公众、客户的切身利益，在不可预见情况下，如发生燃气泄漏、漏电、火灾、暖气管、水管破裂、救助人命、协助公安机关执行任务等突发事件。配合工作期间发生的必要费用，由双方协商确定承担方式。</w:t>
      </w:r>
    </w:p>
    <w:p w14:paraId="6875A2D0">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第二十二条</w:t>
      </w:r>
      <w:r>
        <w:rPr>
          <w:rFonts w:hint="eastAsia" w:ascii="宋体" w:hAnsi="宋体" w:eastAsia="宋体" w:cs="宋体"/>
          <w:snapToGrid w:val="0"/>
          <w:color w:val="auto"/>
          <w:spacing w:val="-4"/>
          <w:kern w:val="0"/>
          <w:sz w:val="28"/>
          <w:szCs w:val="28"/>
          <w:highlight w:val="none"/>
        </w:rPr>
        <w:t xml:space="preserve"> 甲、乙双方同意，在本合同有效期内，不可抗力的范围是：由于</w:t>
      </w:r>
      <w:r>
        <w:rPr>
          <w:rFonts w:hint="eastAsia" w:ascii="宋体" w:hAnsi="宋体" w:eastAsia="宋体" w:cs="Times New Roman"/>
          <w:color w:val="auto"/>
          <w:sz w:val="30"/>
          <w:szCs w:val="30"/>
          <w:highlight w:val="none"/>
        </w:rPr>
        <w:t>烈度为7级以上的</w:t>
      </w:r>
      <w:r>
        <w:rPr>
          <w:rFonts w:hint="eastAsia" w:ascii="宋体" w:hAnsi="宋体" w:eastAsia="宋体" w:cs="宋体"/>
          <w:snapToGrid w:val="0"/>
          <w:color w:val="auto"/>
          <w:spacing w:val="-4"/>
          <w:kern w:val="0"/>
          <w:sz w:val="28"/>
          <w:szCs w:val="28"/>
          <w:highlight w:val="none"/>
        </w:rPr>
        <w:t>地震、</w:t>
      </w:r>
      <w:r>
        <w:rPr>
          <w:rFonts w:hint="eastAsia" w:ascii="宋体" w:hAnsi="宋体" w:eastAsia="宋体" w:cs="Times New Roman"/>
          <w:color w:val="auto"/>
          <w:sz w:val="30"/>
          <w:szCs w:val="30"/>
          <w:highlight w:val="none"/>
        </w:rPr>
        <w:t>10级以上持续12小时的</w:t>
      </w:r>
      <w:r>
        <w:rPr>
          <w:rFonts w:hint="eastAsia" w:ascii="宋体" w:hAnsi="宋体" w:eastAsia="宋体" w:cs="宋体"/>
          <w:snapToGrid w:val="0"/>
          <w:color w:val="auto"/>
          <w:spacing w:val="-4"/>
          <w:kern w:val="0"/>
          <w:sz w:val="28"/>
          <w:szCs w:val="28"/>
          <w:highlight w:val="none"/>
        </w:rPr>
        <w:t>台风、</w:t>
      </w:r>
      <w:r>
        <w:rPr>
          <w:rFonts w:hint="eastAsia" w:ascii="宋体" w:hAnsi="宋体" w:eastAsia="宋体" w:cs="Times New Roman"/>
          <w:color w:val="auto"/>
          <w:sz w:val="30"/>
          <w:szCs w:val="30"/>
          <w:highlight w:val="none"/>
        </w:rPr>
        <w:t>持续降雨24小时且降雨量为100mm以上造成的雨</w:t>
      </w:r>
      <w:r>
        <w:rPr>
          <w:rFonts w:hint="eastAsia" w:ascii="宋体" w:hAnsi="宋体" w:eastAsia="宋体" w:cs="宋体"/>
          <w:snapToGrid w:val="0"/>
          <w:color w:val="auto"/>
          <w:spacing w:val="-4"/>
          <w:kern w:val="0"/>
          <w:sz w:val="28"/>
          <w:szCs w:val="28"/>
          <w:highlight w:val="none"/>
        </w:rPr>
        <w:t>水灾、政府明令管控的疫情、战争以及其他不能预见，并且对其发生和后果不能防止、避免和克服的人力不可抗拒事件，由双方协商决定是否解除本合同，或者部分履行或对本合同进行修改。由于不可抗力造成任何一方的损失，另外一方不承担任何责任。</w:t>
      </w:r>
    </w:p>
    <w:p w14:paraId="7F15D8CD">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第二十三条 </w:t>
      </w:r>
      <w:r>
        <w:rPr>
          <w:rFonts w:hint="eastAsia" w:ascii="宋体" w:hAnsi="宋体" w:eastAsia="宋体" w:cs="宋体"/>
          <w:snapToGrid w:val="0"/>
          <w:color w:val="auto"/>
          <w:spacing w:val="-4"/>
          <w:kern w:val="0"/>
          <w:sz w:val="28"/>
          <w:szCs w:val="28"/>
          <w:highlight w:val="none"/>
        </w:rPr>
        <w:t>合同执行期间，如发生不可抗力致使合同无法履行时，双方应按有关法律规定及时协商处理。如因国家或海南省相关政策规定发生变化，双方应友好协调适当增减人员和费用或终止合同。</w:t>
      </w:r>
    </w:p>
    <w:p w14:paraId="1AE3E1FF">
      <w:pPr>
        <w:kinsoku w:val="0"/>
        <w:adjustRightInd w:val="0"/>
        <w:snapToGrid w:val="0"/>
        <w:spacing w:line="578" w:lineRule="exact"/>
        <w:jc w:val="center"/>
        <w:textAlignment w:val="baseline"/>
        <w:rPr>
          <w:rFonts w:ascii="宋体" w:hAnsi="宋体" w:eastAsia="宋体" w:cs="宋体"/>
          <w:b/>
          <w:bCs/>
          <w:snapToGrid w:val="0"/>
          <w:color w:val="auto"/>
          <w:spacing w:val="-4"/>
          <w:kern w:val="0"/>
          <w:sz w:val="28"/>
          <w:szCs w:val="28"/>
          <w:highlight w:val="none"/>
        </w:rPr>
      </w:pPr>
      <w:r>
        <w:rPr>
          <w:rFonts w:hint="eastAsia" w:ascii="宋体" w:hAnsi="宋体" w:eastAsia="宋体" w:cs="宋体"/>
          <w:b/>
          <w:bCs/>
          <w:snapToGrid w:val="0"/>
          <w:color w:val="auto"/>
          <w:spacing w:val="-4"/>
          <w:kern w:val="0"/>
          <w:sz w:val="28"/>
          <w:szCs w:val="28"/>
          <w:highlight w:val="none"/>
        </w:rPr>
        <w:t>第九部分 通知</w:t>
      </w:r>
    </w:p>
    <w:p w14:paraId="325215DF">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第二十四条 </w:t>
      </w:r>
      <w:r>
        <w:rPr>
          <w:rFonts w:hint="eastAsia" w:ascii="宋体" w:hAnsi="宋体" w:eastAsia="宋体" w:cs="宋体"/>
          <w:snapToGrid w:val="0"/>
          <w:color w:val="auto"/>
          <w:spacing w:val="-4"/>
          <w:kern w:val="0"/>
          <w:sz w:val="28"/>
          <w:szCs w:val="28"/>
          <w:highlight w:val="none"/>
        </w:rPr>
        <w:t>甲乙双方因履行本合同而相互发出或提供的所有通知、文件、资料等，均应按照本合同所列明的通讯地址、电话号码、传真号码、电子邮件等通知方式进行传达；一方如果迁址或者变更相关号码，应当及时书面通知对方；通过邮寄方式的，挂号寄出当日视为送达；以传真或电子邮件方式的，发出时视为到达。</w:t>
      </w:r>
    </w:p>
    <w:p w14:paraId="277AC2CF">
      <w:pPr>
        <w:kinsoku w:val="0"/>
        <w:adjustRightInd w:val="0"/>
        <w:snapToGrid w:val="0"/>
        <w:spacing w:line="578" w:lineRule="exact"/>
        <w:ind w:firstLine="544"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snapToGrid w:val="0"/>
          <w:color w:val="auto"/>
          <w:spacing w:val="-4"/>
          <w:kern w:val="0"/>
          <w:sz w:val="28"/>
          <w:szCs w:val="28"/>
          <w:highlight w:val="none"/>
        </w:rPr>
        <w:t>甲方联系人：</w:t>
      </w:r>
    </w:p>
    <w:p w14:paraId="7D023422">
      <w:pPr>
        <w:kinsoku w:val="0"/>
        <w:adjustRightInd w:val="0"/>
        <w:snapToGrid w:val="0"/>
        <w:spacing w:line="578" w:lineRule="exact"/>
        <w:ind w:firstLine="544" w:firstLineChars="200"/>
        <w:textAlignment w:val="baseline"/>
        <w:rPr>
          <w:rFonts w:hint="default" w:ascii="宋体" w:hAnsi="宋体" w:eastAsia="宋体" w:cs="宋体"/>
          <w:snapToGrid w:val="0"/>
          <w:color w:val="auto"/>
          <w:spacing w:val="-4"/>
          <w:kern w:val="0"/>
          <w:sz w:val="28"/>
          <w:szCs w:val="28"/>
          <w:highlight w:val="none"/>
          <w:lang w:val="en-US" w:eastAsia="zh-CN"/>
        </w:rPr>
      </w:pPr>
      <w:r>
        <w:rPr>
          <w:rFonts w:hint="eastAsia" w:ascii="宋体" w:hAnsi="宋体" w:eastAsia="宋体" w:cs="宋体"/>
          <w:snapToGrid w:val="0"/>
          <w:color w:val="auto"/>
          <w:spacing w:val="-4"/>
          <w:kern w:val="0"/>
          <w:sz w:val="28"/>
          <w:szCs w:val="28"/>
          <w:highlight w:val="none"/>
        </w:rPr>
        <w:t>姓名：</w:t>
      </w:r>
      <w:r>
        <w:rPr>
          <w:rFonts w:hint="eastAsia" w:ascii="宋体" w:hAnsi="宋体" w:eastAsia="宋体" w:cs="宋体"/>
          <w:snapToGrid w:val="0"/>
          <w:color w:val="auto"/>
          <w:spacing w:val="-4"/>
          <w:kern w:val="0"/>
          <w:sz w:val="28"/>
          <w:szCs w:val="28"/>
          <w:highlight w:val="none"/>
          <w:lang w:val="en-US" w:eastAsia="zh-CN"/>
        </w:rPr>
        <w:t xml:space="preserve">  </w:t>
      </w:r>
      <w:r>
        <w:rPr>
          <w:rFonts w:hint="eastAsia" w:ascii="宋体" w:hAnsi="宋体" w:eastAsia="宋体" w:cs="宋体"/>
          <w:snapToGrid w:val="0"/>
          <w:color w:val="auto"/>
          <w:spacing w:val="-4"/>
          <w:kern w:val="0"/>
          <w:sz w:val="28"/>
          <w:szCs w:val="28"/>
          <w:highlight w:val="none"/>
        </w:rPr>
        <w:t xml:space="preserve">                     电话：</w:t>
      </w:r>
      <w:r>
        <w:rPr>
          <w:rFonts w:hint="eastAsia" w:ascii="宋体" w:hAnsi="宋体" w:eastAsia="宋体" w:cs="宋体"/>
          <w:snapToGrid w:val="0"/>
          <w:color w:val="auto"/>
          <w:spacing w:val="-4"/>
          <w:kern w:val="0"/>
          <w:sz w:val="28"/>
          <w:szCs w:val="28"/>
          <w:highlight w:val="none"/>
          <w:lang w:val="en-US" w:eastAsia="zh-CN"/>
        </w:rPr>
        <w:t xml:space="preserve">  </w:t>
      </w:r>
    </w:p>
    <w:p w14:paraId="7802A524">
      <w:pPr>
        <w:kinsoku w:val="0"/>
        <w:adjustRightInd w:val="0"/>
        <w:snapToGrid w:val="0"/>
        <w:spacing w:line="578" w:lineRule="exact"/>
        <w:ind w:firstLine="544"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snapToGrid w:val="0"/>
          <w:color w:val="auto"/>
          <w:spacing w:val="-4"/>
          <w:kern w:val="0"/>
          <w:sz w:val="28"/>
          <w:szCs w:val="28"/>
          <w:highlight w:val="none"/>
        </w:rPr>
        <w:t>通讯地址：三亚市吉阳区春河小区2区综合楼</w:t>
      </w:r>
    </w:p>
    <w:p w14:paraId="49FD8A4E">
      <w:pPr>
        <w:kinsoku w:val="0"/>
        <w:adjustRightInd w:val="0"/>
        <w:snapToGrid w:val="0"/>
        <w:spacing w:line="578" w:lineRule="exact"/>
        <w:ind w:firstLine="544"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snapToGrid w:val="0"/>
          <w:color w:val="auto"/>
          <w:spacing w:val="-4"/>
          <w:kern w:val="0"/>
          <w:sz w:val="28"/>
          <w:szCs w:val="28"/>
          <w:highlight w:val="none"/>
        </w:rPr>
        <w:t>乙方联系人：</w:t>
      </w:r>
    </w:p>
    <w:p w14:paraId="2FA6172B">
      <w:pPr>
        <w:kinsoku w:val="0"/>
        <w:adjustRightInd w:val="0"/>
        <w:snapToGrid w:val="0"/>
        <w:spacing w:line="578" w:lineRule="exact"/>
        <w:ind w:firstLine="544"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snapToGrid w:val="0"/>
          <w:color w:val="auto"/>
          <w:spacing w:val="-4"/>
          <w:kern w:val="0"/>
          <w:sz w:val="28"/>
          <w:szCs w:val="28"/>
          <w:highlight w:val="none"/>
        </w:rPr>
        <w:t>姓名：【填写姓名】               电话：【填写电话】</w:t>
      </w:r>
    </w:p>
    <w:p w14:paraId="20DBAF1D">
      <w:pPr>
        <w:kinsoku w:val="0"/>
        <w:adjustRightInd w:val="0"/>
        <w:snapToGrid w:val="0"/>
        <w:spacing w:line="578" w:lineRule="exact"/>
        <w:ind w:firstLine="544"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snapToGrid w:val="0"/>
          <w:color w:val="auto"/>
          <w:spacing w:val="-4"/>
          <w:kern w:val="0"/>
          <w:sz w:val="28"/>
          <w:szCs w:val="28"/>
          <w:highlight w:val="none"/>
        </w:rPr>
        <w:t>通讯地址：【填写通讯地址】</w:t>
      </w:r>
    </w:p>
    <w:p w14:paraId="7EFA0C76">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第二十五条 </w:t>
      </w:r>
      <w:r>
        <w:rPr>
          <w:rFonts w:hint="eastAsia" w:ascii="宋体" w:hAnsi="宋体" w:eastAsia="宋体" w:cs="宋体"/>
          <w:snapToGrid w:val="0"/>
          <w:color w:val="auto"/>
          <w:spacing w:val="-4"/>
          <w:kern w:val="0"/>
          <w:sz w:val="28"/>
          <w:szCs w:val="28"/>
          <w:highlight w:val="none"/>
        </w:rPr>
        <w:t>一方变更通知或通讯地址，应当在变更之日起5日内，以书面形式通知对方；否则，由未通知方承担由此而引起的相关责任。</w:t>
      </w:r>
    </w:p>
    <w:p w14:paraId="17F9190F">
      <w:pPr>
        <w:kinsoku w:val="0"/>
        <w:adjustRightInd w:val="0"/>
        <w:snapToGrid w:val="0"/>
        <w:spacing w:line="578" w:lineRule="exact"/>
        <w:jc w:val="center"/>
        <w:textAlignment w:val="baseline"/>
        <w:rPr>
          <w:rFonts w:ascii="宋体" w:hAnsi="宋体" w:eastAsia="宋体" w:cs="宋体"/>
          <w:b/>
          <w:bCs/>
          <w:snapToGrid w:val="0"/>
          <w:color w:val="auto"/>
          <w:spacing w:val="-4"/>
          <w:kern w:val="0"/>
          <w:sz w:val="28"/>
          <w:szCs w:val="28"/>
          <w:highlight w:val="none"/>
        </w:rPr>
      </w:pPr>
      <w:r>
        <w:rPr>
          <w:rFonts w:hint="eastAsia" w:ascii="宋体" w:hAnsi="宋体" w:eastAsia="宋体" w:cs="宋体"/>
          <w:b/>
          <w:bCs/>
          <w:snapToGrid w:val="0"/>
          <w:color w:val="auto"/>
          <w:spacing w:val="-4"/>
          <w:kern w:val="0"/>
          <w:sz w:val="28"/>
          <w:szCs w:val="28"/>
          <w:highlight w:val="none"/>
        </w:rPr>
        <w:t>第十部分 其他事项</w:t>
      </w:r>
    </w:p>
    <w:p w14:paraId="54D440C5">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第二十六条 </w:t>
      </w:r>
      <w:r>
        <w:rPr>
          <w:rFonts w:hint="eastAsia" w:ascii="宋体" w:hAnsi="宋体" w:eastAsia="宋体" w:cs="宋体"/>
          <w:snapToGrid w:val="0"/>
          <w:color w:val="auto"/>
          <w:spacing w:val="-4"/>
          <w:kern w:val="0"/>
          <w:sz w:val="28"/>
          <w:szCs w:val="28"/>
          <w:highlight w:val="none"/>
        </w:rPr>
        <w:t>对于合同约定常规服务之外的特约服务事项，应明确具体服务内容及其收费标准。客户对收费标准提出异议时，应当与客户协商，合理收取特约服务费用。</w:t>
      </w:r>
    </w:p>
    <w:p w14:paraId="43508C2F">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第二十七条 </w:t>
      </w:r>
      <w:r>
        <w:rPr>
          <w:rFonts w:hint="eastAsia" w:ascii="宋体" w:hAnsi="宋体" w:eastAsia="宋体" w:cs="宋体"/>
          <w:snapToGrid w:val="0"/>
          <w:color w:val="auto"/>
          <w:spacing w:val="-4"/>
          <w:kern w:val="0"/>
          <w:sz w:val="28"/>
          <w:szCs w:val="28"/>
          <w:highlight w:val="none"/>
        </w:rPr>
        <w:t>若因甲方或上级主管部门要求，需取消本项目食堂运行管理及服务解除本合同的。甲方需提前1个月通知乙方，乙方应当无条件配合，并按要求办理交接手续。</w:t>
      </w:r>
      <w:r>
        <w:rPr>
          <w:rFonts w:hint="eastAsia" w:ascii="宋体" w:hAnsi="宋体" w:eastAsia="宋体" w:cs="宋体"/>
          <w:snapToGrid w:val="0"/>
          <w:color w:val="auto"/>
          <w:spacing w:val="-3"/>
          <w:sz w:val="28"/>
          <w:szCs w:val="28"/>
          <w:highlight w:val="none"/>
        </w:rPr>
        <w:t>甲方除需按合同约定标准支付乙方服务期间的服务费用外，不向乙方承担任何赔（补）偿义务责任。</w:t>
      </w:r>
    </w:p>
    <w:p w14:paraId="26017C22">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第二十八条</w:t>
      </w:r>
      <w:r>
        <w:rPr>
          <w:rFonts w:hint="eastAsia" w:ascii="宋体" w:hAnsi="宋体" w:eastAsia="宋体" w:cs="宋体"/>
          <w:snapToGrid w:val="0"/>
          <w:color w:val="auto"/>
          <w:spacing w:val="-4"/>
          <w:kern w:val="0"/>
          <w:sz w:val="28"/>
          <w:szCs w:val="28"/>
          <w:highlight w:val="none"/>
        </w:rPr>
        <w:t>无论是本合同被解除终止或正常期满终止，乙方均应依甲方要求及时移交食堂管理权及全部档案资料，并撤出本项目，协助甲方做好食堂服务的移交工作；本合同终止后，在新企业接管本项目之前，乙方有义务继续为甲方提供食堂运行管理服务，甲方根据实际服务周期按合同标准以月度为单位结算相应食堂运行管理服务费用。不满一个月的，按实际服务天数及合同约定标准据实结算支付服务费用。</w:t>
      </w:r>
    </w:p>
    <w:p w14:paraId="4C1AA71F">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第二十九条 </w:t>
      </w:r>
      <w:r>
        <w:rPr>
          <w:rFonts w:hint="eastAsia" w:ascii="宋体" w:hAnsi="宋体" w:eastAsia="宋体" w:cs="宋体"/>
          <w:snapToGrid w:val="0"/>
          <w:color w:val="auto"/>
          <w:spacing w:val="-4"/>
          <w:kern w:val="0"/>
          <w:sz w:val="28"/>
          <w:szCs w:val="28"/>
          <w:highlight w:val="none"/>
        </w:rPr>
        <w:t>本合同自甲乙双方法定代表人或授权代表签字并加盖公章之日起生效。如合同约定服务事项需要乙方具备相关资质的，乙方须已获得为甲方提供服务所需的所有必要的执照、批准和资质。双方可对本合同的未尽事宜进行协商，以书面形式签订补充协议，补充协议与本合同具有同等效力。补充协议与合同正文不一致的，以补充协议为准。</w:t>
      </w:r>
    </w:p>
    <w:p w14:paraId="578267B3">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第三十条</w:t>
      </w:r>
      <w:r>
        <w:rPr>
          <w:rFonts w:hint="eastAsia" w:ascii="宋体" w:hAnsi="宋体" w:eastAsia="宋体" w:cs="宋体"/>
          <w:snapToGrid w:val="0"/>
          <w:color w:val="auto"/>
          <w:spacing w:val="-3"/>
          <w:kern w:val="0"/>
          <w:sz w:val="28"/>
          <w:szCs w:val="28"/>
          <w:highlight w:val="none"/>
        </w:rPr>
        <w:t xml:space="preserve"> 本</w:t>
      </w:r>
      <w:r>
        <w:rPr>
          <w:rFonts w:hint="eastAsia" w:ascii="宋体" w:hAnsi="宋体" w:eastAsia="宋体" w:cs="宋体"/>
          <w:snapToGrid w:val="0"/>
          <w:color w:val="auto"/>
          <w:spacing w:val="-4"/>
          <w:kern w:val="0"/>
          <w:sz w:val="28"/>
          <w:szCs w:val="28"/>
          <w:highlight w:val="none"/>
        </w:rPr>
        <w:t>合同的订立、效力、解释、履行和争议解决适用中华人民共和国法律。本合同在履行中如发生争议，双方应协商解决，协商未果需诉讼处理的由甲方所在地人民法院管辖起诉。</w:t>
      </w:r>
    </w:p>
    <w:p w14:paraId="122D5222">
      <w:pPr>
        <w:kinsoku w:val="0"/>
        <w:adjustRightInd w:val="0"/>
        <w:snapToGrid w:val="0"/>
        <w:spacing w:line="578" w:lineRule="exact"/>
        <w:ind w:firstLine="550" w:firstLineChars="200"/>
        <w:textAlignment w:val="baseline"/>
        <w:rPr>
          <w:rFonts w:ascii="宋体" w:hAnsi="宋体" w:eastAsia="宋体" w:cs="宋体"/>
          <w:snapToGrid w:val="0"/>
          <w:color w:val="auto"/>
          <w:spacing w:val="-4"/>
          <w:kern w:val="0"/>
          <w:sz w:val="28"/>
          <w:szCs w:val="28"/>
          <w:highlight w:val="none"/>
        </w:rPr>
      </w:pPr>
      <w:r>
        <w:rPr>
          <w:rFonts w:hint="eastAsia" w:ascii="宋体" w:hAnsi="宋体" w:eastAsia="宋体" w:cs="宋体"/>
          <w:b/>
          <w:bCs/>
          <w:snapToGrid w:val="0"/>
          <w:color w:val="auto"/>
          <w:spacing w:val="-3"/>
          <w:kern w:val="0"/>
          <w:sz w:val="28"/>
          <w:szCs w:val="28"/>
          <w:highlight w:val="none"/>
        </w:rPr>
        <w:t xml:space="preserve">第三十一条 </w:t>
      </w:r>
      <w:r>
        <w:rPr>
          <w:rFonts w:hint="eastAsia" w:ascii="宋体" w:hAnsi="宋体" w:eastAsia="宋体" w:cs="宋体"/>
          <w:snapToGrid w:val="0"/>
          <w:color w:val="auto"/>
          <w:spacing w:val="-4"/>
          <w:kern w:val="0"/>
          <w:sz w:val="28"/>
          <w:szCs w:val="28"/>
          <w:highlight w:val="none"/>
        </w:rPr>
        <w:t>本合同正本连同附件，正本一式肆份，甲方留存贰份，乙方留存贰份，具有同等法律效力。</w:t>
      </w:r>
    </w:p>
    <w:p w14:paraId="3FB7A02D">
      <w:pPr>
        <w:widowControl/>
        <w:kinsoku w:val="0"/>
        <w:autoSpaceDE w:val="0"/>
        <w:autoSpaceDN w:val="0"/>
        <w:adjustRightInd w:val="0"/>
        <w:snapToGrid w:val="0"/>
        <w:spacing w:line="578" w:lineRule="exact"/>
        <w:ind w:firstLine="544" w:firstLineChars="200"/>
        <w:jc w:val="left"/>
        <w:textAlignment w:val="baseline"/>
        <w:rPr>
          <w:rFonts w:ascii="Arial" w:hAnsi="Arial" w:eastAsia="Arial" w:cs="Arial"/>
          <w:snapToGrid w:val="0"/>
          <w:color w:val="auto"/>
          <w:kern w:val="0"/>
          <w:szCs w:val="21"/>
          <w:highlight w:val="none"/>
        </w:rPr>
      </w:pPr>
      <w:r>
        <w:rPr>
          <w:rFonts w:hint="eastAsia" w:ascii="宋体" w:hAnsi="宋体" w:eastAsia="宋体" w:cs="宋体"/>
          <w:snapToGrid w:val="0"/>
          <w:color w:val="auto"/>
          <w:spacing w:val="-4"/>
          <w:kern w:val="0"/>
          <w:sz w:val="28"/>
          <w:szCs w:val="28"/>
          <w:highlight w:val="none"/>
        </w:rPr>
        <w:t>（以下无正文，为合同签署项）</w:t>
      </w:r>
    </w:p>
    <w:p w14:paraId="3E26380C">
      <w:pPr>
        <w:kinsoku w:val="0"/>
        <w:autoSpaceDE w:val="0"/>
        <w:autoSpaceDN w:val="0"/>
        <w:adjustRightInd w:val="0"/>
        <w:snapToGrid w:val="0"/>
        <w:spacing w:line="578" w:lineRule="exact"/>
        <w:ind w:firstLine="548" w:firstLineChars="200"/>
        <w:jc w:val="left"/>
        <w:textAlignment w:val="baseline"/>
        <w:rPr>
          <w:rFonts w:ascii="宋体" w:hAnsi="宋体" w:eastAsia="宋体" w:cs="宋体"/>
          <w:snapToGrid w:val="0"/>
          <w:color w:val="auto"/>
          <w:spacing w:val="-3"/>
          <w:kern w:val="0"/>
          <w:sz w:val="28"/>
          <w:szCs w:val="28"/>
          <w:highlight w:val="none"/>
        </w:rPr>
      </w:pPr>
    </w:p>
    <w:p w14:paraId="13DF1A46">
      <w:pPr>
        <w:kinsoku w:val="0"/>
        <w:autoSpaceDE w:val="0"/>
        <w:autoSpaceDN w:val="0"/>
        <w:adjustRightInd w:val="0"/>
        <w:snapToGrid w:val="0"/>
        <w:spacing w:line="578" w:lineRule="exact"/>
        <w:ind w:firstLine="548" w:firstLineChars="200"/>
        <w:jc w:val="left"/>
        <w:textAlignment w:val="baseline"/>
        <w:rPr>
          <w:rFonts w:ascii="宋体" w:hAnsi="宋体" w:eastAsia="宋体" w:cs="宋体"/>
          <w:snapToGrid w:val="0"/>
          <w:color w:val="auto"/>
          <w:spacing w:val="-3"/>
          <w:kern w:val="0"/>
          <w:sz w:val="28"/>
          <w:szCs w:val="28"/>
          <w:highlight w:val="none"/>
        </w:rPr>
      </w:pPr>
    </w:p>
    <w:p w14:paraId="2F1757B5">
      <w:pPr>
        <w:kinsoku w:val="0"/>
        <w:autoSpaceDE w:val="0"/>
        <w:autoSpaceDN w:val="0"/>
        <w:adjustRightInd w:val="0"/>
        <w:snapToGrid w:val="0"/>
        <w:spacing w:line="578" w:lineRule="exact"/>
        <w:ind w:firstLine="548" w:firstLineChars="200"/>
        <w:jc w:val="left"/>
        <w:textAlignment w:val="baseline"/>
        <w:rPr>
          <w:rFonts w:ascii="宋体" w:hAnsi="宋体" w:eastAsia="宋体" w:cs="宋体"/>
          <w:snapToGrid w:val="0"/>
          <w:color w:val="auto"/>
          <w:spacing w:val="-3"/>
          <w:kern w:val="0"/>
          <w:sz w:val="28"/>
          <w:szCs w:val="28"/>
          <w:highlight w:val="none"/>
        </w:rPr>
      </w:pPr>
    </w:p>
    <w:p w14:paraId="2773F255">
      <w:pPr>
        <w:rPr>
          <w:rFonts w:ascii="宋体" w:hAnsi="宋体" w:eastAsia="宋体" w:cs="宋体"/>
          <w:snapToGrid w:val="0"/>
          <w:color w:val="auto"/>
          <w:spacing w:val="-3"/>
          <w:kern w:val="0"/>
          <w:sz w:val="28"/>
          <w:szCs w:val="28"/>
          <w:highlight w:val="none"/>
        </w:rPr>
      </w:pPr>
      <w:r>
        <w:rPr>
          <w:rFonts w:ascii="宋体" w:hAnsi="宋体" w:eastAsia="宋体" w:cs="宋体"/>
          <w:snapToGrid w:val="0"/>
          <w:color w:val="auto"/>
          <w:spacing w:val="-3"/>
          <w:kern w:val="0"/>
          <w:sz w:val="28"/>
          <w:szCs w:val="28"/>
          <w:highlight w:val="none"/>
        </w:rPr>
        <w:br w:type="page"/>
      </w:r>
    </w:p>
    <w:p w14:paraId="54CE7807">
      <w:pPr>
        <w:kinsoku w:val="0"/>
        <w:autoSpaceDE w:val="0"/>
        <w:autoSpaceDN w:val="0"/>
        <w:adjustRightInd w:val="0"/>
        <w:snapToGrid w:val="0"/>
        <w:spacing w:line="560" w:lineRule="exact"/>
        <w:ind w:left="36"/>
        <w:jc w:val="left"/>
        <w:textAlignment w:val="baseline"/>
        <w:rPr>
          <w:rFonts w:ascii="宋体" w:hAnsi="宋体" w:eastAsia="宋体" w:cs="宋体"/>
          <w:snapToGrid w:val="0"/>
          <w:color w:val="auto"/>
          <w:kern w:val="0"/>
          <w:sz w:val="28"/>
          <w:szCs w:val="28"/>
          <w:highlight w:val="none"/>
        </w:rPr>
      </w:pPr>
      <w:bookmarkStart w:id="0" w:name="_GoBack"/>
      <w:bookmarkEnd w:id="0"/>
      <w:r>
        <w:rPr>
          <w:rFonts w:ascii="宋体" w:hAnsi="宋体" w:eastAsia="宋体" w:cs="宋体"/>
          <w:snapToGrid w:val="0"/>
          <w:color w:val="auto"/>
          <w:spacing w:val="-3"/>
          <w:kern w:val="0"/>
          <w:sz w:val="28"/>
          <w:szCs w:val="28"/>
          <w:highlight w:val="none"/>
        </w:rPr>
        <w:t>甲  方：</w:t>
      </w:r>
      <w:r>
        <w:rPr>
          <w:rFonts w:ascii="宋体" w:hAnsi="宋体" w:eastAsia="宋体" w:cs="宋体"/>
          <w:snapToGrid w:val="0"/>
          <w:color w:val="auto"/>
          <w:spacing w:val="-3"/>
          <w:kern w:val="0"/>
          <w:sz w:val="28"/>
          <w:szCs w:val="28"/>
          <w:highlight w:val="none"/>
          <w:u w:val="single"/>
        </w:rPr>
        <w:t>三亚市机关事务管理服务中心</w:t>
      </w:r>
      <w:r>
        <w:rPr>
          <w:rFonts w:ascii="宋体" w:hAnsi="宋体" w:eastAsia="宋体" w:cs="宋体"/>
          <w:snapToGrid w:val="0"/>
          <w:color w:val="auto"/>
          <w:spacing w:val="-3"/>
          <w:kern w:val="0"/>
          <w:sz w:val="28"/>
          <w:szCs w:val="28"/>
          <w:highlight w:val="none"/>
        </w:rPr>
        <w:t>（盖章）</w:t>
      </w:r>
    </w:p>
    <w:p w14:paraId="60A610E7">
      <w:pPr>
        <w:kinsoku w:val="0"/>
        <w:autoSpaceDE w:val="0"/>
        <w:autoSpaceDN w:val="0"/>
        <w:adjustRightInd w:val="0"/>
        <w:snapToGrid w:val="0"/>
        <w:spacing w:line="560" w:lineRule="exact"/>
        <w:ind w:left="1"/>
        <w:jc w:val="left"/>
        <w:textAlignment w:val="baseline"/>
        <w:rPr>
          <w:rFonts w:ascii="宋体" w:hAnsi="宋体" w:eastAsia="宋体" w:cs="宋体"/>
          <w:snapToGrid w:val="0"/>
          <w:color w:val="auto"/>
          <w:kern w:val="0"/>
          <w:sz w:val="28"/>
          <w:szCs w:val="28"/>
          <w:highlight w:val="none"/>
        </w:rPr>
      </w:pPr>
      <w:r>
        <w:rPr>
          <w:rFonts w:ascii="宋体" w:hAnsi="宋体" w:eastAsia="宋体" w:cs="宋体"/>
          <w:snapToGrid w:val="0"/>
          <w:color w:val="auto"/>
          <w:spacing w:val="1"/>
          <w:kern w:val="0"/>
          <w:sz w:val="28"/>
          <w:szCs w:val="28"/>
          <w:highlight w:val="none"/>
        </w:rPr>
        <w:t>法定代表人/授权代表</w:t>
      </w:r>
      <w:r>
        <w:rPr>
          <w:rFonts w:ascii="宋体" w:hAnsi="宋体" w:eastAsia="宋体" w:cs="宋体"/>
          <w:snapToGrid w:val="0"/>
          <w:color w:val="auto"/>
          <w:spacing w:val="-15"/>
          <w:kern w:val="0"/>
          <w:sz w:val="28"/>
          <w:szCs w:val="28"/>
          <w:highlight w:val="none"/>
        </w:rPr>
        <w:t>：（</w:t>
      </w:r>
      <w:r>
        <w:rPr>
          <w:rFonts w:ascii="宋体" w:hAnsi="宋体" w:eastAsia="宋体" w:cs="宋体"/>
          <w:snapToGrid w:val="0"/>
          <w:color w:val="auto"/>
          <w:spacing w:val="1"/>
          <w:kern w:val="0"/>
          <w:sz w:val="28"/>
          <w:szCs w:val="28"/>
          <w:highlight w:val="none"/>
        </w:rPr>
        <w:t>签字或盖章）</w:t>
      </w:r>
    </w:p>
    <w:p w14:paraId="546B7D26">
      <w:pPr>
        <w:kinsoku w:val="0"/>
        <w:autoSpaceDE w:val="0"/>
        <w:autoSpaceDN w:val="0"/>
        <w:adjustRightInd w:val="0"/>
        <w:snapToGrid w:val="0"/>
        <w:spacing w:line="560" w:lineRule="exact"/>
        <w:jc w:val="left"/>
        <w:textAlignment w:val="baseline"/>
        <w:outlineLvl w:val="1"/>
        <w:rPr>
          <w:rFonts w:ascii="宋体" w:hAnsi="宋体" w:eastAsia="宋体" w:cs="宋体"/>
          <w:snapToGrid w:val="0"/>
          <w:color w:val="auto"/>
          <w:kern w:val="0"/>
          <w:sz w:val="28"/>
          <w:szCs w:val="28"/>
          <w:highlight w:val="none"/>
        </w:rPr>
      </w:pPr>
      <w:r>
        <w:rPr>
          <w:rFonts w:ascii="宋体" w:hAnsi="宋体" w:eastAsia="宋体" w:cs="宋体"/>
          <w:snapToGrid w:val="0"/>
          <w:color w:val="auto"/>
          <w:spacing w:val="-3"/>
          <w:kern w:val="0"/>
          <w:sz w:val="28"/>
          <w:szCs w:val="28"/>
          <w:highlight w:val="none"/>
        </w:rPr>
        <w:t>签署日期：    年月日</w:t>
      </w:r>
    </w:p>
    <w:p w14:paraId="232F9B0E">
      <w:pPr>
        <w:widowControl/>
        <w:kinsoku w:val="0"/>
        <w:autoSpaceDE w:val="0"/>
        <w:autoSpaceDN w:val="0"/>
        <w:adjustRightInd w:val="0"/>
        <w:snapToGrid w:val="0"/>
        <w:spacing w:line="560" w:lineRule="exact"/>
        <w:jc w:val="left"/>
        <w:textAlignment w:val="baseline"/>
        <w:rPr>
          <w:rFonts w:ascii="Arial" w:hAnsi="Arial" w:eastAsia="Arial" w:cs="Arial"/>
          <w:snapToGrid w:val="0"/>
          <w:color w:val="auto"/>
          <w:kern w:val="0"/>
          <w:szCs w:val="21"/>
          <w:highlight w:val="none"/>
        </w:rPr>
      </w:pPr>
    </w:p>
    <w:p w14:paraId="494D1ABE">
      <w:pPr>
        <w:kinsoku w:val="0"/>
        <w:autoSpaceDE w:val="0"/>
        <w:autoSpaceDN w:val="0"/>
        <w:adjustRightInd w:val="0"/>
        <w:snapToGrid w:val="0"/>
        <w:spacing w:line="560" w:lineRule="exact"/>
        <w:ind w:left="27"/>
        <w:jc w:val="left"/>
        <w:textAlignment w:val="baseline"/>
        <w:outlineLvl w:val="1"/>
        <w:rPr>
          <w:rFonts w:ascii="宋体" w:hAnsi="宋体" w:eastAsia="宋体" w:cs="宋体"/>
          <w:snapToGrid w:val="0"/>
          <w:color w:val="auto"/>
          <w:kern w:val="0"/>
          <w:sz w:val="28"/>
          <w:szCs w:val="28"/>
          <w:highlight w:val="none"/>
        </w:rPr>
      </w:pPr>
      <w:r>
        <w:rPr>
          <w:rFonts w:ascii="宋体" w:hAnsi="宋体" w:eastAsia="宋体" w:cs="宋体"/>
          <w:snapToGrid w:val="0"/>
          <w:color w:val="auto"/>
          <w:spacing w:val="-2"/>
          <w:kern w:val="0"/>
          <w:sz w:val="28"/>
          <w:szCs w:val="28"/>
          <w:highlight w:val="none"/>
        </w:rPr>
        <w:t>乙  方：</w:t>
      </w:r>
      <w:r>
        <w:rPr>
          <w:rFonts w:hint="eastAsia" w:ascii="宋体" w:hAnsi="宋体" w:eastAsia="宋体" w:cs="宋体"/>
          <w:snapToGrid w:val="0"/>
          <w:color w:val="auto"/>
          <w:spacing w:val="-2"/>
          <w:kern w:val="0"/>
          <w:sz w:val="28"/>
          <w:szCs w:val="28"/>
          <w:highlight w:val="none"/>
          <w:lang w:val="en-US" w:eastAsia="zh-CN"/>
        </w:rPr>
        <w:t xml:space="preserve">                           </w:t>
      </w:r>
      <w:r>
        <w:rPr>
          <w:rFonts w:ascii="宋体" w:hAnsi="宋体" w:eastAsia="宋体" w:cs="宋体"/>
          <w:snapToGrid w:val="0"/>
          <w:color w:val="auto"/>
          <w:spacing w:val="-2"/>
          <w:kern w:val="0"/>
          <w:sz w:val="28"/>
          <w:szCs w:val="28"/>
          <w:highlight w:val="none"/>
        </w:rPr>
        <w:t>（盖章）</w:t>
      </w:r>
    </w:p>
    <w:p w14:paraId="112751BF">
      <w:pPr>
        <w:kinsoku w:val="0"/>
        <w:autoSpaceDE w:val="0"/>
        <w:autoSpaceDN w:val="0"/>
        <w:adjustRightInd w:val="0"/>
        <w:snapToGrid w:val="0"/>
        <w:spacing w:line="560" w:lineRule="exact"/>
        <w:ind w:right="3004" w:firstLine="1"/>
        <w:jc w:val="left"/>
        <w:textAlignment w:val="baseline"/>
        <w:rPr>
          <w:rFonts w:ascii="宋体" w:hAnsi="宋体" w:eastAsia="宋体" w:cs="宋体"/>
          <w:snapToGrid w:val="0"/>
          <w:color w:val="auto"/>
          <w:spacing w:val="1"/>
          <w:kern w:val="0"/>
          <w:sz w:val="28"/>
          <w:szCs w:val="28"/>
          <w:highlight w:val="none"/>
        </w:rPr>
      </w:pPr>
      <w:r>
        <w:rPr>
          <w:rFonts w:ascii="宋体" w:hAnsi="宋体" w:eastAsia="宋体" w:cs="宋体"/>
          <w:snapToGrid w:val="0"/>
          <w:color w:val="auto"/>
          <w:kern w:val="0"/>
          <w:sz w:val="28"/>
          <w:szCs w:val="28"/>
          <w:highlight w:val="none"/>
        </w:rPr>
        <w:t>法定代表人/授权代表</w:t>
      </w:r>
      <w:r>
        <w:rPr>
          <w:rFonts w:ascii="宋体" w:hAnsi="宋体" w:eastAsia="宋体" w:cs="宋体"/>
          <w:snapToGrid w:val="0"/>
          <w:color w:val="auto"/>
          <w:spacing w:val="-16"/>
          <w:kern w:val="0"/>
          <w:sz w:val="28"/>
          <w:szCs w:val="28"/>
          <w:highlight w:val="none"/>
        </w:rPr>
        <w:t>：（</w:t>
      </w:r>
      <w:r>
        <w:rPr>
          <w:rFonts w:ascii="宋体" w:hAnsi="宋体" w:eastAsia="宋体" w:cs="宋体"/>
          <w:snapToGrid w:val="0"/>
          <w:color w:val="auto"/>
          <w:kern w:val="0"/>
          <w:sz w:val="28"/>
          <w:szCs w:val="28"/>
          <w:highlight w:val="none"/>
        </w:rPr>
        <w:t>签字或盖章）</w:t>
      </w:r>
    </w:p>
    <w:p w14:paraId="32AA9711">
      <w:pPr>
        <w:kinsoku w:val="0"/>
        <w:autoSpaceDE w:val="0"/>
        <w:autoSpaceDN w:val="0"/>
        <w:adjustRightInd w:val="0"/>
        <w:snapToGrid w:val="0"/>
        <w:spacing w:line="560" w:lineRule="exact"/>
        <w:ind w:right="3004" w:firstLine="1"/>
        <w:jc w:val="left"/>
        <w:textAlignment w:val="baseline"/>
        <w:rPr>
          <w:rFonts w:ascii="宋体" w:hAnsi="宋体" w:eastAsia="宋体" w:cs="宋体"/>
          <w:snapToGrid w:val="0"/>
          <w:color w:val="auto"/>
          <w:spacing w:val="-3"/>
          <w:kern w:val="0"/>
          <w:sz w:val="28"/>
          <w:szCs w:val="28"/>
          <w:highlight w:val="none"/>
        </w:rPr>
      </w:pPr>
      <w:r>
        <w:rPr>
          <w:rFonts w:ascii="宋体" w:hAnsi="宋体" w:eastAsia="宋体" w:cs="宋体"/>
          <w:snapToGrid w:val="0"/>
          <w:color w:val="auto"/>
          <w:spacing w:val="-3"/>
          <w:kern w:val="0"/>
          <w:sz w:val="28"/>
          <w:szCs w:val="28"/>
          <w:highlight w:val="none"/>
        </w:rPr>
        <w:t>签署日期：    年月日</w:t>
      </w:r>
    </w:p>
    <w:p w14:paraId="1089DBBA">
      <w:pPr>
        <w:pStyle w:val="4"/>
        <w:rPr>
          <w:color w:val="auto"/>
          <w:highlight w:val="none"/>
        </w:rPr>
      </w:pPr>
    </w:p>
    <w:p w14:paraId="7DE14535">
      <w:pPr>
        <w:rPr>
          <w:rFonts w:ascii="宋体" w:hAnsi="宋体" w:eastAsia="宋体" w:cs="宋体"/>
          <w:snapToGrid w:val="0"/>
          <w:color w:val="auto"/>
          <w:spacing w:val="-3"/>
          <w:kern w:val="0"/>
          <w:sz w:val="28"/>
          <w:szCs w:val="28"/>
          <w:highlight w:val="none"/>
        </w:rPr>
      </w:pPr>
    </w:p>
    <w:p w14:paraId="0EF283E4">
      <w:pPr>
        <w:spacing w:line="536" w:lineRule="exact"/>
        <w:ind w:firstLine="640" w:firstLineChars="200"/>
        <w:rPr>
          <w:rFonts w:ascii="Times New Roman" w:hAnsi="Times New Roman" w:eastAsia="仿宋" w:cs="Times New Roman"/>
          <w:color w:val="auto"/>
          <w:sz w:val="32"/>
          <w:szCs w:val="32"/>
          <w:highlight w:val="none"/>
        </w:rPr>
      </w:pPr>
      <w:r>
        <w:rPr>
          <w:rFonts w:ascii="Times New Roman" w:hAnsi="Times New Roman" w:eastAsia="仿宋" w:cs="Times New Roman"/>
          <w:color w:val="auto"/>
          <w:sz w:val="32"/>
          <w:szCs w:val="32"/>
          <w:highlight w:val="none"/>
        </w:rPr>
        <w:br w:type="page"/>
      </w:r>
      <w:r>
        <w:rPr>
          <w:rFonts w:ascii="Times New Roman" w:hAnsi="Times New Roman" w:eastAsia="仿宋" w:cs="Times New Roman"/>
          <w:color w:val="auto"/>
          <w:sz w:val="32"/>
          <w:szCs w:val="32"/>
          <w:highlight w:val="none"/>
        </w:rPr>
        <w:t>附件</w:t>
      </w:r>
    </w:p>
    <w:p w14:paraId="3F6104D6">
      <w:pPr>
        <w:keepNext w:val="0"/>
        <w:keepLines w:val="0"/>
        <w:pageBreakBefore w:val="0"/>
        <w:widowControl w:val="0"/>
        <w:kinsoku/>
        <w:wordWrap/>
        <w:overflowPunct/>
        <w:topLinePunct w:val="0"/>
        <w:autoSpaceDE/>
        <w:autoSpaceDN/>
        <w:bidi w:val="0"/>
        <w:snapToGrid/>
        <w:spacing w:line="536" w:lineRule="exact"/>
        <w:ind w:firstLine="640" w:firstLineChars="200"/>
        <w:jc w:val="center"/>
        <w:textAlignment w:val="auto"/>
        <w:rPr>
          <w:rFonts w:hint="eastAsia" w:ascii="方正小标宋_GBK" w:hAnsi="方正小标宋_GBK" w:eastAsia="方正小标宋_GBK" w:cs="方正小标宋_GBK"/>
          <w:b/>
          <w:bCs/>
          <w:color w:val="auto"/>
          <w:sz w:val="32"/>
          <w:szCs w:val="32"/>
          <w:highlight w:val="none"/>
          <w:shd w:val="clear" w:color="auto" w:fill="auto"/>
        </w:rPr>
      </w:pPr>
      <w:r>
        <w:rPr>
          <w:rFonts w:hint="eastAsia" w:ascii="方正小标宋_GBK" w:hAnsi="方正小标宋_GBK" w:eastAsia="方正小标宋_GBK" w:cs="方正小标宋_GBK"/>
          <w:color w:val="auto"/>
          <w:sz w:val="32"/>
          <w:szCs w:val="32"/>
          <w:highlight w:val="none"/>
          <w:shd w:val="clear" w:color="auto" w:fill="auto"/>
        </w:rPr>
        <w:t>食堂管理考核表</w:t>
      </w:r>
    </w:p>
    <w:tbl>
      <w:tblPr>
        <w:tblStyle w:val="12"/>
        <w:tblpPr w:leftFromText="180" w:rightFromText="180" w:vertAnchor="text" w:horzAnchor="page" w:tblpX="1665" w:tblpY="640"/>
        <w:tblOverlap w:val="never"/>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6570"/>
        <w:gridCol w:w="745"/>
        <w:gridCol w:w="739"/>
      </w:tblGrid>
      <w:tr w14:paraId="09310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noWrap w:val="0"/>
            <w:vAlign w:val="center"/>
          </w:tcPr>
          <w:p w14:paraId="46338314">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考核项目</w:t>
            </w:r>
          </w:p>
        </w:tc>
        <w:tc>
          <w:tcPr>
            <w:tcW w:w="6570" w:type="dxa"/>
            <w:noWrap w:val="0"/>
            <w:vAlign w:val="center"/>
          </w:tcPr>
          <w:p w14:paraId="0D7991DD">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考核内容</w:t>
            </w:r>
          </w:p>
        </w:tc>
        <w:tc>
          <w:tcPr>
            <w:tcW w:w="745" w:type="dxa"/>
            <w:noWrap w:val="0"/>
            <w:vAlign w:val="center"/>
          </w:tcPr>
          <w:p w14:paraId="2D6FE755">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扣减</w:t>
            </w:r>
          </w:p>
        </w:tc>
        <w:tc>
          <w:tcPr>
            <w:tcW w:w="739" w:type="dxa"/>
            <w:noWrap w:val="0"/>
            <w:vAlign w:val="center"/>
          </w:tcPr>
          <w:p w14:paraId="52D8AAF3">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得分</w:t>
            </w:r>
          </w:p>
        </w:tc>
      </w:tr>
      <w:tr w14:paraId="1B002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restart"/>
            <w:noWrap w:val="0"/>
            <w:vAlign w:val="center"/>
          </w:tcPr>
          <w:p w14:paraId="1222C57F">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val="en-US" w:eastAsia="zh-CN"/>
              </w:rPr>
            </w:pPr>
            <w:r>
              <w:rPr>
                <w:rFonts w:hint="default" w:ascii="Times New Roman" w:hAnsi="Times New Roman" w:eastAsia="仿宋_GB2312" w:cs="Times New Roman"/>
                <w:color w:val="auto"/>
                <w:sz w:val="24"/>
                <w:szCs w:val="24"/>
                <w:highlight w:val="none"/>
                <w:vertAlign w:val="baseline"/>
                <w:lang w:eastAsia="zh-CN"/>
              </w:rPr>
              <w:t>伙食质量（</w:t>
            </w:r>
            <w:r>
              <w:rPr>
                <w:rFonts w:hint="default" w:ascii="Times New Roman" w:hAnsi="Times New Roman" w:eastAsia="仿宋_GB2312" w:cs="Times New Roman"/>
                <w:color w:val="auto"/>
                <w:sz w:val="24"/>
                <w:szCs w:val="24"/>
                <w:highlight w:val="none"/>
                <w:vertAlign w:val="baseline"/>
                <w:lang w:val="en-US" w:eastAsia="zh-CN"/>
              </w:rPr>
              <w:t>30分）</w:t>
            </w:r>
          </w:p>
        </w:tc>
        <w:tc>
          <w:tcPr>
            <w:tcW w:w="6570" w:type="dxa"/>
            <w:noWrap w:val="0"/>
            <w:vAlign w:val="top"/>
          </w:tcPr>
          <w:p w14:paraId="69832A2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有效食品经营许可证未及时上墙，扣1分/次。</w:t>
            </w:r>
          </w:p>
        </w:tc>
        <w:tc>
          <w:tcPr>
            <w:tcW w:w="745" w:type="dxa"/>
            <w:noWrap w:val="0"/>
            <w:vAlign w:val="top"/>
          </w:tcPr>
          <w:p w14:paraId="610294A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tc>
        <w:tc>
          <w:tcPr>
            <w:tcW w:w="739" w:type="dxa"/>
            <w:noWrap w:val="0"/>
            <w:vAlign w:val="top"/>
          </w:tcPr>
          <w:p w14:paraId="1528F38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tc>
      </w:tr>
      <w:tr w14:paraId="1FF53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trPr>
        <w:tc>
          <w:tcPr>
            <w:tcW w:w="1265" w:type="dxa"/>
            <w:vMerge w:val="continue"/>
            <w:noWrap w:val="0"/>
            <w:vAlign w:val="top"/>
          </w:tcPr>
          <w:p w14:paraId="1D66D928">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tc>
        <w:tc>
          <w:tcPr>
            <w:tcW w:w="6570" w:type="dxa"/>
            <w:noWrap w:val="0"/>
            <w:vAlign w:val="top"/>
          </w:tcPr>
          <w:p w14:paraId="3D05EABF">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rPr>
              <w:t>食品、食品添加剂、食品相关产品供货商营业执照和产品合格证明文件</w:t>
            </w:r>
            <w:r>
              <w:rPr>
                <w:rFonts w:hint="default" w:ascii="Times New Roman" w:hAnsi="Times New Roman" w:eastAsia="仿宋_GB2312" w:cs="Times New Roman"/>
                <w:color w:val="auto"/>
                <w:sz w:val="24"/>
                <w:szCs w:val="24"/>
                <w:highlight w:val="none"/>
                <w:vertAlign w:val="baseline"/>
                <w:lang w:eastAsia="zh-CN"/>
              </w:rPr>
              <w:t>不</w:t>
            </w:r>
            <w:r>
              <w:rPr>
                <w:rFonts w:hint="default" w:ascii="Times New Roman" w:hAnsi="Times New Roman" w:eastAsia="仿宋_GB2312" w:cs="Times New Roman"/>
                <w:color w:val="auto"/>
                <w:sz w:val="24"/>
                <w:szCs w:val="24"/>
                <w:highlight w:val="none"/>
                <w:vertAlign w:val="baseline"/>
              </w:rPr>
              <w:t>齐全、不在有效期内、产品合格证与批次不相符，扣2分/次</w:t>
            </w:r>
            <w:r>
              <w:rPr>
                <w:rFonts w:hint="default" w:ascii="Times New Roman" w:hAnsi="Times New Roman" w:eastAsia="仿宋_GB2312" w:cs="Times New Roman"/>
                <w:color w:val="auto"/>
                <w:sz w:val="24"/>
                <w:szCs w:val="24"/>
                <w:highlight w:val="none"/>
                <w:vertAlign w:val="baseline"/>
                <w:lang w:eastAsia="zh-CN"/>
              </w:rPr>
              <w:t>。</w:t>
            </w:r>
          </w:p>
        </w:tc>
        <w:tc>
          <w:tcPr>
            <w:tcW w:w="745" w:type="dxa"/>
            <w:noWrap w:val="0"/>
            <w:vAlign w:val="top"/>
          </w:tcPr>
          <w:p w14:paraId="273A53D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6F5A8B3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4F967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06999CA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71BD54FF">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进货票据不齐全，扣2分/次。</w:t>
            </w:r>
          </w:p>
        </w:tc>
        <w:tc>
          <w:tcPr>
            <w:tcW w:w="745" w:type="dxa"/>
            <w:noWrap w:val="0"/>
            <w:vAlign w:val="top"/>
          </w:tcPr>
          <w:p w14:paraId="305C95B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3466FFA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1FA62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18DB0FEC">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03D75A22">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相关后厨台账不完整，扣2分/次。</w:t>
            </w:r>
          </w:p>
        </w:tc>
        <w:tc>
          <w:tcPr>
            <w:tcW w:w="745" w:type="dxa"/>
            <w:noWrap w:val="0"/>
            <w:vAlign w:val="top"/>
          </w:tcPr>
          <w:p w14:paraId="499B5ED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3C71F7E5">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02FA2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7DA432A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1D5053D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使用不新鲜、变质、发潮、腐烂或霜变的食品原料，扣3分/次。</w:t>
            </w:r>
          </w:p>
        </w:tc>
        <w:tc>
          <w:tcPr>
            <w:tcW w:w="745" w:type="dxa"/>
            <w:noWrap w:val="0"/>
            <w:vAlign w:val="top"/>
          </w:tcPr>
          <w:p w14:paraId="6E14BBF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46592B8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334AD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4C3488D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1996B405">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有保质期食材超过保质期</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扣3分/次。</w:t>
            </w:r>
          </w:p>
        </w:tc>
        <w:tc>
          <w:tcPr>
            <w:tcW w:w="745" w:type="dxa"/>
            <w:noWrap w:val="0"/>
            <w:vAlign w:val="top"/>
          </w:tcPr>
          <w:p w14:paraId="4758B78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04CB2BCA">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4643C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57504E8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1D5D1D1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rPr>
              <w:t>定型包装食品无标签或没有“SC”标记</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扣3分/次</w:t>
            </w:r>
            <w:r>
              <w:rPr>
                <w:rFonts w:hint="default" w:ascii="Times New Roman" w:hAnsi="Times New Roman" w:eastAsia="仿宋_GB2312" w:cs="Times New Roman"/>
                <w:color w:val="auto"/>
                <w:sz w:val="24"/>
                <w:szCs w:val="24"/>
                <w:highlight w:val="none"/>
                <w:vertAlign w:val="baseline"/>
                <w:lang w:eastAsia="zh-CN"/>
              </w:rPr>
              <w:t>。</w:t>
            </w:r>
          </w:p>
        </w:tc>
        <w:tc>
          <w:tcPr>
            <w:tcW w:w="745" w:type="dxa"/>
            <w:noWrap w:val="0"/>
            <w:vAlign w:val="top"/>
          </w:tcPr>
          <w:p w14:paraId="2CC4F925">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203C3B7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097CB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42943F0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125F56E8">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食品食物中出现</w:t>
            </w:r>
            <w:r>
              <w:rPr>
                <w:rFonts w:hint="default" w:ascii="Times New Roman" w:hAnsi="Times New Roman" w:eastAsia="仿宋_GB2312" w:cs="Times New Roman"/>
                <w:color w:val="auto"/>
                <w:sz w:val="24"/>
                <w:szCs w:val="24"/>
                <w:highlight w:val="none"/>
                <w:vertAlign w:val="baseline"/>
                <w:lang w:eastAsia="zh-CN"/>
              </w:rPr>
              <w:t>杂</w:t>
            </w:r>
            <w:r>
              <w:rPr>
                <w:rFonts w:hint="default" w:ascii="Times New Roman" w:hAnsi="Times New Roman" w:eastAsia="仿宋_GB2312" w:cs="Times New Roman"/>
                <w:color w:val="auto"/>
                <w:sz w:val="24"/>
                <w:szCs w:val="24"/>
                <w:highlight w:val="none"/>
                <w:vertAlign w:val="baseline"/>
              </w:rPr>
              <w:t>物、不熟或异味现象</w:t>
            </w:r>
            <w:r>
              <w:rPr>
                <w:rFonts w:hint="default" w:ascii="Times New Roman" w:hAnsi="Times New Roman" w:eastAsia="仿宋_GB2312" w:cs="Times New Roman"/>
                <w:color w:val="auto"/>
                <w:sz w:val="24"/>
                <w:szCs w:val="24"/>
                <w:highlight w:val="none"/>
                <w:vertAlign w:val="baseline"/>
                <w:lang w:eastAsia="zh-CN"/>
              </w:rPr>
              <w:t>，扣</w:t>
            </w:r>
            <w:r>
              <w:rPr>
                <w:rFonts w:hint="default" w:ascii="Times New Roman" w:hAnsi="Times New Roman" w:eastAsia="仿宋_GB2312" w:cs="Times New Roman"/>
                <w:color w:val="auto"/>
                <w:sz w:val="24"/>
                <w:szCs w:val="24"/>
                <w:highlight w:val="none"/>
                <w:vertAlign w:val="baseline"/>
              </w:rPr>
              <w:t>1分/次。</w:t>
            </w:r>
          </w:p>
        </w:tc>
        <w:tc>
          <w:tcPr>
            <w:tcW w:w="745" w:type="dxa"/>
            <w:noWrap w:val="0"/>
            <w:vAlign w:val="top"/>
          </w:tcPr>
          <w:p w14:paraId="4D8ADAD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50841265">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7FA24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65" w:type="dxa"/>
            <w:vMerge w:val="continue"/>
            <w:noWrap w:val="0"/>
            <w:vAlign w:val="top"/>
          </w:tcPr>
          <w:p w14:paraId="0EA3BF3A">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274DA51F">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加工时</w:t>
            </w:r>
            <w:r>
              <w:rPr>
                <w:rFonts w:hint="default" w:ascii="Times New Roman" w:hAnsi="Times New Roman" w:eastAsia="仿宋_GB2312" w:cs="Times New Roman"/>
                <w:color w:val="auto"/>
                <w:sz w:val="24"/>
                <w:szCs w:val="24"/>
                <w:highlight w:val="none"/>
                <w:vertAlign w:val="baseline"/>
                <w:lang w:eastAsia="zh-CN"/>
              </w:rPr>
              <w:t>未</w:t>
            </w:r>
            <w:r>
              <w:rPr>
                <w:rFonts w:hint="default" w:ascii="Times New Roman" w:hAnsi="Times New Roman" w:eastAsia="仿宋_GB2312" w:cs="Times New Roman"/>
                <w:color w:val="auto"/>
                <w:sz w:val="24"/>
                <w:szCs w:val="24"/>
                <w:highlight w:val="none"/>
                <w:vertAlign w:val="baseline"/>
              </w:rPr>
              <w:t>做到生熟食品分</w:t>
            </w:r>
            <w:r>
              <w:rPr>
                <w:rFonts w:hint="default" w:ascii="Times New Roman" w:hAnsi="Times New Roman" w:eastAsia="仿宋_GB2312" w:cs="Times New Roman"/>
                <w:color w:val="auto"/>
                <w:sz w:val="24"/>
                <w:szCs w:val="24"/>
                <w:highlight w:val="none"/>
                <w:vertAlign w:val="baseline"/>
                <w:lang w:eastAsia="zh-CN"/>
              </w:rPr>
              <w:t>开</w:t>
            </w:r>
            <w:r>
              <w:rPr>
                <w:rFonts w:hint="default" w:ascii="Times New Roman" w:hAnsi="Times New Roman" w:eastAsia="仿宋_GB2312" w:cs="Times New Roman"/>
                <w:color w:val="auto"/>
                <w:sz w:val="24"/>
                <w:szCs w:val="24"/>
                <w:highlight w:val="none"/>
                <w:vertAlign w:val="baseline"/>
              </w:rPr>
              <w:t>，存在交义污染的风险</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扣2分/次。</w:t>
            </w:r>
          </w:p>
        </w:tc>
        <w:tc>
          <w:tcPr>
            <w:tcW w:w="745" w:type="dxa"/>
            <w:noWrap w:val="0"/>
            <w:vAlign w:val="top"/>
          </w:tcPr>
          <w:p w14:paraId="23A0988F">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182DC14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01A30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2D65CA3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4E455D7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rPr>
              <w:t>未按要求食品留样</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扣3分/次</w:t>
            </w:r>
            <w:r>
              <w:rPr>
                <w:rFonts w:hint="default" w:ascii="Times New Roman" w:hAnsi="Times New Roman" w:eastAsia="仿宋_GB2312" w:cs="Times New Roman"/>
                <w:color w:val="auto"/>
                <w:sz w:val="24"/>
                <w:szCs w:val="24"/>
                <w:highlight w:val="none"/>
                <w:vertAlign w:val="baseline"/>
                <w:lang w:eastAsia="zh-CN"/>
              </w:rPr>
              <w:t>。</w:t>
            </w:r>
          </w:p>
        </w:tc>
        <w:tc>
          <w:tcPr>
            <w:tcW w:w="745" w:type="dxa"/>
            <w:noWrap w:val="0"/>
            <w:vAlign w:val="top"/>
          </w:tcPr>
          <w:p w14:paraId="536A76B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7A5AA29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5085A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25A9113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000069C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食品添加剂</w:t>
            </w:r>
            <w:r>
              <w:rPr>
                <w:rFonts w:hint="default" w:ascii="Times New Roman" w:hAnsi="Times New Roman" w:eastAsia="仿宋_GB2312" w:cs="Times New Roman"/>
                <w:color w:val="auto"/>
                <w:sz w:val="24"/>
                <w:szCs w:val="24"/>
                <w:highlight w:val="none"/>
                <w:vertAlign w:val="baseline"/>
                <w:lang w:eastAsia="zh-CN"/>
              </w:rPr>
              <w:t>未</w:t>
            </w:r>
            <w:r>
              <w:rPr>
                <w:rFonts w:hint="default" w:ascii="Times New Roman" w:hAnsi="Times New Roman" w:eastAsia="仿宋_GB2312" w:cs="Times New Roman"/>
                <w:color w:val="auto"/>
                <w:sz w:val="24"/>
                <w:szCs w:val="24"/>
                <w:highlight w:val="none"/>
                <w:vertAlign w:val="baseline"/>
              </w:rPr>
              <w:t>按规范使用和</w:t>
            </w:r>
            <w:r>
              <w:rPr>
                <w:rFonts w:hint="default" w:ascii="Times New Roman" w:hAnsi="Times New Roman" w:eastAsia="仿宋_GB2312" w:cs="Times New Roman"/>
                <w:color w:val="auto"/>
                <w:sz w:val="24"/>
                <w:szCs w:val="24"/>
                <w:highlight w:val="none"/>
                <w:vertAlign w:val="baseline"/>
                <w:lang w:eastAsia="zh-CN"/>
              </w:rPr>
              <w:t>专册</w:t>
            </w:r>
            <w:r>
              <w:rPr>
                <w:rFonts w:hint="default" w:ascii="Times New Roman" w:hAnsi="Times New Roman" w:eastAsia="仿宋_GB2312" w:cs="Times New Roman"/>
                <w:color w:val="auto"/>
                <w:sz w:val="24"/>
                <w:szCs w:val="24"/>
                <w:highlight w:val="none"/>
                <w:vertAlign w:val="baseline"/>
              </w:rPr>
              <w:t>记录</w:t>
            </w:r>
            <w:r>
              <w:rPr>
                <w:rFonts w:hint="default" w:ascii="Times New Roman" w:hAnsi="Times New Roman" w:eastAsia="仿宋_GB2312" w:cs="Times New Roman"/>
                <w:color w:val="auto"/>
                <w:sz w:val="24"/>
                <w:szCs w:val="24"/>
                <w:highlight w:val="none"/>
                <w:vertAlign w:val="baseline"/>
                <w:lang w:eastAsia="zh-CN"/>
              </w:rPr>
              <w:t>，食品</w:t>
            </w:r>
            <w:r>
              <w:rPr>
                <w:rFonts w:hint="default" w:ascii="Times New Roman" w:hAnsi="Times New Roman" w:eastAsia="仿宋_GB2312" w:cs="Times New Roman"/>
                <w:color w:val="auto"/>
                <w:sz w:val="24"/>
                <w:szCs w:val="24"/>
                <w:highlight w:val="none"/>
                <w:vertAlign w:val="baseline"/>
              </w:rPr>
              <w:t>添加</w:t>
            </w:r>
            <w:r>
              <w:rPr>
                <w:rFonts w:hint="default" w:ascii="Times New Roman" w:hAnsi="Times New Roman" w:eastAsia="仿宋_GB2312" w:cs="Times New Roman"/>
                <w:color w:val="auto"/>
                <w:sz w:val="24"/>
                <w:szCs w:val="24"/>
                <w:highlight w:val="none"/>
                <w:vertAlign w:val="baseline"/>
                <w:lang w:eastAsia="zh-CN"/>
              </w:rPr>
              <w:t>未</w:t>
            </w:r>
            <w:r>
              <w:rPr>
                <w:rFonts w:hint="default" w:ascii="Times New Roman" w:hAnsi="Times New Roman" w:eastAsia="仿宋_GB2312" w:cs="Times New Roman"/>
                <w:color w:val="auto"/>
                <w:sz w:val="24"/>
                <w:szCs w:val="24"/>
                <w:highlight w:val="none"/>
                <w:vertAlign w:val="baseline"/>
              </w:rPr>
              <w:t>专柜(或专位)</w:t>
            </w:r>
            <w:r>
              <w:rPr>
                <w:rFonts w:hint="default" w:ascii="Times New Roman" w:hAnsi="Times New Roman" w:eastAsia="仿宋_GB2312" w:cs="Times New Roman"/>
                <w:color w:val="auto"/>
                <w:sz w:val="24"/>
                <w:szCs w:val="24"/>
                <w:highlight w:val="none"/>
                <w:vertAlign w:val="baseline"/>
                <w:lang w:eastAsia="zh-CN"/>
              </w:rPr>
              <w:t>贮存</w:t>
            </w:r>
            <w:r>
              <w:rPr>
                <w:rFonts w:hint="default" w:ascii="Times New Roman" w:hAnsi="Times New Roman" w:eastAsia="仿宋_GB2312" w:cs="Times New Roman"/>
                <w:color w:val="auto"/>
                <w:sz w:val="24"/>
                <w:szCs w:val="24"/>
                <w:highlight w:val="none"/>
                <w:vertAlign w:val="baseline"/>
              </w:rPr>
              <w:t>存并标识“食品添加剂”字样</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添加的使用记录填写</w:t>
            </w:r>
            <w:r>
              <w:rPr>
                <w:rFonts w:hint="default" w:ascii="Times New Roman" w:hAnsi="Times New Roman" w:eastAsia="仿宋_GB2312" w:cs="Times New Roman"/>
                <w:color w:val="auto"/>
                <w:sz w:val="24"/>
                <w:szCs w:val="24"/>
                <w:highlight w:val="none"/>
                <w:vertAlign w:val="baseline"/>
                <w:lang w:eastAsia="zh-CN"/>
              </w:rPr>
              <w:t>不规范</w:t>
            </w:r>
            <w:r>
              <w:rPr>
                <w:rFonts w:hint="default" w:ascii="Times New Roman" w:hAnsi="Times New Roman" w:eastAsia="仿宋_GB2312" w:cs="Times New Roman"/>
                <w:color w:val="auto"/>
                <w:sz w:val="24"/>
                <w:szCs w:val="24"/>
                <w:highlight w:val="none"/>
                <w:vertAlign w:val="baseline"/>
              </w:rPr>
              <w:t>，使用容器盛放拆包后的食品添加剂，容器上</w:t>
            </w:r>
            <w:r>
              <w:rPr>
                <w:rFonts w:hint="default" w:ascii="Times New Roman" w:hAnsi="Times New Roman" w:eastAsia="仿宋_GB2312" w:cs="Times New Roman"/>
                <w:color w:val="auto"/>
                <w:sz w:val="24"/>
                <w:szCs w:val="24"/>
                <w:highlight w:val="none"/>
                <w:vertAlign w:val="baseline"/>
                <w:lang w:eastAsia="zh-CN"/>
              </w:rPr>
              <w:t>未</w:t>
            </w:r>
            <w:r>
              <w:rPr>
                <w:rFonts w:hint="default" w:ascii="Times New Roman" w:hAnsi="Times New Roman" w:eastAsia="仿宋_GB2312" w:cs="Times New Roman"/>
                <w:color w:val="auto"/>
                <w:sz w:val="24"/>
                <w:szCs w:val="24"/>
                <w:highlight w:val="none"/>
                <w:vertAlign w:val="baseline"/>
              </w:rPr>
              <w:t>标明食品添加剂名称</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扣3分/次。</w:t>
            </w:r>
          </w:p>
        </w:tc>
        <w:tc>
          <w:tcPr>
            <w:tcW w:w="745" w:type="dxa"/>
            <w:noWrap w:val="0"/>
            <w:vAlign w:val="top"/>
          </w:tcPr>
          <w:p w14:paraId="2F2DD7E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79424C1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35DE1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1EC23DE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4FCECE2C">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食</w:t>
            </w:r>
            <w:r>
              <w:rPr>
                <w:rFonts w:hint="default" w:ascii="Times New Roman" w:hAnsi="Times New Roman" w:eastAsia="仿宋_GB2312" w:cs="Times New Roman"/>
                <w:color w:val="auto"/>
                <w:sz w:val="24"/>
                <w:szCs w:val="24"/>
                <w:highlight w:val="none"/>
                <w:vertAlign w:val="baseline"/>
              </w:rPr>
              <w:t>品原料、用具分类放置无标识，净菜未做到离墙离地</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扣1分/次。</w:t>
            </w:r>
          </w:p>
        </w:tc>
        <w:tc>
          <w:tcPr>
            <w:tcW w:w="745" w:type="dxa"/>
            <w:noWrap w:val="0"/>
            <w:vAlign w:val="top"/>
          </w:tcPr>
          <w:p w14:paraId="28AC7B6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0623F79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0C135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6869B56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5ADD4E9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餐厅</w:t>
            </w:r>
            <w:r>
              <w:rPr>
                <w:rFonts w:hint="default" w:ascii="Times New Roman" w:hAnsi="Times New Roman" w:eastAsia="仿宋_GB2312" w:cs="Times New Roman"/>
                <w:color w:val="auto"/>
                <w:sz w:val="24"/>
                <w:szCs w:val="24"/>
                <w:highlight w:val="none"/>
                <w:vertAlign w:val="baseline"/>
              </w:rPr>
              <w:t>调料罐未做到洁净并标识</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扣1分/次。</w:t>
            </w:r>
          </w:p>
        </w:tc>
        <w:tc>
          <w:tcPr>
            <w:tcW w:w="745" w:type="dxa"/>
            <w:noWrap w:val="0"/>
            <w:vAlign w:val="top"/>
          </w:tcPr>
          <w:p w14:paraId="4225C4B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6633C942">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bl>
    <w:p w14:paraId="22C6983C">
      <w:pPr>
        <w:pStyle w:val="2"/>
        <w:rPr>
          <w:color w:val="auto"/>
          <w:highlight w:val="none"/>
        </w:rPr>
      </w:pPr>
    </w:p>
    <w:tbl>
      <w:tblPr>
        <w:tblStyle w:val="12"/>
        <w:tblpPr w:leftFromText="180" w:rightFromText="180" w:vertAnchor="text" w:horzAnchor="page" w:tblpX="1665" w:tblpY="1"/>
        <w:tblOverlap w:val="never"/>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6570"/>
        <w:gridCol w:w="745"/>
        <w:gridCol w:w="739"/>
      </w:tblGrid>
      <w:tr w14:paraId="60C0F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noWrap w:val="0"/>
            <w:vAlign w:val="center"/>
          </w:tcPr>
          <w:p w14:paraId="0C5223E7">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考核项目</w:t>
            </w:r>
          </w:p>
        </w:tc>
        <w:tc>
          <w:tcPr>
            <w:tcW w:w="6570" w:type="dxa"/>
            <w:noWrap w:val="0"/>
            <w:vAlign w:val="center"/>
          </w:tcPr>
          <w:p w14:paraId="1291806C">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考核内容</w:t>
            </w:r>
          </w:p>
        </w:tc>
        <w:tc>
          <w:tcPr>
            <w:tcW w:w="745" w:type="dxa"/>
            <w:noWrap w:val="0"/>
            <w:vAlign w:val="center"/>
          </w:tcPr>
          <w:p w14:paraId="56798313">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扣减</w:t>
            </w:r>
          </w:p>
        </w:tc>
        <w:tc>
          <w:tcPr>
            <w:tcW w:w="739" w:type="dxa"/>
            <w:noWrap w:val="0"/>
            <w:vAlign w:val="center"/>
          </w:tcPr>
          <w:p w14:paraId="3492B1B8">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得分</w:t>
            </w:r>
          </w:p>
        </w:tc>
      </w:tr>
      <w:tr w14:paraId="1B27A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restart"/>
            <w:noWrap w:val="0"/>
            <w:vAlign w:val="top"/>
          </w:tcPr>
          <w:p w14:paraId="277256A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p w14:paraId="2EFA2B48">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p w14:paraId="64E17978">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p w14:paraId="596967A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p w14:paraId="73567F3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伙食质量（</w:t>
            </w:r>
            <w:r>
              <w:rPr>
                <w:rFonts w:hint="default" w:ascii="Times New Roman" w:hAnsi="Times New Roman" w:eastAsia="仿宋_GB2312" w:cs="Times New Roman"/>
                <w:color w:val="auto"/>
                <w:sz w:val="24"/>
                <w:szCs w:val="24"/>
                <w:highlight w:val="none"/>
                <w:vertAlign w:val="baseline"/>
                <w:lang w:val="en-US" w:eastAsia="zh-CN"/>
              </w:rPr>
              <w:t>30分）</w:t>
            </w:r>
          </w:p>
        </w:tc>
        <w:tc>
          <w:tcPr>
            <w:tcW w:w="6570" w:type="dxa"/>
            <w:noWrap w:val="0"/>
            <w:vAlign w:val="top"/>
          </w:tcPr>
          <w:p w14:paraId="1AF781D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冰箱内摆放不整齐，生熟食、半成品未分开摆放，不按规定标识冰箱内外部</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扣1分/次。</w:t>
            </w:r>
          </w:p>
        </w:tc>
        <w:tc>
          <w:tcPr>
            <w:tcW w:w="745" w:type="dxa"/>
            <w:noWrap w:val="0"/>
            <w:vAlign w:val="top"/>
          </w:tcPr>
          <w:p w14:paraId="660CCF8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65F6273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5A0D9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563F097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5D5BB6F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未做到剩饭菜“蔬菜不隔餐，</w:t>
            </w:r>
            <w:r>
              <w:rPr>
                <w:rFonts w:hint="default" w:ascii="Times New Roman" w:hAnsi="Times New Roman" w:eastAsia="仿宋_GB2312" w:cs="Times New Roman"/>
                <w:color w:val="auto"/>
                <w:sz w:val="24"/>
                <w:szCs w:val="24"/>
                <w:highlight w:val="none"/>
                <w:vertAlign w:val="baseline"/>
                <w:lang w:eastAsia="zh-CN"/>
              </w:rPr>
              <w:t>荤</w:t>
            </w:r>
            <w:r>
              <w:rPr>
                <w:rFonts w:hint="default" w:ascii="Times New Roman" w:hAnsi="Times New Roman" w:eastAsia="仿宋_GB2312" w:cs="Times New Roman"/>
                <w:color w:val="auto"/>
                <w:sz w:val="24"/>
                <w:szCs w:val="24"/>
                <w:highlight w:val="none"/>
                <w:vertAlign w:val="baseline"/>
              </w:rPr>
              <w:t>菜不隔夜"，如有少</w:t>
            </w:r>
            <w:r>
              <w:rPr>
                <w:rFonts w:hint="default" w:ascii="Times New Roman" w:hAnsi="Times New Roman" w:eastAsia="仿宋_GB2312" w:cs="Times New Roman"/>
                <w:color w:val="auto"/>
                <w:sz w:val="24"/>
                <w:szCs w:val="24"/>
                <w:highlight w:val="none"/>
                <w:vertAlign w:val="baseline"/>
                <w:lang w:eastAsia="zh-CN"/>
              </w:rPr>
              <w:t>量</w:t>
            </w:r>
            <w:r>
              <w:rPr>
                <w:rFonts w:hint="default" w:ascii="Times New Roman" w:hAnsi="Times New Roman" w:eastAsia="仿宋_GB2312" w:cs="Times New Roman"/>
                <w:color w:val="auto"/>
                <w:sz w:val="24"/>
                <w:szCs w:val="24"/>
                <w:highlight w:val="none"/>
                <w:vertAlign w:val="baseline"/>
              </w:rPr>
              <w:t>纯荤菜必须加贴标签进行冷藏，同时要有记录。再次销售必须烧熟煮透、中心温度不低于75℃</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扣2分/次。</w:t>
            </w:r>
          </w:p>
        </w:tc>
        <w:tc>
          <w:tcPr>
            <w:tcW w:w="745" w:type="dxa"/>
            <w:noWrap w:val="0"/>
            <w:vAlign w:val="top"/>
          </w:tcPr>
          <w:p w14:paraId="0F0D52BC">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6D9A8C6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6367E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1321248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67AECD1A">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菜肴或主食制品份量明显不足</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扣2分/次。</w:t>
            </w:r>
          </w:p>
        </w:tc>
        <w:tc>
          <w:tcPr>
            <w:tcW w:w="745" w:type="dxa"/>
            <w:noWrap w:val="0"/>
            <w:vAlign w:val="top"/>
          </w:tcPr>
          <w:p w14:paraId="7261077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1E84DFA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78012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2EEB3DC2">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1D6D1C6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未按照合同要求执行午餐标准</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扣3分/次</w:t>
            </w:r>
          </w:p>
        </w:tc>
        <w:tc>
          <w:tcPr>
            <w:tcW w:w="745" w:type="dxa"/>
            <w:noWrap w:val="0"/>
            <w:vAlign w:val="top"/>
          </w:tcPr>
          <w:p w14:paraId="6542EE2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7B8EC81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54E73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7122486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19519DF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一周内菜</w:t>
            </w:r>
            <w:r>
              <w:rPr>
                <w:rFonts w:hint="default" w:ascii="Times New Roman" w:hAnsi="Times New Roman" w:eastAsia="仿宋_GB2312" w:cs="Times New Roman"/>
                <w:color w:val="auto"/>
                <w:sz w:val="24"/>
                <w:szCs w:val="24"/>
                <w:highlight w:val="none"/>
                <w:vertAlign w:val="baseline"/>
                <w:lang w:eastAsia="zh-CN"/>
              </w:rPr>
              <w:t>品</w:t>
            </w:r>
            <w:r>
              <w:rPr>
                <w:rFonts w:hint="default" w:ascii="Times New Roman" w:hAnsi="Times New Roman" w:eastAsia="仿宋_GB2312" w:cs="Times New Roman"/>
                <w:color w:val="auto"/>
                <w:sz w:val="24"/>
                <w:szCs w:val="24"/>
                <w:highlight w:val="none"/>
                <w:vertAlign w:val="baseline"/>
              </w:rPr>
              <w:t>重复</w:t>
            </w:r>
            <w:r>
              <w:rPr>
                <w:rFonts w:hint="default" w:ascii="Times New Roman" w:hAnsi="Times New Roman" w:eastAsia="仿宋_GB2312" w:cs="Times New Roman"/>
                <w:color w:val="auto"/>
                <w:sz w:val="24"/>
                <w:szCs w:val="24"/>
                <w:highlight w:val="none"/>
                <w:vertAlign w:val="baseline"/>
                <w:lang w:eastAsia="zh-CN"/>
              </w:rPr>
              <w:t>超过</w:t>
            </w:r>
            <w:r>
              <w:rPr>
                <w:rFonts w:hint="default" w:ascii="Times New Roman" w:hAnsi="Times New Roman" w:eastAsia="仿宋_GB2312" w:cs="Times New Roman"/>
                <w:color w:val="auto"/>
                <w:sz w:val="24"/>
                <w:szCs w:val="24"/>
                <w:highlight w:val="none"/>
                <w:vertAlign w:val="baseline"/>
                <w:lang w:val="en-US" w:eastAsia="zh-CN"/>
              </w:rPr>
              <w:t>3次</w:t>
            </w:r>
            <w:r>
              <w:rPr>
                <w:rFonts w:hint="default" w:ascii="Times New Roman" w:hAnsi="Times New Roman" w:eastAsia="仿宋_GB2312" w:cs="Times New Roman"/>
                <w:color w:val="auto"/>
                <w:sz w:val="24"/>
                <w:szCs w:val="24"/>
                <w:highlight w:val="none"/>
                <w:vertAlign w:val="baseline"/>
                <w:lang w:eastAsia="zh-CN"/>
              </w:rPr>
              <w:t>，未能</w:t>
            </w:r>
            <w:r>
              <w:rPr>
                <w:rFonts w:hint="default" w:ascii="Times New Roman" w:hAnsi="Times New Roman" w:eastAsia="仿宋_GB2312" w:cs="Times New Roman"/>
                <w:color w:val="auto"/>
                <w:sz w:val="24"/>
                <w:szCs w:val="24"/>
                <w:highlight w:val="none"/>
                <w:vertAlign w:val="baseline"/>
              </w:rPr>
              <w:t>每</w:t>
            </w:r>
            <w:r>
              <w:rPr>
                <w:rFonts w:hint="default" w:ascii="Times New Roman" w:hAnsi="Times New Roman" w:eastAsia="仿宋_GB2312" w:cs="Times New Roman"/>
                <w:color w:val="auto"/>
                <w:sz w:val="24"/>
                <w:szCs w:val="24"/>
                <w:highlight w:val="none"/>
                <w:vertAlign w:val="baseline"/>
                <w:lang w:eastAsia="zh-CN"/>
              </w:rPr>
              <w:t>周推出新</w:t>
            </w:r>
            <w:r>
              <w:rPr>
                <w:rFonts w:hint="default" w:ascii="Times New Roman" w:hAnsi="Times New Roman" w:eastAsia="仿宋_GB2312" w:cs="Times New Roman"/>
                <w:color w:val="auto"/>
                <w:sz w:val="24"/>
                <w:szCs w:val="24"/>
                <w:highlight w:val="none"/>
                <w:vertAlign w:val="baseline"/>
              </w:rPr>
              <w:t>菜品</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扣2分/次。</w:t>
            </w:r>
          </w:p>
        </w:tc>
        <w:tc>
          <w:tcPr>
            <w:tcW w:w="745" w:type="dxa"/>
            <w:noWrap w:val="0"/>
            <w:vAlign w:val="top"/>
          </w:tcPr>
          <w:p w14:paraId="5F07BAD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07235F9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7CAEF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0CBE86A2">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1BC82E6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未按时开餐，</w:t>
            </w:r>
            <w:r>
              <w:rPr>
                <w:rFonts w:hint="default" w:ascii="Times New Roman" w:hAnsi="Times New Roman" w:eastAsia="仿宋_GB2312" w:cs="Times New Roman"/>
                <w:color w:val="auto"/>
                <w:sz w:val="24"/>
                <w:szCs w:val="24"/>
                <w:highlight w:val="none"/>
                <w:vertAlign w:val="baseline"/>
              </w:rPr>
              <w:t>扣3分/次</w:t>
            </w:r>
            <w:r>
              <w:rPr>
                <w:rFonts w:hint="default" w:ascii="Times New Roman" w:hAnsi="Times New Roman" w:eastAsia="仿宋_GB2312" w:cs="Times New Roman"/>
                <w:color w:val="auto"/>
                <w:sz w:val="24"/>
                <w:szCs w:val="24"/>
                <w:highlight w:val="none"/>
                <w:vertAlign w:val="baseline"/>
                <w:lang w:eastAsia="zh-CN"/>
              </w:rPr>
              <w:t>。</w:t>
            </w:r>
          </w:p>
        </w:tc>
        <w:tc>
          <w:tcPr>
            <w:tcW w:w="745" w:type="dxa"/>
            <w:noWrap w:val="0"/>
            <w:vAlign w:val="top"/>
          </w:tcPr>
          <w:p w14:paraId="7288C4C8">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7F53AAC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5A676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restart"/>
            <w:noWrap w:val="0"/>
            <w:vAlign w:val="center"/>
          </w:tcPr>
          <w:p w14:paraId="72ACFEE5">
            <w:pPr>
              <w:pStyle w:val="2"/>
              <w:keepNext w:val="0"/>
              <w:keepLines w:val="0"/>
              <w:pageBreakBefore w:val="0"/>
              <w:widowControl w:val="0"/>
              <w:kinsoku/>
              <w:wordWrap/>
              <w:overflowPunct/>
              <w:topLinePunct w:val="0"/>
              <w:bidi w:val="0"/>
              <w:snapToGrid/>
              <w:spacing w:line="536" w:lineRule="exact"/>
              <w:jc w:val="both"/>
              <w:textAlignment w:val="auto"/>
              <w:rPr>
                <w:rFonts w:hint="default" w:ascii="Times New Roman" w:hAnsi="Times New Roman" w:eastAsia="仿宋_GB2312" w:cs="Times New Roman"/>
                <w:color w:val="auto"/>
                <w:sz w:val="24"/>
                <w:szCs w:val="24"/>
                <w:highlight w:val="none"/>
                <w:vertAlign w:val="baseline"/>
                <w:lang w:eastAsia="zh-CN"/>
              </w:rPr>
            </w:pPr>
          </w:p>
          <w:p w14:paraId="746F1599">
            <w:pPr>
              <w:pStyle w:val="2"/>
              <w:keepNext w:val="0"/>
              <w:keepLines w:val="0"/>
              <w:pageBreakBefore w:val="0"/>
              <w:widowControl w:val="0"/>
              <w:kinsoku/>
              <w:wordWrap/>
              <w:overflowPunct/>
              <w:topLinePunct w:val="0"/>
              <w:bidi w:val="0"/>
              <w:snapToGrid/>
              <w:spacing w:line="536" w:lineRule="exact"/>
              <w:jc w:val="both"/>
              <w:textAlignment w:val="auto"/>
              <w:rPr>
                <w:rFonts w:hint="default" w:ascii="Times New Roman" w:hAnsi="Times New Roman" w:eastAsia="仿宋_GB2312" w:cs="Times New Roman"/>
                <w:color w:val="auto"/>
                <w:sz w:val="24"/>
                <w:szCs w:val="24"/>
                <w:highlight w:val="none"/>
                <w:vertAlign w:val="baseline"/>
                <w:lang w:eastAsia="zh-CN"/>
              </w:rPr>
            </w:pPr>
          </w:p>
          <w:p w14:paraId="50BC4BE1">
            <w:pPr>
              <w:pStyle w:val="2"/>
              <w:keepNext w:val="0"/>
              <w:keepLines w:val="0"/>
              <w:pageBreakBefore w:val="0"/>
              <w:widowControl w:val="0"/>
              <w:kinsoku/>
              <w:wordWrap/>
              <w:overflowPunct/>
              <w:topLinePunct w:val="0"/>
              <w:bidi w:val="0"/>
              <w:snapToGrid/>
              <w:spacing w:line="536" w:lineRule="exact"/>
              <w:jc w:val="both"/>
              <w:textAlignment w:val="auto"/>
              <w:rPr>
                <w:rFonts w:hint="default" w:ascii="Times New Roman" w:hAnsi="Times New Roman" w:eastAsia="仿宋_GB2312" w:cs="Times New Roman"/>
                <w:color w:val="auto"/>
                <w:sz w:val="24"/>
                <w:szCs w:val="24"/>
                <w:highlight w:val="none"/>
                <w:vertAlign w:val="baseline"/>
                <w:lang w:eastAsia="zh-CN"/>
              </w:rPr>
            </w:pPr>
          </w:p>
          <w:p w14:paraId="0ADED9AF">
            <w:pPr>
              <w:pStyle w:val="2"/>
              <w:keepNext w:val="0"/>
              <w:keepLines w:val="0"/>
              <w:pageBreakBefore w:val="0"/>
              <w:widowControl w:val="0"/>
              <w:kinsoku/>
              <w:wordWrap/>
              <w:overflowPunct/>
              <w:topLinePunct w:val="0"/>
              <w:bidi w:val="0"/>
              <w:snapToGrid/>
              <w:spacing w:line="536" w:lineRule="exact"/>
              <w:jc w:val="both"/>
              <w:textAlignment w:val="auto"/>
              <w:rPr>
                <w:rFonts w:hint="default" w:ascii="Times New Roman" w:hAnsi="Times New Roman" w:eastAsia="仿宋_GB2312" w:cs="Times New Roman"/>
                <w:color w:val="auto"/>
                <w:sz w:val="24"/>
                <w:szCs w:val="24"/>
                <w:highlight w:val="none"/>
                <w:vertAlign w:val="baseline"/>
                <w:lang w:eastAsia="zh-CN"/>
              </w:rPr>
            </w:pPr>
          </w:p>
          <w:p w14:paraId="475065D1">
            <w:pPr>
              <w:pStyle w:val="2"/>
              <w:keepNext w:val="0"/>
              <w:keepLines w:val="0"/>
              <w:pageBreakBefore w:val="0"/>
              <w:widowControl w:val="0"/>
              <w:kinsoku/>
              <w:wordWrap/>
              <w:overflowPunct/>
              <w:topLinePunct w:val="0"/>
              <w:bidi w:val="0"/>
              <w:snapToGrid/>
              <w:spacing w:line="536" w:lineRule="exact"/>
              <w:jc w:val="both"/>
              <w:textAlignment w:val="auto"/>
              <w:rPr>
                <w:rFonts w:hint="default" w:ascii="Times New Roman" w:hAnsi="Times New Roman" w:eastAsia="仿宋_GB2312" w:cs="Times New Roman"/>
                <w:color w:val="auto"/>
                <w:sz w:val="24"/>
                <w:szCs w:val="24"/>
                <w:highlight w:val="none"/>
                <w:vertAlign w:val="baseline"/>
                <w:lang w:eastAsia="zh-CN"/>
              </w:rPr>
            </w:pPr>
          </w:p>
          <w:p w14:paraId="589B73DA">
            <w:pPr>
              <w:pStyle w:val="2"/>
              <w:keepNext w:val="0"/>
              <w:keepLines w:val="0"/>
              <w:pageBreakBefore w:val="0"/>
              <w:widowControl w:val="0"/>
              <w:kinsoku/>
              <w:wordWrap/>
              <w:overflowPunct/>
              <w:topLinePunct w:val="0"/>
              <w:bidi w:val="0"/>
              <w:snapToGrid/>
              <w:spacing w:line="536" w:lineRule="exact"/>
              <w:jc w:val="both"/>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食堂卫生（</w:t>
            </w:r>
            <w:r>
              <w:rPr>
                <w:rFonts w:hint="default" w:ascii="Times New Roman" w:hAnsi="Times New Roman" w:eastAsia="仿宋_GB2312" w:cs="Times New Roman"/>
                <w:color w:val="auto"/>
                <w:sz w:val="24"/>
                <w:szCs w:val="24"/>
                <w:highlight w:val="none"/>
                <w:vertAlign w:val="baseline"/>
                <w:lang w:val="en-US" w:eastAsia="zh-CN"/>
              </w:rPr>
              <w:t>20分）</w:t>
            </w:r>
          </w:p>
          <w:p w14:paraId="3D941083">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eastAsia="zh-CN"/>
              </w:rPr>
            </w:pPr>
          </w:p>
          <w:p w14:paraId="7ED7D80C">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eastAsia="zh-CN"/>
              </w:rPr>
            </w:pPr>
          </w:p>
          <w:p w14:paraId="4C486440">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eastAsia="zh-CN"/>
              </w:rPr>
            </w:pPr>
          </w:p>
          <w:p w14:paraId="62A6C70F">
            <w:pPr>
              <w:pStyle w:val="2"/>
              <w:keepNext w:val="0"/>
              <w:keepLines w:val="0"/>
              <w:pageBreakBefore w:val="0"/>
              <w:widowControl w:val="0"/>
              <w:kinsoku/>
              <w:wordWrap/>
              <w:overflowPunct/>
              <w:topLinePunct w:val="0"/>
              <w:bidi w:val="0"/>
              <w:snapToGrid/>
              <w:spacing w:line="536" w:lineRule="exact"/>
              <w:jc w:val="both"/>
              <w:textAlignment w:val="auto"/>
              <w:rPr>
                <w:rFonts w:hint="default" w:ascii="Times New Roman" w:hAnsi="Times New Roman" w:eastAsia="仿宋_GB2312" w:cs="Times New Roman"/>
                <w:color w:val="auto"/>
                <w:sz w:val="24"/>
                <w:szCs w:val="24"/>
                <w:highlight w:val="none"/>
                <w:vertAlign w:val="baseline"/>
                <w:lang w:val="en-US" w:eastAsia="zh-CN"/>
              </w:rPr>
            </w:pPr>
          </w:p>
        </w:tc>
        <w:tc>
          <w:tcPr>
            <w:tcW w:w="6570" w:type="dxa"/>
            <w:noWrap w:val="0"/>
            <w:vAlign w:val="top"/>
          </w:tcPr>
          <w:p w14:paraId="1545670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rPr>
              <w:t>工作间</w:t>
            </w:r>
            <w:r>
              <w:rPr>
                <w:rFonts w:hint="default" w:ascii="Times New Roman" w:hAnsi="Times New Roman" w:eastAsia="仿宋_GB2312" w:cs="Times New Roman"/>
                <w:color w:val="auto"/>
                <w:sz w:val="24"/>
                <w:szCs w:val="24"/>
                <w:highlight w:val="none"/>
                <w:vertAlign w:val="baseline"/>
                <w:lang w:eastAsia="zh-CN"/>
              </w:rPr>
              <w:t>有</w:t>
            </w:r>
            <w:r>
              <w:rPr>
                <w:rFonts w:hint="default" w:ascii="Times New Roman" w:hAnsi="Times New Roman" w:eastAsia="仿宋_GB2312" w:cs="Times New Roman"/>
                <w:color w:val="auto"/>
                <w:sz w:val="24"/>
                <w:szCs w:val="24"/>
                <w:highlight w:val="none"/>
                <w:vertAlign w:val="baseline"/>
              </w:rPr>
              <w:t>苍蝇、老鼠，防蝇、防鼠、防尘设备</w:t>
            </w:r>
            <w:r>
              <w:rPr>
                <w:rFonts w:hint="default" w:ascii="Times New Roman" w:hAnsi="Times New Roman" w:eastAsia="仿宋_GB2312" w:cs="Times New Roman"/>
                <w:color w:val="auto"/>
                <w:sz w:val="24"/>
                <w:szCs w:val="24"/>
                <w:highlight w:val="none"/>
                <w:vertAlign w:val="baseline"/>
                <w:lang w:eastAsia="zh-CN"/>
              </w:rPr>
              <w:t>不</w:t>
            </w:r>
            <w:r>
              <w:rPr>
                <w:rFonts w:hint="default" w:ascii="Times New Roman" w:hAnsi="Times New Roman" w:eastAsia="仿宋_GB2312" w:cs="Times New Roman"/>
                <w:color w:val="auto"/>
                <w:sz w:val="24"/>
                <w:szCs w:val="24"/>
                <w:highlight w:val="none"/>
                <w:vertAlign w:val="baseline"/>
              </w:rPr>
              <w:t>齐全、</w:t>
            </w:r>
            <w:r>
              <w:rPr>
                <w:rFonts w:hint="default" w:ascii="Times New Roman" w:hAnsi="Times New Roman" w:eastAsia="仿宋_GB2312" w:cs="Times New Roman"/>
                <w:color w:val="auto"/>
                <w:sz w:val="24"/>
                <w:szCs w:val="24"/>
                <w:highlight w:val="none"/>
                <w:vertAlign w:val="baseline"/>
                <w:lang w:eastAsia="zh-CN"/>
              </w:rPr>
              <w:t>失</w:t>
            </w:r>
            <w:r>
              <w:rPr>
                <w:rFonts w:hint="default" w:ascii="Times New Roman" w:hAnsi="Times New Roman" w:eastAsia="仿宋_GB2312" w:cs="Times New Roman"/>
                <w:color w:val="auto"/>
                <w:sz w:val="24"/>
                <w:szCs w:val="24"/>
                <w:highlight w:val="none"/>
                <w:vertAlign w:val="baseline"/>
              </w:rPr>
              <w:t>效</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扣1分/次</w:t>
            </w:r>
            <w:r>
              <w:rPr>
                <w:rFonts w:hint="default" w:ascii="Times New Roman" w:hAnsi="Times New Roman" w:eastAsia="仿宋_GB2312" w:cs="Times New Roman"/>
                <w:color w:val="auto"/>
                <w:sz w:val="24"/>
                <w:szCs w:val="24"/>
                <w:highlight w:val="none"/>
                <w:vertAlign w:val="baseline"/>
                <w:lang w:eastAsia="zh-CN"/>
              </w:rPr>
              <w:t>。</w:t>
            </w:r>
          </w:p>
        </w:tc>
        <w:tc>
          <w:tcPr>
            <w:tcW w:w="745" w:type="dxa"/>
            <w:noWrap w:val="0"/>
            <w:vAlign w:val="top"/>
          </w:tcPr>
          <w:p w14:paraId="4CEDEB2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788B121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1C868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57EA6AF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6BDC65C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餐具及厨房用具未消毒或不符合规定</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扣1分/次。</w:t>
            </w:r>
          </w:p>
        </w:tc>
        <w:tc>
          <w:tcPr>
            <w:tcW w:w="745" w:type="dxa"/>
            <w:noWrap w:val="0"/>
            <w:vAlign w:val="top"/>
          </w:tcPr>
          <w:p w14:paraId="3271EF6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45B2DAA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52BA1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38995B85">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274E82AC">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用餐后食堂地板、桌面及操作间未打扫干净</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扣2分/次。</w:t>
            </w:r>
          </w:p>
        </w:tc>
        <w:tc>
          <w:tcPr>
            <w:tcW w:w="745" w:type="dxa"/>
            <w:noWrap w:val="0"/>
            <w:vAlign w:val="top"/>
          </w:tcPr>
          <w:p w14:paraId="7D67B46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37B1FA2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6931C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33A84F8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2989151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墙角、吊顶、灯具、窗户有积尘吊灰、蜘蛛网</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操作间有油污</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扣1分/次。</w:t>
            </w:r>
          </w:p>
        </w:tc>
        <w:tc>
          <w:tcPr>
            <w:tcW w:w="745" w:type="dxa"/>
            <w:noWrap w:val="0"/>
            <w:vAlign w:val="top"/>
          </w:tcPr>
          <w:p w14:paraId="2EC7314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2576AF5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23311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3370D69C">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23B030D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rPr>
              <w:t>各类用具摆放混乱</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扣1分/次</w:t>
            </w:r>
            <w:r>
              <w:rPr>
                <w:rFonts w:hint="default" w:ascii="Times New Roman" w:hAnsi="Times New Roman" w:eastAsia="仿宋_GB2312" w:cs="Times New Roman"/>
                <w:color w:val="auto"/>
                <w:sz w:val="24"/>
                <w:szCs w:val="24"/>
                <w:highlight w:val="none"/>
                <w:vertAlign w:val="baseline"/>
                <w:lang w:eastAsia="zh-CN"/>
              </w:rPr>
              <w:t>。</w:t>
            </w:r>
          </w:p>
        </w:tc>
        <w:tc>
          <w:tcPr>
            <w:tcW w:w="745" w:type="dxa"/>
            <w:noWrap w:val="0"/>
            <w:vAlign w:val="top"/>
          </w:tcPr>
          <w:p w14:paraId="579D2B6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01E7C60F">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2B0C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066F12FF">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324D358C">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餐厨垃圾当日未及时清理</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扣3分/次。</w:t>
            </w:r>
          </w:p>
        </w:tc>
        <w:tc>
          <w:tcPr>
            <w:tcW w:w="745" w:type="dxa"/>
            <w:noWrap w:val="0"/>
            <w:vAlign w:val="top"/>
          </w:tcPr>
          <w:p w14:paraId="00EA2A1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3F1A1A6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634A9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20BE2198">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68710D8F">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灶面、排烟罩等有明显油渍，未做到及时清理</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扣1分/次。</w:t>
            </w:r>
          </w:p>
        </w:tc>
        <w:tc>
          <w:tcPr>
            <w:tcW w:w="745" w:type="dxa"/>
            <w:noWrap w:val="0"/>
            <w:vAlign w:val="top"/>
          </w:tcPr>
          <w:p w14:paraId="14A0979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1C7A3F8A">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2D3F8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265" w:type="dxa"/>
            <w:vMerge w:val="continue"/>
            <w:noWrap w:val="0"/>
            <w:vAlign w:val="top"/>
          </w:tcPr>
          <w:p w14:paraId="565D720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0E67FE05">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rPr>
              <w:t>冰箱未做到定期除霜维护或记录不全，冰箱清洁不到位</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扣1分/次。</w:t>
            </w:r>
          </w:p>
        </w:tc>
        <w:tc>
          <w:tcPr>
            <w:tcW w:w="745" w:type="dxa"/>
            <w:noWrap w:val="0"/>
            <w:vAlign w:val="top"/>
          </w:tcPr>
          <w:p w14:paraId="42C12EE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6714EC2C">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3EE5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restart"/>
            <w:noWrap w:val="0"/>
            <w:vAlign w:val="center"/>
          </w:tcPr>
          <w:p w14:paraId="0296F8A2">
            <w:pPr>
              <w:pStyle w:val="2"/>
              <w:keepNext w:val="0"/>
              <w:keepLines w:val="0"/>
              <w:pageBreakBefore w:val="0"/>
              <w:widowControl w:val="0"/>
              <w:kinsoku/>
              <w:wordWrap/>
              <w:overflowPunct/>
              <w:topLinePunct w:val="0"/>
              <w:bidi w:val="0"/>
              <w:snapToGrid/>
              <w:spacing w:line="536" w:lineRule="exact"/>
              <w:jc w:val="both"/>
              <w:textAlignment w:val="auto"/>
              <w:rPr>
                <w:rFonts w:hint="default" w:ascii="Times New Roman" w:hAnsi="Times New Roman" w:eastAsia="仿宋_GB2312" w:cs="Times New Roman"/>
                <w:color w:val="auto"/>
                <w:sz w:val="24"/>
                <w:szCs w:val="24"/>
                <w:highlight w:val="none"/>
                <w:vertAlign w:val="baseline"/>
                <w:lang w:val="en-US" w:eastAsia="zh-CN"/>
              </w:rPr>
            </w:pPr>
            <w:r>
              <w:rPr>
                <w:rFonts w:hint="default" w:ascii="Times New Roman" w:hAnsi="Times New Roman" w:eastAsia="仿宋_GB2312" w:cs="Times New Roman"/>
                <w:color w:val="auto"/>
                <w:sz w:val="24"/>
                <w:szCs w:val="24"/>
                <w:highlight w:val="none"/>
                <w:vertAlign w:val="baseline"/>
                <w:lang w:eastAsia="zh-CN"/>
              </w:rPr>
              <w:t>人员管理（</w:t>
            </w:r>
            <w:r>
              <w:rPr>
                <w:rFonts w:hint="default" w:ascii="Times New Roman" w:hAnsi="Times New Roman" w:eastAsia="仿宋_GB2312" w:cs="Times New Roman"/>
                <w:color w:val="auto"/>
                <w:sz w:val="24"/>
                <w:szCs w:val="24"/>
                <w:highlight w:val="none"/>
                <w:vertAlign w:val="baseline"/>
                <w:lang w:val="en-US" w:eastAsia="zh-CN"/>
              </w:rPr>
              <w:t>30分）</w:t>
            </w:r>
          </w:p>
        </w:tc>
        <w:tc>
          <w:tcPr>
            <w:tcW w:w="6570" w:type="dxa"/>
            <w:noWrap w:val="0"/>
            <w:vAlign w:val="top"/>
          </w:tcPr>
          <w:p w14:paraId="54A5E2E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rPr>
              <w:t>食堂职工无健康证或健康证失效</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扣3分/次</w:t>
            </w:r>
            <w:r>
              <w:rPr>
                <w:rFonts w:hint="default" w:ascii="Times New Roman" w:hAnsi="Times New Roman" w:eastAsia="仿宋_GB2312" w:cs="Times New Roman"/>
                <w:color w:val="auto"/>
                <w:sz w:val="24"/>
                <w:szCs w:val="24"/>
                <w:highlight w:val="none"/>
                <w:vertAlign w:val="baseline"/>
                <w:lang w:eastAsia="zh-CN"/>
              </w:rPr>
              <w:t>。</w:t>
            </w:r>
          </w:p>
        </w:tc>
        <w:tc>
          <w:tcPr>
            <w:tcW w:w="745" w:type="dxa"/>
            <w:noWrap w:val="0"/>
            <w:vAlign w:val="top"/>
          </w:tcPr>
          <w:p w14:paraId="33E296E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7AA2E98F">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3EEA7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2C25D78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67996A0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未配备食品安全员</w:t>
            </w:r>
            <w:r>
              <w:rPr>
                <w:rFonts w:hint="default" w:ascii="Times New Roman" w:hAnsi="Times New Roman" w:eastAsia="仿宋_GB2312" w:cs="Times New Roman"/>
                <w:color w:val="auto"/>
                <w:sz w:val="24"/>
                <w:szCs w:val="24"/>
                <w:highlight w:val="none"/>
                <w:vertAlign w:val="baseline"/>
                <w:lang w:eastAsia="zh-CN"/>
              </w:rPr>
              <w:t>，</w:t>
            </w:r>
            <w:r>
              <w:rPr>
                <w:rFonts w:hint="default" w:ascii="Times New Roman" w:hAnsi="Times New Roman" w:eastAsia="仿宋_GB2312" w:cs="Times New Roman"/>
                <w:color w:val="auto"/>
                <w:sz w:val="24"/>
                <w:szCs w:val="24"/>
                <w:highlight w:val="none"/>
                <w:vertAlign w:val="baseline"/>
              </w:rPr>
              <w:t>扣3分/次。</w:t>
            </w:r>
          </w:p>
        </w:tc>
        <w:tc>
          <w:tcPr>
            <w:tcW w:w="745" w:type="dxa"/>
            <w:noWrap w:val="0"/>
            <w:vAlign w:val="top"/>
          </w:tcPr>
          <w:p w14:paraId="1C407AF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1FB80CF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215C4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169E138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66951A4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rPr>
              <w:t>未经请假允许无故</w:t>
            </w:r>
            <w:r>
              <w:rPr>
                <w:rFonts w:hint="default" w:ascii="Times New Roman" w:hAnsi="Times New Roman" w:eastAsia="仿宋_GB2312" w:cs="Times New Roman"/>
                <w:color w:val="auto"/>
                <w:sz w:val="24"/>
                <w:szCs w:val="24"/>
                <w:highlight w:val="none"/>
                <w:vertAlign w:val="baseline"/>
                <w:lang w:eastAsia="zh-CN"/>
              </w:rPr>
              <w:t>歇业</w:t>
            </w:r>
            <w:r>
              <w:rPr>
                <w:rFonts w:hint="default" w:ascii="Times New Roman" w:hAnsi="Times New Roman" w:eastAsia="仿宋_GB2312" w:cs="Times New Roman"/>
                <w:color w:val="auto"/>
                <w:sz w:val="24"/>
                <w:szCs w:val="24"/>
                <w:highlight w:val="none"/>
                <w:vertAlign w:val="baseline"/>
              </w:rPr>
              <w:t>，员工旷工</w:t>
            </w:r>
            <w:r>
              <w:rPr>
                <w:rFonts w:hint="default" w:ascii="Times New Roman" w:hAnsi="Times New Roman" w:eastAsia="仿宋_GB2312" w:cs="Times New Roman"/>
                <w:color w:val="auto"/>
                <w:sz w:val="24"/>
                <w:szCs w:val="24"/>
                <w:highlight w:val="none"/>
                <w:vertAlign w:val="baseline"/>
                <w:lang w:eastAsia="zh-CN"/>
              </w:rPr>
              <w:t>影响正常运营，</w:t>
            </w:r>
            <w:r>
              <w:rPr>
                <w:rFonts w:hint="default" w:ascii="Times New Roman" w:hAnsi="Times New Roman" w:eastAsia="仿宋_GB2312" w:cs="Times New Roman"/>
                <w:color w:val="auto"/>
                <w:sz w:val="24"/>
                <w:szCs w:val="24"/>
                <w:highlight w:val="none"/>
                <w:vertAlign w:val="baseline"/>
              </w:rPr>
              <w:t>扣2分/次。</w:t>
            </w:r>
          </w:p>
        </w:tc>
        <w:tc>
          <w:tcPr>
            <w:tcW w:w="745" w:type="dxa"/>
            <w:noWrap w:val="0"/>
            <w:vAlign w:val="top"/>
          </w:tcPr>
          <w:p w14:paraId="58163A1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1E9F371F">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5469B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7D3244A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29F2CEA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未落实保密责任，造成不良影响，扣</w:t>
            </w:r>
            <w:r>
              <w:rPr>
                <w:rFonts w:hint="default" w:ascii="Times New Roman" w:hAnsi="Times New Roman" w:eastAsia="仿宋_GB2312" w:cs="Times New Roman"/>
                <w:color w:val="auto"/>
                <w:sz w:val="24"/>
                <w:szCs w:val="24"/>
                <w:highlight w:val="none"/>
                <w:vertAlign w:val="baseline"/>
              </w:rPr>
              <w:t>3分/次</w:t>
            </w:r>
            <w:r>
              <w:rPr>
                <w:rFonts w:hint="default" w:ascii="Times New Roman" w:hAnsi="Times New Roman" w:eastAsia="仿宋_GB2312" w:cs="Times New Roman"/>
                <w:color w:val="auto"/>
                <w:sz w:val="24"/>
                <w:szCs w:val="24"/>
                <w:highlight w:val="none"/>
                <w:vertAlign w:val="baseline"/>
                <w:lang w:eastAsia="zh-CN"/>
              </w:rPr>
              <w:t>。</w:t>
            </w:r>
          </w:p>
        </w:tc>
        <w:tc>
          <w:tcPr>
            <w:tcW w:w="745" w:type="dxa"/>
            <w:noWrap w:val="0"/>
            <w:vAlign w:val="top"/>
          </w:tcPr>
          <w:p w14:paraId="63498765">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79E35C5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18CB4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noWrap w:val="0"/>
            <w:vAlign w:val="center"/>
          </w:tcPr>
          <w:p w14:paraId="7530C79D">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考核项目</w:t>
            </w:r>
          </w:p>
        </w:tc>
        <w:tc>
          <w:tcPr>
            <w:tcW w:w="6570" w:type="dxa"/>
            <w:noWrap w:val="0"/>
            <w:vAlign w:val="center"/>
          </w:tcPr>
          <w:p w14:paraId="335D8AA4">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考核内容</w:t>
            </w:r>
          </w:p>
        </w:tc>
        <w:tc>
          <w:tcPr>
            <w:tcW w:w="745" w:type="dxa"/>
            <w:noWrap w:val="0"/>
            <w:vAlign w:val="center"/>
          </w:tcPr>
          <w:p w14:paraId="2E5493BE">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扣减</w:t>
            </w:r>
          </w:p>
        </w:tc>
        <w:tc>
          <w:tcPr>
            <w:tcW w:w="739" w:type="dxa"/>
            <w:noWrap w:val="0"/>
            <w:vAlign w:val="center"/>
          </w:tcPr>
          <w:p w14:paraId="2C8DA943">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得分</w:t>
            </w:r>
          </w:p>
        </w:tc>
      </w:tr>
      <w:tr w14:paraId="5FE80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restart"/>
            <w:noWrap w:val="0"/>
            <w:vAlign w:val="top"/>
          </w:tcPr>
          <w:p w14:paraId="3913FF4A">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p w14:paraId="3C941AEA">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p w14:paraId="49CB4BB8">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p w14:paraId="465C9C2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p>
          <w:p w14:paraId="76E8510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r>
              <w:rPr>
                <w:rFonts w:hint="default" w:ascii="Times New Roman" w:hAnsi="Times New Roman" w:eastAsia="仿宋_GB2312" w:cs="Times New Roman"/>
                <w:color w:val="auto"/>
                <w:sz w:val="24"/>
                <w:szCs w:val="24"/>
                <w:highlight w:val="none"/>
                <w:vertAlign w:val="baseline"/>
                <w:lang w:eastAsia="zh-CN"/>
              </w:rPr>
              <w:t>人员管理（</w:t>
            </w:r>
            <w:r>
              <w:rPr>
                <w:rFonts w:hint="default" w:ascii="Times New Roman" w:hAnsi="Times New Roman" w:eastAsia="仿宋_GB2312" w:cs="Times New Roman"/>
                <w:color w:val="auto"/>
                <w:sz w:val="24"/>
                <w:szCs w:val="24"/>
                <w:highlight w:val="none"/>
                <w:vertAlign w:val="baseline"/>
                <w:lang w:val="en-US" w:eastAsia="zh-CN"/>
              </w:rPr>
              <w:t>30分）</w:t>
            </w:r>
          </w:p>
        </w:tc>
        <w:tc>
          <w:tcPr>
            <w:tcW w:w="6570" w:type="dxa"/>
            <w:noWrap w:val="0"/>
            <w:vAlign w:val="top"/>
          </w:tcPr>
          <w:p w14:paraId="25B84C4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个人物品随处乱故，扣1分/次</w:t>
            </w:r>
          </w:p>
        </w:tc>
        <w:tc>
          <w:tcPr>
            <w:tcW w:w="745" w:type="dxa"/>
            <w:noWrap w:val="0"/>
            <w:vAlign w:val="top"/>
          </w:tcPr>
          <w:p w14:paraId="626391C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50B190BA">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579F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03FBA4D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1A368D3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员工工作期间工作衣不整洁，有严重污渍，扣2分/次。</w:t>
            </w:r>
          </w:p>
        </w:tc>
        <w:tc>
          <w:tcPr>
            <w:tcW w:w="745" w:type="dxa"/>
            <w:noWrap w:val="0"/>
            <w:vAlign w:val="top"/>
          </w:tcPr>
          <w:p w14:paraId="793751C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6465A7C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2B754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55B98282">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4088CA2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员工在工作区域内吃槟榔、吸烟，扣2分/次。</w:t>
            </w:r>
          </w:p>
        </w:tc>
        <w:tc>
          <w:tcPr>
            <w:tcW w:w="745" w:type="dxa"/>
            <w:noWrap w:val="0"/>
            <w:vAlign w:val="top"/>
          </w:tcPr>
          <w:p w14:paraId="74DD405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0E0CEED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41128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6F20DA6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720E932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出餐时不佩戴口罩、工作帽，扣2分/次。</w:t>
            </w:r>
          </w:p>
        </w:tc>
        <w:tc>
          <w:tcPr>
            <w:tcW w:w="745" w:type="dxa"/>
            <w:noWrap w:val="0"/>
            <w:vAlign w:val="top"/>
          </w:tcPr>
          <w:p w14:paraId="708CE82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7A7E041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1FB58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35CA0BC8">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2808403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服务态度不好，与用餐人员有争执，扣2分/次。</w:t>
            </w:r>
          </w:p>
        </w:tc>
        <w:tc>
          <w:tcPr>
            <w:tcW w:w="745" w:type="dxa"/>
            <w:noWrap w:val="0"/>
            <w:vAlign w:val="top"/>
          </w:tcPr>
          <w:p w14:paraId="370F72E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44DBD438">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07CAA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1EBB21EE">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4700621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工作期间玩手机、接电话等做与工作无关的事情，扣1分/次。</w:t>
            </w:r>
          </w:p>
        </w:tc>
        <w:tc>
          <w:tcPr>
            <w:tcW w:w="745" w:type="dxa"/>
            <w:noWrap w:val="0"/>
            <w:vAlign w:val="top"/>
          </w:tcPr>
          <w:p w14:paraId="234EF9A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0D79537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246D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074A19D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2A06600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工作人员发布不当言论造成负面影响，根据严重程度扣</w:t>
            </w:r>
            <w:r>
              <w:rPr>
                <w:rFonts w:hint="default" w:ascii="Times New Roman" w:hAnsi="Times New Roman" w:eastAsia="仿宋_GB2312" w:cs="Times New Roman"/>
                <w:color w:val="auto"/>
                <w:sz w:val="24"/>
                <w:szCs w:val="24"/>
                <w:highlight w:val="none"/>
                <w:vertAlign w:val="baseline"/>
                <w:lang w:val="en-US" w:eastAsia="zh-CN"/>
              </w:rPr>
              <w:t>5-10分。</w:t>
            </w:r>
          </w:p>
        </w:tc>
        <w:tc>
          <w:tcPr>
            <w:tcW w:w="745" w:type="dxa"/>
            <w:noWrap w:val="0"/>
            <w:vAlign w:val="top"/>
          </w:tcPr>
          <w:p w14:paraId="4077EEC7">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07E8C18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56B88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6BD622A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50ABD9B5">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val="en-US" w:eastAsia="zh-CN"/>
              </w:rPr>
            </w:pPr>
            <w:r>
              <w:rPr>
                <w:rFonts w:hint="default" w:ascii="Times New Roman" w:hAnsi="Times New Roman" w:eastAsia="仿宋_GB2312" w:cs="Times New Roman"/>
                <w:color w:val="auto"/>
                <w:sz w:val="24"/>
                <w:szCs w:val="24"/>
                <w:highlight w:val="none"/>
                <w:vertAlign w:val="baseline"/>
                <w:lang w:eastAsia="zh-CN"/>
              </w:rPr>
              <w:t>私自占用他人物品，私收餐费等违法违纪行为，该项整体不得分</w:t>
            </w:r>
          </w:p>
        </w:tc>
        <w:tc>
          <w:tcPr>
            <w:tcW w:w="745" w:type="dxa"/>
            <w:noWrap w:val="0"/>
            <w:vAlign w:val="top"/>
          </w:tcPr>
          <w:p w14:paraId="3BE003D5">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65F2AC7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1ACA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265" w:type="dxa"/>
            <w:noWrap w:val="0"/>
            <w:vAlign w:val="center"/>
          </w:tcPr>
          <w:p w14:paraId="728FDB5E">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val="en-US" w:eastAsia="zh-CN"/>
              </w:rPr>
            </w:pPr>
            <w:r>
              <w:rPr>
                <w:rFonts w:hint="default" w:ascii="Times New Roman" w:hAnsi="Times New Roman" w:eastAsia="仿宋_GB2312" w:cs="Times New Roman"/>
                <w:color w:val="auto"/>
                <w:sz w:val="24"/>
                <w:szCs w:val="24"/>
                <w:highlight w:val="none"/>
                <w:vertAlign w:val="baseline"/>
                <w:lang w:eastAsia="zh-CN"/>
              </w:rPr>
              <w:t>设备设施管理（</w:t>
            </w:r>
            <w:r>
              <w:rPr>
                <w:rFonts w:hint="default" w:ascii="Times New Roman" w:hAnsi="Times New Roman" w:eastAsia="仿宋_GB2312" w:cs="Times New Roman"/>
                <w:color w:val="auto"/>
                <w:sz w:val="24"/>
                <w:szCs w:val="24"/>
                <w:highlight w:val="none"/>
                <w:vertAlign w:val="baseline"/>
                <w:lang w:val="en-US" w:eastAsia="zh-CN"/>
              </w:rPr>
              <w:t>8分）</w:t>
            </w:r>
          </w:p>
        </w:tc>
        <w:tc>
          <w:tcPr>
            <w:tcW w:w="6570" w:type="dxa"/>
            <w:noWrap w:val="0"/>
            <w:vAlign w:val="top"/>
          </w:tcPr>
          <w:p w14:paraId="0EB62D13">
            <w:pPr>
              <w:pStyle w:val="3"/>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vertAlign w:val="baseline"/>
                <w:lang w:eastAsia="zh-CN"/>
              </w:rPr>
              <w:t>做好食堂设备设施维护工作，保证完整可用，未做到扣2分/次。</w:t>
            </w:r>
            <w:r>
              <w:rPr>
                <w:rFonts w:hint="default" w:ascii="Times New Roman" w:hAnsi="Times New Roman" w:eastAsia="仿宋_GB2312" w:cs="Times New Roman"/>
                <w:color w:val="auto"/>
                <w:kern w:val="2"/>
                <w:sz w:val="24"/>
                <w:szCs w:val="24"/>
                <w:highlight w:val="none"/>
                <w:vertAlign w:val="baseline"/>
                <w:lang w:val="en-US" w:eastAsia="zh-CN" w:bidi="ar-SA"/>
              </w:rPr>
              <w:t>出餐完成后，未做好水电气及门窗的安全巡查及记录，扣2分/次。</w:t>
            </w:r>
          </w:p>
        </w:tc>
        <w:tc>
          <w:tcPr>
            <w:tcW w:w="745" w:type="dxa"/>
            <w:noWrap w:val="0"/>
            <w:vAlign w:val="top"/>
          </w:tcPr>
          <w:p w14:paraId="060002D2">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74D531F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335C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restart"/>
            <w:noWrap w:val="0"/>
            <w:vAlign w:val="center"/>
          </w:tcPr>
          <w:p w14:paraId="6A47FFF6">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val="en-US" w:eastAsia="zh-CN"/>
              </w:rPr>
            </w:pPr>
            <w:r>
              <w:rPr>
                <w:rFonts w:hint="default" w:ascii="Times New Roman" w:hAnsi="Times New Roman" w:eastAsia="仿宋_GB2312" w:cs="Times New Roman"/>
                <w:color w:val="auto"/>
                <w:sz w:val="24"/>
                <w:szCs w:val="24"/>
                <w:highlight w:val="none"/>
                <w:vertAlign w:val="baseline"/>
                <w:lang w:eastAsia="zh-CN"/>
              </w:rPr>
              <w:t>节能减排（</w:t>
            </w:r>
            <w:r>
              <w:rPr>
                <w:rFonts w:hint="default" w:ascii="Times New Roman" w:hAnsi="Times New Roman" w:eastAsia="仿宋_GB2312" w:cs="Times New Roman"/>
                <w:color w:val="auto"/>
                <w:sz w:val="24"/>
                <w:szCs w:val="24"/>
                <w:highlight w:val="none"/>
                <w:vertAlign w:val="baseline"/>
                <w:lang w:val="en-US" w:eastAsia="zh-CN"/>
              </w:rPr>
              <w:t>4分）</w:t>
            </w:r>
          </w:p>
        </w:tc>
        <w:tc>
          <w:tcPr>
            <w:tcW w:w="6570" w:type="dxa"/>
            <w:noWrap w:val="0"/>
            <w:vAlign w:val="top"/>
          </w:tcPr>
          <w:p w14:paraId="1376B71D">
            <w:pPr>
              <w:pStyle w:val="3"/>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kern w:val="2"/>
                <w:sz w:val="24"/>
                <w:szCs w:val="24"/>
                <w:highlight w:val="none"/>
                <w:vertAlign w:val="baseline"/>
                <w:lang w:val="en-US" w:eastAsia="zh-CN" w:bidi="ar-SA"/>
              </w:rPr>
              <w:t>用餐结束后，未关闭空调风扇，扣2分/次。</w:t>
            </w:r>
          </w:p>
        </w:tc>
        <w:tc>
          <w:tcPr>
            <w:tcW w:w="745" w:type="dxa"/>
            <w:noWrap w:val="0"/>
            <w:vAlign w:val="top"/>
          </w:tcPr>
          <w:p w14:paraId="7122FC86">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225DE61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5FE63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Merge w:val="continue"/>
            <w:noWrap w:val="0"/>
            <w:vAlign w:val="top"/>
          </w:tcPr>
          <w:p w14:paraId="58C2C4D2">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6570" w:type="dxa"/>
            <w:noWrap w:val="0"/>
            <w:vAlign w:val="top"/>
          </w:tcPr>
          <w:p w14:paraId="43F3A104">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食堂区域出现长流水、长明灯等浪费现象，</w:t>
            </w:r>
            <w:r>
              <w:rPr>
                <w:rFonts w:hint="default" w:ascii="Times New Roman" w:hAnsi="Times New Roman" w:eastAsia="仿宋_GB2312" w:cs="Times New Roman"/>
                <w:color w:val="auto"/>
                <w:kern w:val="2"/>
                <w:sz w:val="24"/>
                <w:szCs w:val="24"/>
                <w:highlight w:val="none"/>
                <w:vertAlign w:val="baseline"/>
                <w:lang w:val="en-US" w:eastAsia="zh-CN" w:bidi="ar-SA"/>
              </w:rPr>
              <w:t>扣2分/次。</w:t>
            </w:r>
          </w:p>
        </w:tc>
        <w:tc>
          <w:tcPr>
            <w:tcW w:w="745" w:type="dxa"/>
            <w:noWrap w:val="0"/>
            <w:vAlign w:val="top"/>
          </w:tcPr>
          <w:p w14:paraId="78D7B21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41F9472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20782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noWrap w:val="0"/>
            <w:vAlign w:val="center"/>
          </w:tcPr>
          <w:p w14:paraId="2327815B">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val="en-US" w:eastAsia="zh-CN"/>
              </w:rPr>
            </w:pPr>
            <w:r>
              <w:rPr>
                <w:rFonts w:hint="default" w:ascii="Times New Roman" w:hAnsi="Times New Roman" w:eastAsia="仿宋_GB2312" w:cs="Times New Roman"/>
                <w:color w:val="auto"/>
                <w:sz w:val="24"/>
                <w:szCs w:val="24"/>
                <w:highlight w:val="none"/>
                <w:vertAlign w:val="baseline"/>
                <w:lang w:eastAsia="zh-CN"/>
              </w:rPr>
              <w:t>垃圾分类（</w:t>
            </w:r>
            <w:r>
              <w:rPr>
                <w:rFonts w:hint="default" w:ascii="Times New Roman" w:hAnsi="Times New Roman" w:eastAsia="仿宋_GB2312" w:cs="Times New Roman"/>
                <w:color w:val="auto"/>
                <w:sz w:val="24"/>
                <w:szCs w:val="24"/>
                <w:highlight w:val="none"/>
                <w:vertAlign w:val="baseline"/>
                <w:lang w:val="en-US" w:eastAsia="zh-CN"/>
              </w:rPr>
              <w:t>3分）</w:t>
            </w:r>
          </w:p>
        </w:tc>
        <w:tc>
          <w:tcPr>
            <w:tcW w:w="6570" w:type="dxa"/>
            <w:noWrap w:val="0"/>
            <w:vAlign w:val="top"/>
          </w:tcPr>
          <w:p w14:paraId="3DC492E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未严格按照国家要求进行垃圾分类，扣</w:t>
            </w:r>
            <w:r>
              <w:rPr>
                <w:rFonts w:hint="default" w:ascii="Times New Roman" w:hAnsi="Times New Roman" w:eastAsia="仿宋_GB2312" w:cs="Times New Roman"/>
                <w:color w:val="auto"/>
                <w:sz w:val="24"/>
                <w:szCs w:val="24"/>
                <w:highlight w:val="none"/>
                <w:vertAlign w:val="baseline"/>
                <w:lang w:val="en-US" w:eastAsia="zh-CN"/>
              </w:rPr>
              <w:t>3</w:t>
            </w:r>
            <w:r>
              <w:rPr>
                <w:rFonts w:hint="default" w:ascii="Times New Roman" w:hAnsi="Times New Roman" w:eastAsia="仿宋_GB2312" w:cs="Times New Roman"/>
                <w:color w:val="auto"/>
                <w:sz w:val="24"/>
                <w:szCs w:val="24"/>
                <w:highlight w:val="none"/>
                <w:vertAlign w:val="baseline"/>
                <w:lang w:eastAsia="zh-CN"/>
              </w:rPr>
              <w:t>分/次。</w:t>
            </w:r>
          </w:p>
        </w:tc>
        <w:tc>
          <w:tcPr>
            <w:tcW w:w="745" w:type="dxa"/>
            <w:noWrap w:val="0"/>
            <w:vAlign w:val="top"/>
          </w:tcPr>
          <w:p w14:paraId="7DAD30F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29EAF9A2">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7D5B9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noWrap w:val="0"/>
            <w:vAlign w:val="center"/>
          </w:tcPr>
          <w:p w14:paraId="09FF659B">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val="en-US" w:eastAsia="zh-CN"/>
              </w:rPr>
            </w:pPr>
            <w:r>
              <w:rPr>
                <w:rFonts w:hint="default" w:ascii="Times New Roman" w:hAnsi="Times New Roman" w:eastAsia="仿宋_GB2312" w:cs="Times New Roman"/>
                <w:color w:val="auto"/>
                <w:sz w:val="24"/>
                <w:szCs w:val="24"/>
                <w:highlight w:val="none"/>
                <w:vertAlign w:val="baseline"/>
                <w:lang w:eastAsia="zh-CN"/>
              </w:rPr>
              <w:t>禁塑管理（</w:t>
            </w:r>
            <w:r>
              <w:rPr>
                <w:rFonts w:hint="default" w:ascii="Times New Roman" w:hAnsi="Times New Roman" w:eastAsia="仿宋_GB2312" w:cs="Times New Roman"/>
                <w:color w:val="auto"/>
                <w:sz w:val="24"/>
                <w:szCs w:val="24"/>
                <w:highlight w:val="none"/>
                <w:vertAlign w:val="baseline"/>
                <w:lang w:val="en-US" w:eastAsia="zh-CN"/>
              </w:rPr>
              <w:t>2分）</w:t>
            </w:r>
          </w:p>
        </w:tc>
        <w:tc>
          <w:tcPr>
            <w:tcW w:w="6570" w:type="dxa"/>
            <w:noWrap w:val="0"/>
            <w:vAlign w:val="top"/>
          </w:tcPr>
          <w:p w14:paraId="7E4B37F9">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未使用一次性不可降解塑料包装袋、快餐盒等，扣</w:t>
            </w:r>
            <w:r>
              <w:rPr>
                <w:rFonts w:hint="default" w:ascii="Times New Roman" w:hAnsi="Times New Roman" w:eastAsia="仿宋_GB2312" w:cs="Times New Roman"/>
                <w:color w:val="auto"/>
                <w:sz w:val="24"/>
                <w:szCs w:val="24"/>
                <w:highlight w:val="none"/>
                <w:vertAlign w:val="baseline"/>
                <w:lang w:val="en-US" w:eastAsia="zh-CN"/>
              </w:rPr>
              <w:t>2</w:t>
            </w:r>
            <w:r>
              <w:rPr>
                <w:rFonts w:hint="default" w:ascii="Times New Roman" w:hAnsi="Times New Roman" w:eastAsia="仿宋_GB2312" w:cs="Times New Roman"/>
                <w:color w:val="auto"/>
                <w:sz w:val="24"/>
                <w:szCs w:val="24"/>
                <w:highlight w:val="none"/>
                <w:vertAlign w:val="baseline"/>
                <w:lang w:eastAsia="zh-CN"/>
              </w:rPr>
              <w:t>分/次。</w:t>
            </w:r>
          </w:p>
        </w:tc>
        <w:tc>
          <w:tcPr>
            <w:tcW w:w="745" w:type="dxa"/>
            <w:noWrap w:val="0"/>
            <w:vAlign w:val="top"/>
          </w:tcPr>
          <w:p w14:paraId="235B6641">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297895BD">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r w14:paraId="04DEB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noWrap w:val="0"/>
            <w:vAlign w:val="center"/>
          </w:tcPr>
          <w:p w14:paraId="7A361AD3">
            <w:pPr>
              <w:pStyle w:val="2"/>
              <w:keepNext w:val="0"/>
              <w:keepLines w:val="0"/>
              <w:pageBreakBefore w:val="0"/>
              <w:widowControl w:val="0"/>
              <w:kinsoku/>
              <w:wordWrap/>
              <w:overflowPunct/>
              <w:topLinePunct w:val="0"/>
              <w:bidi w:val="0"/>
              <w:snapToGrid/>
              <w:spacing w:line="536" w:lineRule="exact"/>
              <w:jc w:val="center"/>
              <w:textAlignment w:val="auto"/>
              <w:rPr>
                <w:rFonts w:hint="default" w:ascii="Times New Roman" w:hAnsi="Times New Roman" w:eastAsia="仿宋_GB2312" w:cs="Times New Roman"/>
                <w:color w:val="auto"/>
                <w:sz w:val="24"/>
                <w:szCs w:val="24"/>
                <w:highlight w:val="none"/>
                <w:vertAlign w:val="baseline"/>
                <w:lang w:val="en-US" w:eastAsia="zh-CN"/>
              </w:rPr>
            </w:pPr>
            <w:r>
              <w:rPr>
                <w:rFonts w:hint="default" w:ascii="Times New Roman" w:hAnsi="Times New Roman" w:eastAsia="仿宋_GB2312" w:cs="Times New Roman"/>
                <w:color w:val="auto"/>
                <w:sz w:val="24"/>
                <w:szCs w:val="24"/>
                <w:highlight w:val="none"/>
                <w:vertAlign w:val="baseline"/>
                <w:lang w:eastAsia="zh-CN"/>
              </w:rPr>
              <w:t>客户投诉（</w:t>
            </w:r>
            <w:r>
              <w:rPr>
                <w:rFonts w:hint="default" w:ascii="Times New Roman" w:hAnsi="Times New Roman" w:eastAsia="仿宋_GB2312" w:cs="Times New Roman"/>
                <w:color w:val="auto"/>
                <w:sz w:val="24"/>
                <w:szCs w:val="24"/>
                <w:highlight w:val="none"/>
                <w:vertAlign w:val="baseline"/>
                <w:lang w:val="en-US" w:eastAsia="zh-CN"/>
              </w:rPr>
              <w:t>3分）</w:t>
            </w:r>
          </w:p>
        </w:tc>
        <w:tc>
          <w:tcPr>
            <w:tcW w:w="6570" w:type="dxa"/>
            <w:noWrap w:val="0"/>
            <w:vAlign w:val="top"/>
          </w:tcPr>
          <w:p w14:paraId="5D0E6D03">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lang w:eastAsia="zh-CN"/>
              </w:rPr>
            </w:pPr>
            <w:r>
              <w:rPr>
                <w:rFonts w:hint="default" w:ascii="Times New Roman" w:hAnsi="Times New Roman" w:eastAsia="仿宋_GB2312" w:cs="Times New Roman"/>
                <w:color w:val="auto"/>
                <w:sz w:val="24"/>
                <w:szCs w:val="24"/>
                <w:highlight w:val="none"/>
                <w:vertAlign w:val="baseline"/>
                <w:lang w:eastAsia="zh-CN"/>
              </w:rPr>
              <w:t>就餐人员投诉，经查属实，扣</w:t>
            </w:r>
            <w:r>
              <w:rPr>
                <w:rFonts w:hint="default" w:ascii="Times New Roman" w:hAnsi="Times New Roman" w:eastAsia="仿宋_GB2312" w:cs="Times New Roman"/>
                <w:color w:val="auto"/>
                <w:sz w:val="24"/>
                <w:szCs w:val="24"/>
                <w:highlight w:val="none"/>
                <w:vertAlign w:val="baseline"/>
                <w:lang w:val="en-US" w:eastAsia="zh-CN"/>
              </w:rPr>
              <w:t>3</w:t>
            </w:r>
            <w:r>
              <w:rPr>
                <w:rFonts w:hint="default" w:ascii="Times New Roman" w:hAnsi="Times New Roman" w:eastAsia="仿宋_GB2312" w:cs="Times New Roman"/>
                <w:color w:val="auto"/>
                <w:sz w:val="24"/>
                <w:szCs w:val="24"/>
                <w:highlight w:val="none"/>
                <w:vertAlign w:val="baseline"/>
                <w:lang w:eastAsia="zh-CN"/>
              </w:rPr>
              <w:t>分/次。</w:t>
            </w:r>
          </w:p>
        </w:tc>
        <w:tc>
          <w:tcPr>
            <w:tcW w:w="745" w:type="dxa"/>
            <w:noWrap w:val="0"/>
            <w:vAlign w:val="top"/>
          </w:tcPr>
          <w:p w14:paraId="49F9408B">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c>
          <w:tcPr>
            <w:tcW w:w="739" w:type="dxa"/>
            <w:noWrap w:val="0"/>
            <w:vAlign w:val="top"/>
          </w:tcPr>
          <w:p w14:paraId="0FF346F0">
            <w:pPr>
              <w:pStyle w:val="2"/>
              <w:keepNext w:val="0"/>
              <w:keepLines w:val="0"/>
              <w:pageBreakBefore w:val="0"/>
              <w:widowControl w:val="0"/>
              <w:kinsoku/>
              <w:wordWrap/>
              <w:overflowPunct/>
              <w:topLinePunct w:val="0"/>
              <w:bidi w:val="0"/>
              <w:snapToGrid/>
              <w:spacing w:line="536" w:lineRule="exact"/>
              <w:textAlignment w:val="auto"/>
              <w:rPr>
                <w:rFonts w:hint="default" w:ascii="Times New Roman" w:hAnsi="Times New Roman" w:eastAsia="仿宋_GB2312" w:cs="Times New Roman"/>
                <w:color w:val="auto"/>
                <w:sz w:val="24"/>
                <w:szCs w:val="24"/>
                <w:highlight w:val="none"/>
                <w:vertAlign w:val="baseline"/>
              </w:rPr>
            </w:pPr>
          </w:p>
        </w:tc>
      </w:tr>
    </w:tbl>
    <w:p w14:paraId="2B7B4C44">
      <w:pPr>
        <w:keepNext w:val="0"/>
        <w:keepLines w:val="0"/>
        <w:pageBreakBefore w:val="0"/>
        <w:kinsoku/>
        <w:autoSpaceDE/>
        <w:autoSpaceDN/>
        <w:bidi w:val="0"/>
        <w:spacing w:line="578" w:lineRule="exact"/>
        <w:ind w:firstLine="640" w:firstLineChars="200"/>
        <w:rPr>
          <w:rFonts w:hint="eastAsia" w:ascii="Times New Roman" w:hAnsi="Times New Roman" w:eastAsia="仿宋" w:cs="Times New Roman"/>
          <w:color w:val="auto"/>
          <w:sz w:val="32"/>
          <w:szCs w:val="32"/>
          <w:highlight w:val="none"/>
          <w:shd w:val="clear" w:color="auto" w:fill="auto"/>
          <w:lang w:eastAsia="zh-CN"/>
        </w:rPr>
      </w:pPr>
    </w:p>
    <w:p w14:paraId="126A0D9C"/>
    <w:sectPr>
      <w:footerReference r:id="rId4" w:type="default"/>
      <w:pgSz w:w="11906" w:h="16839"/>
      <w:pgMar w:top="1440" w:right="1800" w:bottom="1440" w:left="1800" w:header="0" w:footer="708"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5D0F2">
    <w:pPr>
      <w:widowControl/>
      <w:kinsoku w:val="0"/>
      <w:autoSpaceDE w:val="0"/>
      <w:autoSpaceDN w:val="0"/>
      <w:adjustRightInd w:val="0"/>
      <w:snapToGrid w:val="0"/>
      <w:spacing w:line="180" w:lineRule="auto"/>
      <w:ind w:left="4336"/>
      <w:jc w:val="left"/>
      <w:textAlignment w:val="baseline"/>
      <w:rPr>
        <w:rFonts w:ascii="Times New Roman" w:hAnsi="Times New Roman" w:eastAsia="Times New Roman" w:cs="Times New Roman"/>
        <w:snapToGrid w:val="0"/>
        <w:color w:val="000000"/>
        <w:kern w:val="0"/>
        <w:sz w:val="18"/>
        <w:szCs w:val="18"/>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F6894">
    <w:pPr>
      <w:widowControl/>
      <w:tabs>
        <w:tab w:val="left" w:pos="5099"/>
      </w:tabs>
      <w:kinsoku w:val="0"/>
      <w:autoSpaceDE w:val="0"/>
      <w:autoSpaceDN w:val="0"/>
      <w:adjustRightInd w:val="0"/>
      <w:snapToGrid w:val="0"/>
      <w:spacing w:line="180" w:lineRule="auto"/>
      <w:ind w:left="4351"/>
      <w:jc w:val="left"/>
      <w:textAlignment w:val="baseline"/>
      <w:rPr>
        <w:rFonts w:ascii="Times New Roman" w:hAnsi="Times New Roman" w:eastAsia="Times New Roman" w:cs="Times New Roman"/>
        <w:snapToGrid w:val="0"/>
        <w:color w:val="000000"/>
        <w:kern w:val="0"/>
        <w:sz w:val="18"/>
        <w:szCs w:val="18"/>
        <w:lang w:eastAsia="en-US"/>
      </w:rPr>
    </w:pPr>
    <w:r>
      <w:rPr>
        <w:sz w:val="18"/>
      </w:rPr>
      <w:pict>
        <v:shape id="_x0000_s2049" o:spid="_x0000_s2049"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path/>
          <v:fill on="f" focussize="0,0"/>
          <v:stroke on="f" weight="0.5pt" joinstyle="miter"/>
          <v:imagedata o:title=""/>
          <o:lock v:ext="edit"/>
          <v:textbox inset="0mm,0mm,0mm,0mm" style="mso-fit-shape-to-text:t;">
            <w:txbxContent>
              <w:p w14:paraId="76344058">
                <w:pPr>
                  <w:pStyle w:val="9"/>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  \* MERGEFORMAT </w:instrText>
                </w:r>
                <w:r>
                  <w:rPr>
                    <w:rFonts w:ascii="Times New Roman" w:hAnsi="Times New Roman" w:cs="Times New Roman"/>
                    <w:sz w:val="32"/>
                    <w:szCs w:val="32"/>
                  </w:rPr>
                  <w:fldChar w:fldCharType="separate"/>
                </w:r>
                <w:r>
                  <w:rPr>
                    <w:rFonts w:ascii="Times New Roman" w:hAnsi="Times New Roman" w:cs="Times New Roman"/>
                    <w:sz w:val="32"/>
                    <w:szCs w:val="32"/>
                  </w:rPr>
                  <w:t>18</w:t>
                </w:r>
                <w:r>
                  <w:rPr>
                    <w:rFonts w:ascii="Times New Roman" w:hAnsi="Times New Roman" w:cs="Times New Roman"/>
                    <w:sz w:val="32"/>
                    <w:szCs w:val="32"/>
                  </w:rPr>
                  <w:fldChar w:fldCharType="end"/>
                </w:r>
                <w:r>
                  <w:rPr>
                    <w:rFonts w:ascii="Times New Roman" w:hAnsi="Times New Roman" w:cs="Times New Roman"/>
                    <w:sz w:val="32"/>
                    <w:szCs w:val="32"/>
                  </w:rPr>
                  <w:t xml:space="preserve"> —</w:t>
                </w:r>
              </w:p>
              <w:p w14:paraId="1FB7809F"/>
            </w:txbxContent>
          </v:textbox>
        </v:shape>
      </w:pict>
    </w:r>
    <w:r>
      <w:rPr>
        <w:rFonts w:hint="eastAsia" w:ascii="Times New Roman" w:hAnsi="Times New Roman" w:eastAsia="宋体" w:cs="Times New Roman"/>
        <w:snapToGrid w:val="0"/>
        <w:color w:val="000000"/>
        <w:kern w:val="0"/>
        <w:sz w:val="18"/>
        <w:szCs w:val="18"/>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47CE1"/>
    <w:rsid w:val="000C7F9D"/>
    <w:rsid w:val="002B7013"/>
    <w:rsid w:val="00924849"/>
    <w:rsid w:val="00B074B2"/>
    <w:rsid w:val="00B1684C"/>
    <w:rsid w:val="00C47CE1"/>
    <w:rsid w:val="00C60037"/>
    <w:rsid w:val="00E6269E"/>
    <w:rsid w:val="00E958D2"/>
    <w:rsid w:val="05BD6AAB"/>
    <w:rsid w:val="0CD0364E"/>
    <w:rsid w:val="1A4577E4"/>
    <w:rsid w:val="1BE13EE2"/>
    <w:rsid w:val="1F432E9A"/>
    <w:rsid w:val="1FAA33DF"/>
    <w:rsid w:val="2069604E"/>
    <w:rsid w:val="221A1EFC"/>
    <w:rsid w:val="23244CE8"/>
    <w:rsid w:val="2A3D18A8"/>
    <w:rsid w:val="2D1F312D"/>
    <w:rsid w:val="2E810F71"/>
    <w:rsid w:val="318E28D6"/>
    <w:rsid w:val="35305866"/>
    <w:rsid w:val="357563ED"/>
    <w:rsid w:val="3EFC4A0B"/>
    <w:rsid w:val="3F157EAE"/>
    <w:rsid w:val="40E1210B"/>
    <w:rsid w:val="462545C7"/>
    <w:rsid w:val="4A9F7359"/>
    <w:rsid w:val="4ABD2569"/>
    <w:rsid w:val="4DAF572C"/>
    <w:rsid w:val="544C59EF"/>
    <w:rsid w:val="5D8F79FD"/>
    <w:rsid w:val="608D150F"/>
    <w:rsid w:val="76C97A6F"/>
    <w:rsid w:val="78E10CAE"/>
    <w:rsid w:val="7C4F2310"/>
    <w:rsid w:val="7FA45EB4"/>
    <w:rsid w:val="DEEE0B0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4">
    <w:name w:val="heading 2"/>
    <w:basedOn w:val="1"/>
    <w:next w:val="1"/>
    <w:qFormat/>
    <w:uiPriority w:val="0"/>
    <w:pPr>
      <w:keepNext/>
      <w:keepLines/>
      <w:spacing w:before="200" w:after="200"/>
      <w:outlineLvl w:val="1"/>
    </w:pPr>
    <w:rPr>
      <w:rFonts w:ascii="Arial" w:hAnsi="Arial"/>
      <w:b/>
      <w:bCs/>
      <w:kern w:val="0"/>
      <w:sz w:val="2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cs="Courier New"/>
      <w:szCs w:val="21"/>
    </w:rPr>
  </w:style>
  <w:style w:type="paragraph" w:customStyle="1" w:styleId="3">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5">
    <w:name w:val="Normal Indent"/>
    <w:basedOn w:val="1"/>
    <w:next w:val="1"/>
    <w:qFormat/>
    <w:uiPriority w:val="0"/>
    <w:pPr>
      <w:adjustRightInd w:val="0"/>
      <w:spacing w:line="360" w:lineRule="atLeast"/>
      <w:ind w:firstLine="482"/>
      <w:textAlignment w:val="baseline"/>
    </w:pPr>
    <w:rPr>
      <w:rFonts w:ascii="Times New Roman" w:hAnsi="Times New Roman"/>
      <w:kern w:val="0"/>
      <w:sz w:val="24"/>
      <w:szCs w:val="20"/>
    </w:rPr>
  </w:style>
  <w:style w:type="paragraph" w:styleId="6">
    <w:name w:val="annotation text"/>
    <w:basedOn w:val="1"/>
    <w:qFormat/>
    <w:uiPriority w:val="0"/>
    <w:pPr>
      <w:jc w:val="left"/>
    </w:pPr>
  </w:style>
  <w:style w:type="paragraph" w:styleId="7">
    <w:name w:val="Salutation"/>
    <w:basedOn w:val="1"/>
    <w:next w:val="1"/>
    <w:link w:val="15"/>
    <w:qFormat/>
    <w:uiPriority w:val="0"/>
  </w:style>
  <w:style w:type="paragraph" w:styleId="8">
    <w:name w:val="Balloon Text"/>
    <w:basedOn w:val="1"/>
    <w:link w:val="16"/>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annotation reference"/>
    <w:basedOn w:val="13"/>
    <w:qFormat/>
    <w:uiPriority w:val="0"/>
    <w:rPr>
      <w:sz w:val="21"/>
      <w:szCs w:val="21"/>
    </w:rPr>
  </w:style>
  <w:style w:type="character" w:customStyle="1" w:styleId="15">
    <w:name w:val="称呼 Char"/>
    <w:basedOn w:val="13"/>
    <w:link w:val="7"/>
    <w:qFormat/>
    <w:uiPriority w:val="0"/>
    <w:rPr>
      <w:kern w:val="2"/>
      <w:sz w:val="21"/>
      <w:szCs w:val="24"/>
    </w:rPr>
  </w:style>
  <w:style w:type="character" w:customStyle="1" w:styleId="16">
    <w:name w:val="批注框文本 Char"/>
    <w:basedOn w:val="13"/>
    <w:link w:val="8"/>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9366</Words>
  <Characters>9563</Characters>
  <Lines>77</Lines>
  <Paragraphs>21</Paragraphs>
  <TotalTime>0</TotalTime>
  <ScaleCrop>false</ScaleCrop>
  <LinksUpToDate>false</LinksUpToDate>
  <CharactersWithSpaces>9725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小孙</cp:lastModifiedBy>
  <dcterms:modified xsi:type="dcterms:W3CDTF">2025-05-30T07:37:40Z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eyJoZGlkIjoiZThiZTBhOGViZTA1Y2RiYTIyNzgwNDYwOWQ0YmE1YmQiLCJ1c2VySWQiOiI1NjM1OTcwMTYifQ==</vt:lpwstr>
  </property>
  <property fmtid="{D5CDD505-2E9C-101B-9397-08002B2CF9AE}" pid="4" name="ICV">
    <vt:lpwstr>1623F2718D5F4DD69703625B989B8389_12</vt:lpwstr>
  </property>
</Properties>
</file>