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6EA385">
      <w:pPr>
        <w:jc w:val="center"/>
        <w:rPr>
          <w:rFonts w:hint="eastAsia"/>
          <w:b/>
          <w:bCs/>
          <w:color w:val="000000"/>
          <w:sz w:val="44"/>
          <w:szCs w:val="44"/>
          <w:lang w:eastAsia="zh-CN"/>
        </w:rPr>
      </w:pPr>
    </w:p>
    <w:p w14:paraId="0B535EE1">
      <w:pPr>
        <w:jc w:val="center"/>
        <w:rPr>
          <w:rFonts w:hint="eastAsia"/>
          <w:b/>
          <w:bCs/>
          <w:color w:val="000000"/>
          <w:sz w:val="44"/>
          <w:szCs w:val="44"/>
          <w:lang w:eastAsia="zh-CN"/>
        </w:rPr>
      </w:pPr>
    </w:p>
    <w:p w14:paraId="40F3A16B">
      <w:pPr>
        <w:jc w:val="center"/>
        <w:rPr>
          <w:rFonts w:hint="eastAsia"/>
          <w:b/>
          <w:bCs/>
          <w:color w:val="000000"/>
          <w:sz w:val="44"/>
          <w:szCs w:val="44"/>
          <w:lang w:eastAsia="zh-CN"/>
        </w:rPr>
      </w:pPr>
    </w:p>
    <w:p w14:paraId="385D7090">
      <w:pPr>
        <w:jc w:val="center"/>
        <w:rPr>
          <w:rFonts w:hint="eastAsia"/>
          <w:b/>
          <w:bCs/>
          <w:color w:val="000000"/>
          <w:sz w:val="44"/>
          <w:szCs w:val="44"/>
          <w:lang w:eastAsia="zh-CN"/>
        </w:rPr>
      </w:pPr>
    </w:p>
    <w:p w14:paraId="47A9479A">
      <w:pPr>
        <w:jc w:val="center"/>
        <w:rPr>
          <w:rFonts w:hint="eastAsia"/>
          <w:b/>
          <w:bCs/>
          <w:color w:val="000000"/>
          <w:sz w:val="44"/>
          <w:szCs w:val="44"/>
          <w:lang w:eastAsia="zh-CN"/>
        </w:rPr>
      </w:pPr>
    </w:p>
    <w:p w14:paraId="67E76D3D">
      <w:pPr>
        <w:jc w:val="center"/>
        <w:rPr>
          <w:rFonts w:hint="eastAsia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/>
          <w:b/>
          <w:bCs/>
          <w:color w:val="000000"/>
          <w:sz w:val="44"/>
          <w:szCs w:val="44"/>
          <w:lang w:eastAsia="zh-CN"/>
        </w:rPr>
        <w:t>海南省政务云太极云三亚节点机柜租用</w:t>
      </w:r>
      <w:r>
        <w:rPr>
          <w:rFonts w:hint="eastAsia"/>
          <w:b/>
          <w:bCs/>
          <w:color w:val="000000"/>
          <w:sz w:val="44"/>
          <w:szCs w:val="44"/>
        </w:rPr>
        <w:t>服务项目</w:t>
      </w:r>
      <w:r>
        <w:rPr>
          <w:rFonts w:hint="eastAsia" w:cs="宋体"/>
          <w:b/>
          <w:bCs/>
          <w:color w:val="000000"/>
          <w:kern w:val="0"/>
          <w:sz w:val="44"/>
          <w:szCs w:val="44"/>
        </w:rPr>
        <w:t>合同</w:t>
      </w:r>
      <w:r>
        <w:rPr>
          <w:rFonts w:hint="eastAsia" w:cs="宋体"/>
          <w:b/>
          <w:bCs/>
          <w:color w:val="000000"/>
          <w:kern w:val="0"/>
          <w:sz w:val="44"/>
          <w:szCs w:val="44"/>
          <w:lang w:eastAsia="zh-CN"/>
        </w:rPr>
        <w:t>（</w:t>
      </w:r>
      <w:r>
        <w:rPr>
          <w:rFonts w:hint="eastAsia" w:cs="宋体"/>
          <w:b/>
          <w:bCs/>
          <w:color w:val="000000"/>
          <w:kern w:val="0"/>
          <w:sz w:val="44"/>
          <w:szCs w:val="44"/>
          <w:lang w:val="en-US" w:eastAsia="zh-CN"/>
        </w:rPr>
        <w:t>模版</w:t>
      </w:r>
      <w:r>
        <w:rPr>
          <w:rFonts w:hint="eastAsia" w:cs="宋体"/>
          <w:b/>
          <w:bCs/>
          <w:color w:val="000000"/>
          <w:kern w:val="0"/>
          <w:sz w:val="44"/>
          <w:szCs w:val="44"/>
          <w:lang w:eastAsia="zh-CN"/>
        </w:rPr>
        <w:t>）</w:t>
      </w:r>
    </w:p>
    <w:p w14:paraId="78A482D8">
      <w:pPr>
        <w:rPr>
          <w:rFonts w:hint="eastAsia"/>
          <w:color w:val="000000"/>
          <w:sz w:val="44"/>
          <w:szCs w:val="44"/>
        </w:rPr>
      </w:pPr>
      <w:r>
        <w:rPr>
          <w:rFonts w:hint="eastAsia"/>
          <w:color w:val="000000"/>
          <w:sz w:val="44"/>
          <w:szCs w:val="44"/>
        </w:rPr>
        <w:t xml:space="preserve">                 </w:t>
      </w:r>
    </w:p>
    <w:p w14:paraId="255A0716">
      <w:pPr>
        <w:jc w:val="center"/>
        <w:rPr>
          <w:rFonts w:hint="eastAsia"/>
          <w:color w:val="000000"/>
          <w:sz w:val="44"/>
          <w:szCs w:val="44"/>
        </w:rPr>
      </w:pPr>
      <w:r>
        <w:rPr>
          <w:rFonts w:hint="eastAsia"/>
          <w:color w:val="000000"/>
          <w:sz w:val="44"/>
          <w:szCs w:val="44"/>
        </w:rPr>
        <w:t>（合同编号</w:t>
      </w:r>
      <w:r>
        <w:rPr>
          <w:rFonts w:hint="eastAsia"/>
          <w:color w:val="000000"/>
          <w:sz w:val="44"/>
          <w:szCs w:val="44"/>
          <w:lang w:eastAsia="zh-CN"/>
        </w:rPr>
        <w:t>：</w:t>
      </w:r>
      <w:r>
        <w:rPr>
          <w:rFonts w:hint="eastAsia"/>
          <w:color w:val="000000"/>
          <w:sz w:val="44"/>
          <w:szCs w:val="44"/>
        </w:rPr>
        <w:t>HNZCDY202</w:t>
      </w:r>
      <w:r>
        <w:rPr>
          <w:rFonts w:hint="eastAsia"/>
          <w:color w:val="000000"/>
          <w:sz w:val="44"/>
          <w:szCs w:val="44"/>
          <w:lang w:val="en-US" w:eastAsia="zh-CN"/>
        </w:rPr>
        <w:t>5</w:t>
      </w:r>
      <w:r>
        <w:rPr>
          <w:rFonts w:hint="eastAsia"/>
          <w:color w:val="000000"/>
          <w:sz w:val="44"/>
          <w:szCs w:val="44"/>
        </w:rPr>
        <w:t>-3</w:t>
      </w:r>
      <w:r>
        <w:rPr>
          <w:rFonts w:hint="eastAsia"/>
          <w:color w:val="000000"/>
          <w:sz w:val="44"/>
          <w:szCs w:val="44"/>
          <w:lang w:val="en-US" w:eastAsia="zh-CN"/>
        </w:rPr>
        <w:t>61</w:t>
      </w:r>
      <w:r>
        <w:rPr>
          <w:rFonts w:hint="eastAsia"/>
          <w:color w:val="000000"/>
          <w:sz w:val="44"/>
          <w:szCs w:val="44"/>
        </w:rPr>
        <w:t>）</w:t>
      </w:r>
    </w:p>
    <w:p w14:paraId="08D65FA3">
      <w:pPr>
        <w:rPr>
          <w:rFonts w:hint="eastAsia"/>
          <w:color w:val="000000"/>
          <w:sz w:val="44"/>
          <w:szCs w:val="44"/>
        </w:rPr>
      </w:pPr>
    </w:p>
    <w:p w14:paraId="7B3590E5">
      <w:pPr>
        <w:rPr>
          <w:rFonts w:hint="eastAsia"/>
          <w:color w:val="000000"/>
          <w:sz w:val="44"/>
          <w:szCs w:val="44"/>
        </w:rPr>
      </w:pPr>
    </w:p>
    <w:p w14:paraId="069BE640">
      <w:pPr>
        <w:rPr>
          <w:rFonts w:hint="eastAsia"/>
          <w:color w:val="000000"/>
          <w:sz w:val="44"/>
          <w:szCs w:val="44"/>
        </w:rPr>
      </w:pPr>
    </w:p>
    <w:p w14:paraId="749FE93C">
      <w:pPr>
        <w:rPr>
          <w:rFonts w:hint="eastAsia"/>
          <w:color w:val="000000"/>
          <w:sz w:val="44"/>
          <w:szCs w:val="44"/>
        </w:rPr>
      </w:pPr>
    </w:p>
    <w:p w14:paraId="420AD9E7">
      <w:pPr>
        <w:rPr>
          <w:rFonts w:hint="eastAsia"/>
          <w:color w:val="000000"/>
          <w:sz w:val="44"/>
          <w:szCs w:val="44"/>
        </w:rPr>
      </w:pPr>
    </w:p>
    <w:p w14:paraId="63556AB1">
      <w:pPr>
        <w:rPr>
          <w:rFonts w:hint="eastAsia"/>
          <w:color w:val="000000"/>
          <w:sz w:val="44"/>
          <w:szCs w:val="44"/>
        </w:rPr>
      </w:pPr>
    </w:p>
    <w:p w14:paraId="53B5A39F">
      <w:pPr>
        <w:rPr>
          <w:rFonts w:hint="eastAsia"/>
          <w:color w:val="000000"/>
          <w:sz w:val="44"/>
          <w:szCs w:val="44"/>
        </w:rPr>
      </w:pPr>
    </w:p>
    <w:p w14:paraId="561A0521">
      <w:pPr>
        <w:rPr>
          <w:rFonts w:hint="eastAsia"/>
          <w:color w:val="000000"/>
          <w:sz w:val="44"/>
          <w:szCs w:val="44"/>
        </w:rPr>
      </w:pPr>
    </w:p>
    <w:p w14:paraId="537D181E">
      <w:pPr>
        <w:rPr>
          <w:rFonts w:hint="eastAsia"/>
          <w:color w:val="000000"/>
          <w:sz w:val="44"/>
          <w:szCs w:val="44"/>
        </w:rPr>
      </w:pPr>
    </w:p>
    <w:p w14:paraId="0F87D3C0">
      <w:pPr>
        <w:pStyle w:val="5"/>
        <w:spacing w:line="540" w:lineRule="exact"/>
        <w:ind w:right="0" w:firstLine="2240" w:firstLineChars="800"/>
        <w:jc w:val="both"/>
        <w:rPr>
          <w:rFonts w:hint="eastAsia" w:hAnsi="宋体" w:cs="宋体"/>
          <w:color w:val="000000"/>
          <w:sz w:val="28"/>
          <w:szCs w:val="28"/>
          <w:u w:val="single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甲方：</w:t>
      </w:r>
      <w:r>
        <w:rPr>
          <w:rFonts w:hint="eastAsia" w:hAnsi="宋体" w:cs="宋体"/>
          <w:color w:val="000000"/>
          <w:sz w:val="28"/>
          <w:szCs w:val="28"/>
          <w:u w:val="single"/>
          <w:lang w:eastAsia="zh-CN"/>
        </w:rPr>
        <w:t>三亚市科技工业信息化综合服务中心</w:t>
      </w:r>
    </w:p>
    <w:p w14:paraId="2FE5D348">
      <w:pPr>
        <w:pStyle w:val="5"/>
        <w:spacing w:line="540" w:lineRule="exact"/>
        <w:ind w:right="0" w:firstLine="2240" w:firstLineChars="800"/>
        <w:jc w:val="both"/>
        <w:rPr>
          <w:rFonts w:hint="eastAsia" w:hAnsi="宋体" w:cs="宋体"/>
          <w:color w:val="00000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乙方：</w:t>
      </w:r>
      <w:r>
        <w:rPr>
          <w:rFonts w:hint="eastAsia" w:hAnsi="宋体" w:cs="宋体"/>
          <w:color w:val="000000"/>
          <w:sz w:val="28"/>
          <w:szCs w:val="28"/>
          <w:u w:val="single"/>
          <w:lang w:eastAsia="zh-CN"/>
        </w:rPr>
        <w:t>（</w:t>
      </w:r>
      <w:r>
        <w:rPr>
          <w:rFonts w:hint="eastAsia" w:hAnsi="宋体" w:cs="宋体"/>
          <w:color w:val="000000"/>
          <w:sz w:val="28"/>
          <w:szCs w:val="28"/>
          <w:u w:val="single"/>
          <w:lang w:val="en-US" w:eastAsia="zh-CN"/>
        </w:rPr>
        <w:t>供应商）</w:t>
      </w:r>
    </w:p>
    <w:p w14:paraId="291D5AA9">
      <w:pPr>
        <w:pStyle w:val="5"/>
        <w:spacing w:line="540" w:lineRule="exact"/>
        <w:ind w:right="0" w:firstLine="2240" w:firstLineChars="800"/>
        <w:jc w:val="both"/>
        <w:rPr>
          <w:rFonts w:hint="eastAsia" w:ascii="宋体" w:hAnsi="宋体" w:eastAsia="宋体" w:cs="宋体"/>
          <w:color w:val="000000"/>
          <w:sz w:val="28"/>
          <w:szCs w:val="28"/>
        </w:rPr>
        <w:sectPr>
          <w:footerReference r:id="rId5" w:type="default"/>
          <w:pgSz w:w="11906" w:h="16838"/>
          <w:pgMar w:top="1440" w:right="1800" w:bottom="1440" w:left="1800" w:header="510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签订日期：</w:t>
      </w:r>
      <w:r>
        <w:rPr>
          <w:rFonts w:hint="eastAsia" w:hAnsi="宋体" w:cs="宋体"/>
          <w:color w:val="000000"/>
          <w:sz w:val="28"/>
          <w:szCs w:val="28"/>
          <w:lang w:val="en-US" w:eastAsia="zh-CN"/>
        </w:rPr>
        <w:t>2025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年  月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日  </w:t>
      </w:r>
    </w:p>
    <w:p w14:paraId="7222E651">
      <w:pPr>
        <w:pStyle w:val="5"/>
        <w:spacing w:line="540" w:lineRule="exact"/>
        <w:ind w:firstLine="640"/>
        <w:rPr>
          <w:rFonts w:hint="eastAsia" w:ascii="宋体" w:hAnsi="宋体" w:eastAsia="宋体" w:cs="宋体"/>
          <w:color w:val="000000"/>
          <w:sz w:val="28"/>
          <w:szCs w:val="28"/>
          <w:u w:val="single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u w:val="none"/>
        </w:rPr>
        <w:t>甲方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>：</w:t>
      </w:r>
      <w:r>
        <w:rPr>
          <w:rFonts w:hint="eastAsia" w:hAnsi="宋体" w:cs="宋体"/>
          <w:color w:val="000000"/>
          <w:sz w:val="28"/>
          <w:szCs w:val="28"/>
          <w:u w:val="single"/>
          <w:lang w:eastAsia="zh-CN"/>
        </w:rPr>
        <w:t>三亚市科技工业信息化综合服务中心</w:t>
      </w:r>
      <w:r>
        <w:rPr>
          <w:rFonts w:hint="eastAsia" w:hAnsi="宋体" w:cs="宋体"/>
          <w:color w:val="000000"/>
          <w:sz w:val="28"/>
          <w:szCs w:val="28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  <w:u w:val="none"/>
        </w:rPr>
        <w:t>乙方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>：</w:t>
      </w:r>
      <w:r>
        <w:rPr>
          <w:rFonts w:hint="eastAsia" w:hAnsi="宋体" w:cs="宋体"/>
          <w:color w:val="000000"/>
          <w:sz w:val="28"/>
          <w:szCs w:val="28"/>
          <w:u w:val="single"/>
          <w:lang w:eastAsia="zh-CN"/>
        </w:rPr>
        <w:t>（</w:t>
      </w:r>
      <w:r>
        <w:rPr>
          <w:rFonts w:hint="eastAsia" w:hAnsi="宋体" w:cs="宋体"/>
          <w:color w:val="000000"/>
          <w:sz w:val="28"/>
          <w:szCs w:val="28"/>
          <w:u w:val="single"/>
          <w:lang w:val="en-US" w:eastAsia="zh-CN"/>
        </w:rPr>
        <w:t>供应商</w:t>
      </w:r>
      <w:r>
        <w:rPr>
          <w:rFonts w:hint="eastAsia" w:hAnsi="宋体" w:cs="宋体"/>
          <w:color w:val="000000"/>
          <w:sz w:val="28"/>
          <w:szCs w:val="28"/>
          <w:u w:val="single"/>
          <w:lang w:eastAsia="zh-CN"/>
        </w:rPr>
        <w:t>）</w:t>
      </w:r>
    </w:p>
    <w:p w14:paraId="680FEE94">
      <w:pPr>
        <w:pStyle w:val="5"/>
        <w:spacing w:line="540" w:lineRule="exact"/>
        <w:ind w:firstLine="64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甲乙双方根据（项目名称：</w:t>
      </w:r>
      <w:r>
        <w:rPr>
          <w:rFonts w:hint="eastAsia" w:ascii="宋体" w:hAnsi="宋体" w:eastAsia="宋体" w:cs="宋体"/>
          <w:color w:val="000000"/>
          <w:sz w:val="24"/>
          <w:lang w:eastAsia="zh-CN"/>
        </w:rPr>
        <w:t>海南省政务云太极云三亚节点机柜租用</w:t>
      </w:r>
      <w:r>
        <w:rPr>
          <w:rFonts w:hint="eastAsia" w:ascii="宋体" w:hAnsi="宋体" w:eastAsia="宋体" w:cs="宋体"/>
          <w:color w:val="000000"/>
          <w:sz w:val="24"/>
        </w:rPr>
        <w:t>服务项目）（项目编号：HNZCDY202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4"/>
        </w:rPr>
        <w:t>-3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61</w:t>
      </w:r>
      <w:r>
        <w:rPr>
          <w:rFonts w:hint="eastAsia" w:ascii="宋体" w:hAnsi="宋体" w:eastAsia="宋体" w:cs="宋体"/>
          <w:color w:val="000000"/>
          <w:sz w:val="24"/>
        </w:rPr>
        <w:t>）的采购文件及成交的响应文件和成交通知书，甲乙双方就此次成交的事宜，签订本合同。</w:t>
      </w:r>
    </w:p>
    <w:p w14:paraId="065C4EBF">
      <w:pPr>
        <w:rPr>
          <w:rFonts w:hint="eastAsia" w:ascii="宋体" w:hAnsi="宋体" w:cs="宋体"/>
          <w:b/>
          <w:bCs/>
          <w:color w:val="000000"/>
        </w:rPr>
      </w:pPr>
      <w:r>
        <w:rPr>
          <w:rFonts w:hint="eastAsia" w:ascii="宋体" w:hAnsi="宋体" w:cs="宋体"/>
          <w:b/>
          <w:bCs/>
          <w:color w:val="000000"/>
        </w:rPr>
        <w:t>一、</w:t>
      </w:r>
      <w:r>
        <w:rPr>
          <w:rFonts w:hint="eastAsia" w:ascii="宋体" w:hAnsi="宋体" w:cs="宋体"/>
          <w:b/>
          <w:bCs/>
          <w:color w:val="000000"/>
          <w:lang w:val="en-US" w:eastAsia="zh-CN"/>
        </w:rPr>
        <w:t>服务</w:t>
      </w:r>
      <w:r>
        <w:rPr>
          <w:rFonts w:hint="eastAsia" w:ascii="宋体" w:hAnsi="宋体" w:cs="宋体"/>
          <w:b/>
          <w:bCs/>
          <w:color w:val="000000"/>
        </w:rPr>
        <w:t>范围和内容</w:t>
      </w:r>
    </w:p>
    <w:p w14:paraId="182FD0C9">
      <w:pPr>
        <w:keepNext/>
        <w:keepLines/>
        <w:pageBreakBefore w:val="0"/>
        <w:kinsoku/>
        <w:overflowPunct/>
        <w:topLinePunct w:val="0"/>
        <w:bidi w:val="0"/>
        <w:spacing w:after="0" w:line="360" w:lineRule="auto"/>
        <w:ind w:firstLine="643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24"/>
          <w:szCs w:val="24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  <w14:ligatures w14:val="standardContextual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/>
          <w:bCs/>
          <w:sz w:val="24"/>
          <w:szCs w:val="24"/>
          <w14:ligatures w14:val="standardContextual"/>
        </w:rPr>
        <w:t>机房要求</w:t>
      </w:r>
    </w:p>
    <w:p w14:paraId="4996B37F">
      <w:pPr>
        <w:keepNext/>
        <w:keepLines/>
        <w:pageBreakBefore w:val="0"/>
        <w:kinsoku/>
        <w:overflowPunct/>
        <w:topLinePunct w:val="0"/>
        <w:bidi w:val="0"/>
        <w:spacing w:after="0" w:line="360" w:lineRule="auto"/>
        <w:ind w:firstLine="643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24"/>
          <w:szCs w:val="24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  <w14:ligatures w14:val="standardContextual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standardContextual"/>
        </w:rPr>
        <w:t>1.1 机房基础环境</w:t>
      </w:r>
    </w:p>
    <w:p w14:paraId="46B029F2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1.机房标准</w:t>
      </w:r>
      <w:bookmarkStart w:id="0" w:name="_GoBack"/>
      <w:bookmarkEnd w:id="0"/>
    </w:p>
    <w:p w14:paraId="17605154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(1)机房应具备功能区域：主机房、支持辅助机房。</w:t>
      </w:r>
    </w:p>
    <w:p w14:paraId="17628AFD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(2)提供 7*24 热线人工值守以及响应电话，7*24 全天候技术支持响应。</w:t>
      </w:r>
    </w:p>
    <w:p w14:paraId="5C19435A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2.面积及容量</w:t>
      </w:r>
    </w:p>
    <w:p w14:paraId="0DEC979B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主机房建筑面积不少于 300 ㎡，支持辅助机房建筑面积不少于 900 ㎡。</w:t>
      </w:r>
    </w:p>
    <w:p w14:paraId="69D7C1B7">
      <w:pPr>
        <w:keepNext/>
        <w:keepLines/>
        <w:pageBreakBefore w:val="0"/>
        <w:kinsoku/>
        <w:overflowPunct/>
        <w:topLinePunct w:val="0"/>
        <w:bidi w:val="0"/>
        <w:spacing w:after="0" w:line="360" w:lineRule="auto"/>
        <w:ind w:firstLine="643"/>
        <w:textAlignment w:val="auto"/>
        <w:outlineLvl w:val="9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14:ligatures w14:val="standardContextual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14:ligatures w14:val="standardContextual"/>
        </w:rPr>
        <w:t>1.2 供配电系统</w:t>
      </w:r>
    </w:p>
    <w:p w14:paraId="43E9AD7A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14:ligatures w14:val="standardContextual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14:ligatures w14:val="standardContextual"/>
        </w:rPr>
        <w:t>1.设计要求</w:t>
      </w:r>
    </w:p>
    <w:p w14:paraId="3FFCEB89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14:ligatures w14:val="standardContextual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14:ligatures w14:val="standardContextual"/>
        </w:rPr>
        <w:t>机房供配电系统包括：高低压、柴油发电机、UPS不间断电源、照明等几个部分。按照一类供电进行供配电设计，机房IT负荷供配电设备、连续制冷系统、机房监控系统、消防供电系统以及应急照明用电。采用不少于双路市电、单路柴油发电机和双路UPS供电。</w:t>
      </w:r>
    </w:p>
    <w:p w14:paraId="0C010699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2.高低压供配电系统</w:t>
      </w:r>
    </w:p>
    <w:p w14:paraId="16209967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供电采用TN-S系统，采用2路市电供电、发电机备电， UPS不间断电源的组合式供电方式。双路市电接入应不少于10KV，变压器容量应不少于1000KVA，发电机组输出不低于500KW。</w:t>
      </w:r>
    </w:p>
    <w:p w14:paraId="1A50814C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3.UPS供配电系统</w:t>
      </w:r>
    </w:p>
    <w:p w14:paraId="734610DB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(1)UPS负责主机房的所有机柜、紧急照明供电，采用2N系统，分为A、B两路，二路独立供电。</w:t>
      </w:r>
    </w:p>
    <w:p w14:paraId="43A2DF1C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(2)UPS后备电池应采用免维护电池，在25摄氏度的运行环境下，设计寿命不小于10年。</w:t>
      </w:r>
    </w:p>
    <w:p w14:paraId="3BBC74EC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(3)每路UPS配置满负载放电60分钟的电池组。</w:t>
      </w:r>
    </w:p>
    <w:p w14:paraId="41227C5F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4.柴油发电机</w:t>
      </w:r>
    </w:p>
    <w:p w14:paraId="37FB3130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柴油发电机应满足机房断电后临时供电需求，油机油箱满足备电12小时以上。</w:t>
      </w:r>
    </w:p>
    <w:p w14:paraId="1600BD31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5.照明及应急照明系统</w:t>
      </w:r>
    </w:p>
    <w:p w14:paraId="657F47C8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主机房设置普通照明、应急照明及疏散照明，采用分区、分组间隔控制。</w:t>
      </w:r>
    </w:p>
    <w:p w14:paraId="4EC00CA0">
      <w:pPr>
        <w:keepNext/>
        <w:keepLines/>
        <w:pageBreakBefore w:val="0"/>
        <w:kinsoku/>
        <w:overflowPunct/>
        <w:topLinePunct w:val="0"/>
        <w:bidi w:val="0"/>
        <w:spacing w:after="0" w:line="360" w:lineRule="auto"/>
        <w:ind w:firstLine="643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24"/>
          <w:szCs w:val="24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  <w14:ligatures w14:val="standardContextual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standardContextual"/>
        </w:rPr>
        <w:t>1.3 空调新风系统</w:t>
      </w:r>
    </w:p>
    <w:p w14:paraId="5B5B5D05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1.空调制冷系统</w:t>
      </w:r>
    </w:p>
    <w:p w14:paraId="3B957063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空调机组按N+1设计，机房区采用模块化行间精密空调，配电间、UPS电池间采用柜式空调。</w:t>
      </w:r>
    </w:p>
    <w:p w14:paraId="6FCA5C6F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2.封闭冷通道</w:t>
      </w:r>
    </w:p>
    <w:p w14:paraId="2C340DDD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两列机柜为一组，冷通道两端双开推拉门带观察窗并配置门禁。</w:t>
      </w:r>
    </w:p>
    <w:p w14:paraId="5A1CB209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3.机房新风换气</w:t>
      </w:r>
    </w:p>
    <w:p w14:paraId="13E9D6BC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主机房安装新风机，每台新风量需满足实际主机房制冷量需求。</w:t>
      </w:r>
    </w:p>
    <w:p w14:paraId="13891A98">
      <w:pPr>
        <w:keepNext/>
        <w:keepLines/>
        <w:pageBreakBefore w:val="0"/>
        <w:kinsoku/>
        <w:overflowPunct/>
        <w:topLinePunct w:val="0"/>
        <w:bidi w:val="0"/>
        <w:spacing w:after="0" w:line="360" w:lineRule="auto"/>
        <w:ind w:firstLine="643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24"/>
          <w:szCs w:val="24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  <w14:ligatures w14:val="standardContextual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standardContextual"/>
        </w:rPr>
        <w:t>1.4 防雷接地</w:t>
      </w:r>
    </w:p>
    <w:p w14:paraId="0DA6CD21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  <w14:ligatures w14:val="standardContextual"/>
        </w:rPr>
        <w:t>1.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数据中心的防雷和接地设计，应满足人身安全及电子信息系统正常运行要求，并符合现行国家标准有关规定。</w:t>
      </w:r>
    </w:p>
    <w:p w14:paraId="2917E418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  <w14:ligatures w14:val="standardContextual"/>
        </w:rPr>
        <w:t>2.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数据中心机房的供电系统应安装不少于三级防雷器进行防雷保护。高低压配电做一级雷电浪涌防护，UPS、柴油发电机、市电动力电输出做二级雷电浪涌防护，配电列头柜做三级雷电浪涌防护。</w:t>
      </w:r>
    </w:p>
    <w:p w14:paraId="2BADCB4E">
      <w:pPr>
        <w:keepNext/>
        <w:keepLines/>
        <w:pageBreakBefore w:val="0"/>
        <w:kinsoku/>
        <w:overflowPunct/>
        <w:topLinePunct w:val="0"/>
        <w:bidi w:val="0"/>
        <w:spacing w:after="0" w:line="360" w:lineRule="auto"/>
        <w:ind w:firstLine="643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24"/>
          <w:szCs w:val="24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  <w14:ligatures w14:val="standardContextual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standardContextual"/>
        </w:rPr>
        <w:t>1.5 动环监控系统</w:t>
      </w:r>
    </w:p>
    <w:p w14:paraId="39F3AC17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监测内容：低压配电监测、UPS监测、精密空调监控、机柜微环境监测、漏水监测、消防监测、图像监控、门禁管制。</w:t>
      </w:r>
    </w:p>
    <w:p w14:paraId="6DC41CD4">
      <w:pPr>
        <w:keepNext/>
        <w:keepLines/>
        <w:pageBreakBefore w:val="0"/>
        <w:kinsoku/>
        <w:overflowPunct/>
        <w:topLinePunct w:val="0"/>
        <w:bidi w:val="0"/>
        <w:spacing w:after="0" w:line="360" w:lineRule="auto"/>
        <w:ind w:firstLine="643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24"/>
          <w:szCs w:val="24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  <w14:ligatures w14:val="standardContextual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standardContextual"/>
        </w:rPr>
        <w:t>1.6 消防系统</w:t>
      </w:r>
    </w:p>
    <w:p w14:paraId="2F0DF1CB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  <w14:ligatures w14:val="standardContextual"/>
        </w:rPr>
        <w:t>1.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气体灭火</w:t>
      </w:r>
    </w:p>
    <w:p w14:paraId="6CA497E9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主机房安装气体灭火系统，每个机房保护区为单独的一套灭火控制系统。</w:t>
      </w:r>
    </w:p>
    <w:p w14:paraId="2897418D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  <w14:ligatures w14:val="standardContextual"/>
        </w:rPr>
        <w:t>2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.机房消防报警及极早期预警</w:t>
      </w:r>
    </w:p>
    <w:p w14:paraId="091F5772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支持辅助区机房吊顶下各安装感烟探测器、感温探测器、声光报警器。</w:t>
      </w:r>
    </w:p>
    <w:p w14:paraId="60C9FCDA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  <w14:ligatures w14:val="standardContextual"/>
        </w:rPr>
        <w:t>3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.消防排烟系统</w:t>
      </w:r>
    </w:p>
    <w:p w14:paraId="17D93B58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主机房、支持辅助区应配置排风机，排风风管及安装辅材选用阻燃材料或难燃B1级材料，排风管道应安装排风防火阀。</w:t>
      </w:r>
    </w:p>
    <w:p w14:paraId="7FEE25A9">
      <w:pPr>
        <w:keepNext/>
        <w:keepLines/>
        <w:pageBreakBefore w:val="0"/>
        <w:kinsoku/>
        <w:overflowPunct/>
        <w:topLinePunct w:val="0"/>
        <w:bidi w:val="0"/>
        <w:spacing w:after="0" w:line="360" w:lineRule="auto"/>
        <w:ind w:firstLine="643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24"/>
          <w:szCs w:val="24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  <w14:ligatures w14:val="standardContextual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standardContextual"/>
        </w:rPr>
        <w:t>1.7 机房安全</w:t>
      </w:r>
    </w:p>
    <w:p w14:paraId="05AB4B97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1.出入管理系统：机房所有出入口均安装门禁系统</w:t>
      </w:r>
      <w:r>
        <w:rPr>
          <w:rFonts w:hint="eastAsia" w:ascii="宋体" w:hAnsi="宋体" w:eastAsia="宋体" w:cs="宋体"/>
          <w:sz w:val="24"/>
          <w:szCs w:val="24"/>
          <w:lang w:eastAsia="zh-CN"/>
          <w14:ligatures w14:val="standardContextual"/>
        </w:rPr>
        <w:t>。</w:t>
      </w:r>
    </w:p>
    <w:p w14:paraId="32100291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2.视频监控系统：机房各出入口以及机柜通道应具备高清监控系统，存储时间不少于 60 天。</w:t>
      </w:r>
    </w:p>
    <w:p w14:paraId="698DFA97">
      <w:pPr>
        <w:keepNext/>
        <w:keepLines/>
        <w:pageBreakBefore w:val="0"/>
        <w:kinsoku/>
        <w:overflowPunct/>
        <w:topLinePunct w:val="0"/>
        <w:bidi w:val="0"/>
        <w:spacing w:after="0" w:line="360" w:lineRule="auto"/>
        <w:ind w:firstLine="643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24"/>
          <w:szCs w:val="24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  <w14:ligatures w14:val="standardContextual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standardContextual"/>
        </w:rPr>
        <w:t>1.8 关键设备要求</w:t>
      </w:r>
    </w:p>
    <w:p w14:paraId="306E9A8E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1.空调系统要求采用风冷变频技术，设备必须满足以下条件：</w:t>
      </w:r>
    </w:p>
    <w:p w14:paraId="73201586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（1）制冷量满足数据中心需求，采用N+1冗余模式。</w:t>
      </w:r>
    </w:p>
    <w:p w14:paraId="0E82C9B8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（2）模块内行级精密空调，单台制冷量不低于25kW。</w:t>
      </w:r>
    </w:p>
    <w:p w14:paraId="2B9FDC6F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2.UPS系统</w:t>
      </w:r>
    </w:p>
    <w:p w14:paraId="4F1A4001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（1）容量满足数据中心机房供电要求，采用N+1主备模式。</w:t>
      </w:r>
    </w:p>
    <w:p w14:paraId="638000CB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（2）蓄电池为铅酸电池，便于维护。</w:t>
      </w:r>
    </w:p>
    <w:p w14:paraId="1888C033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3.柴油发电机</w:t>
      </w:r>
    </w:p>
    <w:p w14:paraId="0E651EE3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功率满足数据中心机房实际负荷量≥500KW，发动机组的综合负载在60%-70%之间。</w:t>
      </w:r>
    </w:p>
    <w:p w14:paraId="0A98520E">
      <w:pPr>
        <w:keepNext/>
        <w:keepLines/>
        <w:pageBreakBefore w:val="0"/>
        <w:kinsoku/>
        <w:overflowPunct/>
        <w:topLinePunct w:val="0"/>
        <w:bidi w:val="0"/>
        <w:spacing w:after="0" w:line="360" w:lineRule="auto"/>
        <w:ind w:firstLine="643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standardContextual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  <w14:ligatures w14:val="standardContextual"/>
        </w:rPr>
        <w:t>、</w:t>
      </w:r>
      <w:r>
        <w:rPr>
          <w:rFonts w:hint="eastAsia" w:ascii="宋体" w:hAnsi="宋体" w:eastAsia="宋体" w:cs="宋体"/>
          <w:b/>
          <w:bCs/>
          <w:sz w:val="24"/>
          <w:szCs w:val="24"/>
          <w14:ligatures w14:val="standardContextual"/>
        </w:rPr>
        <w:t>项目服务要求</w:t>
      </w:r>
    </w:p>
    <w:p w14:paraId="24825F17">
      <w:pPr>
        <w:pageBreakBefore w:val="0"/>
        <w:kinsoku/>
        <w:overflowPunct/>
        <w:topLinePunct w:val="0"/>
        <w:bidi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服务商除向采购方提供符合上述基本原则和要求的机房、办公辅助环境外，还需提供7×24小时的机房日常维护管理服务、设施保障服务。以上服务包括但不限于： </w:t>
      </w:r>
    </w:p>
    <w:p w14:paraId="17017257">
      <w:pPr>
        <w:pageBreakBefore w:val="0"/>
        <w:kinsoku/>
        <w:overflowPunct/>
        <w:topLinePunct w:val="0"/>
        <w:bidi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（1）7×24小时人员值班、环境监控、定期巡查。 </w:t>
      </w:r>
    </w:p>
    <w:p w14:paraId="1EE463DA">
      <w:pPr>
        <w:pageBreakBefore w:val="0"/>
        <w:kinsoku/>
        <w:overflowPunct/>
        <w:topLinePunct w:val="0"/>
        <w:bidi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（2）对机房内相关设备（服务商自有设备）进行定期巡检、并按照采购人要求进行相关处理。 </w:t>
      </w:r>
    </w:p>
    <w:p w14:paraId="47C02FEB">
      <w:pPr>
        <w:pageBreakBefore w:val="0"/>
        <w:kinsoku/>
        <w:overflowPunct/>
        <w:topLinePunct w:val="0"/>
        <w:bidi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（3）机房空调、UPS供配电系统、备用发电机、消防系统、环境监控系统等各类机房设施的巡检、维护、测试和应急演练。 </w:t>
      </w:r>
    </w:p>
    <w:p w14:paraId="4DB3EA18">
      <w:pPr>
        <w:pageBreakBefore w:val="0"/>
        <w:kinsoku/>
        <w:overflowPunct/>
        <w:topLinePunct w:val="0"/>
        <w:bidi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（4）提供相关人员出入、设备出入手续的办理与协调。 </w:t>
      </w:r>
    </w:p>
    <w:p w14:paraId="5A0EC283">
      <w:pPr>
        <w:pageBreakBefore w:val="0"/>
        <w:kinsoku/>
        <w:overflowPunct/>
        <w:topLinePunct w:val="0"/>
        <w:bidi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（5）协助进行设备排查故障等工作。 </w:t>
      </w:r>
    </w:p>
    <w:p w14:paraId="7C54D6EE">
      <w:pPr>
        <w:pageBreakBefore w:val="0"/>
        <w:kinsoku/>
        <w:overflowPunct/>
        <w:topLinePunct w:val="0"/>
        <w:bidi w:val="0"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（6）其它根据采购方要求所需要配合的工作。 </w:t>
      </w:r>
    </w:p>
    <w:p w14:paraId="2D168AEE">
      <w:pPr>
        <w:keepNext/>
        <w:keepLines/>
        <w:pageBreakBefore w:val="0"/>
        <w:widowControl w:val="0"/>
        <w:kinsoku/>
        <w:wordWrap/>
        <w:overflowPunct/>
        <w:topLinePunct w:val="0"/>
        <w:bidi w:val="0"/>
        <w:adjustRightInd/>
        <w:spacing w:before="0" w:after="0" w:line="360" w:lineRule="auto"/>
        <w:ind w:firstLine="643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  <w14:ligatures w14:val="standardContextual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  <w14:ligatures w14:val="standardContextual"/>
        </w:rPr>
        <w:t>3、故障响应及解决时限要求</w:t>
      </w:r>
    </w:p>
    <w:p w14:paraId="4961ED21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pacing w:before="0" w:after="0" w:line="360" w:lineRule="auto"/>
        <w:ind w:left="181" w:firstLine="640"/>
        <w:jc w:val="both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  <w14:ligatures w14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  <w14:ligatures w14:val="none"/>
        </w:rPr>
        <w:t>根据对系统可用性和业务连续性的影响程度，将故障分为三个等级，其定义和对应的服务响应与解决时限要求如下表。</w:t>
      </w:r>
    </w:p>
    <w:p w14:paraId="399C306E">
      <w:pPr>
        <w:widowControl w:val="0"/>
        <w:autoSpaceDE w:val="0"/>
        <w:autoSpaceDN w:val="0"/>
        <w:spacing w:line="500" w:lineRule="exact"/>
        <w:ind w:left="0" w:leftChars="0" w:firstLine="0" w:firstLineChars="0"/>
        <w:jc w:val="center"/>
        <w:outlineLvl w:val="9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  <w14:ligatures w14:val="none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  <w14:ligatures w14:val="none"/>
        </w:rPr>
        <w:t>基础设施维保各级故障定义表</w:t>
      </w:r>
    </w:p>
    <w:tbl>
      <w:tblPr>
        <w:tblStyle w:val="7"/>
        <w:tblW w:w="98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0"/>
        <w:gridCol w:w="3195"/>
        <w:gridCol w:w="1414"/>
        <w:gridCol w:w="1382"/>
        <w:gridCol w:w="1200"/>
        <w:gridCol w:w="1279"/>
      </w:tblGrid>
      <w:tr w14:paraId="30DEF8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1" w:hRule="atLeast"/>
          <w:jc w:val="center"/>
        </w:trPr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2FDD69">
            <w:pPr>
              <w:spacing w:line="500" w:lineRule="exact"/>
              <w:ind w:left="0" w:lef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sz w:val="24"/>
                <w:szCs w:val="24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14:ligatures w14:val="standardContextual"/>
              </w:rPr>
              <w:t>故障等级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3F6B73">
            <w:pPr>
              <w:spacing w:line="50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sz w:val="24"/>
                <w:szCs w:val="24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14:ligatures w14:val="standardContextual"/>
              </w:rPr>
              <w:t>故障定义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B82504">
            <w:pPr>
              <w:spacing w:line="500" w:lineRule="exact"/>
              <w:ind w:left="0" w:leftChars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sz w:val="24"/>
                <w:szCs w:val="24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14:ligatures w14:val="standardContextual"/>
              </w:rPr>
              <w:t>电话及远程支持响应时间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F9B64D">
            <w:pPr>
              <w:spacing w:line="500" w:lineRule="exact"/>
              <w:ind w:left="0" w:leftChars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sz w:val="24"/>
                <w:szCs w:val="24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14:ligatures w14:val="standardContextual"/>
              </w:rPr>
              <w:t>现场支持响应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3BE720">
            <w:pPr>
              <w:spacing w:line="500" w:lineRule="exact"/>
              <w:ind w:left="0" w:leftChars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sz w:val="24"/>
                <w:szCs w:val="24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14:ligatures w14:val="standardContextual"/>
              </w:rPr>
              <w:t>故障解决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38565A">
            <w:pPr>
              <w:spacing w:line="500" w:lineRule="exact"/>
              <w:ind w:left="0" w:leftChars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sz w:val="24"/>
                <w:szCs w:val="24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14:ligatures w14:val="standardContextual"/>
              </w:rPr>
              <w:t>备注</w:t>
            </w:r>
          </w:p>
        </w:tc>
      </w:tr>
      <w:tr w14:paraId="467D4E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2" w:hRule="atLeast"/>
          <w:jc w:val="center"/>
        </w:trPr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7BC8D4">
            <w:pPr>
              <w:spacing w:line="500" w:lineRule="exact"/>
              <w:ind w:left="0" w:leftChars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14:ligatures w14:val="standardContextual"/>
              </w:rPr>
              <w:t>一级故障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117022">
            <w:pPr>
              <w:spacing w:line="500" w:lineRule="exact"/>
              <w:ind w:left="0" w:leftChars="0" w:firstLine="0" w:firstLineChars="0"/>
              <w:textAlignment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14:ligatures w14:val="standardContextual"/>
              </w:rPr>
              <w:t>因双路UPS系统故障导致机房内全部设备断电超过10分钟；因空调系统故障导致核心设备宕机超过10分钟；因消防系统故障导致机房发生火情。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60FC40">
            <w:pPr>
              <w:spacing w:line="500" w:lineRule="exact"/>
              <w:ind w:left="0" w:leftChars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14:ligatures w14:val="standardContextual"/>
              </w:rPr>
              <w:t>3分钟内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040D30">
            <w:pPr>
              <w:spacing w:line="500" w:lineRule="exact"/>
              <w:ind w:left="0" w:leftChars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14:ligatures w14:val="standardContextual"/>
              </w:rPr>
              <w:t>5分钟内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5486EF">
            <w:pPr>
              <w:spacing w:line="500" w:lineRule="exact"/>
              <w:ind w:left="0" w:leftChars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14:ligatures w14:val="standardContextual"/>
              </w:rPr>
              <w:t>30分钟内</w:t>
            </w:r>
          </w:p>
        </w:tc>
        <w:tc>
          <w:tcPr>
            <w:tcW w:w="127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2033C3F9">
            <w:pPr>
              <w:widowControl w:val="0"/>
              <w:spacing w:after="120" w:line="500" w:lineRule="exact"/>
              <w:ind w:left="480" w:leftChars="20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</w:p>
        </w:tc>
      </w:tr>
      <w:tr w14:paraId="3B891D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8" w:hRule="atLeast"/>
          <w:jc w:val="center"/>
        </w:trPr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ADE603">
            <w:pPr>
              <w:spacing w:line="500" w:lineRule="exact"/>
              <w:ind w:left="0" w:leftChars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14:ligatures w14:val="standardContextual"/>
              </w:rPr>
              <w:t>二级故障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B6608D">
            <w:pPr>
              <w:spacing w:line="500" w:lineRule="exact"/>
              <w:ind w:left="0" w:leftChars="0" w:firstLine="0" w:firstLineChars="0"/>
              <w:textAlignment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14:ligatures w14:val="standardContextual"/>
              </w:rPr>
              <w:t>因单路UPS系统故障导致机房内部分设备断电超过10分钟；因空调系统故障导致重要设备宕机超过30分钟。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4E597B">
            <w:pPr>
              <w:spacing w:line="500" w:lineRule="exact"/>
              <w:ind w:left="0" w:leftChars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14:ligatures w14:val="standardContextual"/>
              </w:rPr>
              <w:t>3分钟内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EDAC89">
            <w:pPr>
              <w:spacing w:line="500" w:lineRule="exact"/>
              <w:ind w:left="0" w:leftChars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14:ligatures w14:val="standardContextual"/>
              </w:rPr>
              <w:t>5分钟内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DD180E">
            <w:pPr>
              <w:spacing w:line="500" w:lineRule="exact"/>
              <w:ind w:left="0" w:leftChars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14:ligatures w14:val="standardContextual"/>
              </w:rPr>
              <w:t>1小时内</w:t>
            </w:r>
          </w:p>
        </w:tc>
        <w:tc>
          <w:tcPr>
            <w:tcW w:w="12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B0A087E">
            <w:pPr>
              <w:spacing w:line="50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14:ligatures w14:val="standardContextual"/>
              </w:rPr>
            </w:pPr>
          </w:p>
        </w:tc>
      </w:tr>
      <w:tr w14:paraId="42A872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3" w:hRule="atLeast"/>
          <w:jc w:val="center"/>
        </w:trPr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B41649">
            <w:pPr>
              <w:spacing w:line="500" w:lineRule="exact"/>
              <w:ind w:left="0" w:leftChars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14:ligatures w14:val="standardContextual"/>
              </w:rPr>
              <w:t>三级故障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BB7E8A">
            <w:pPr>
              <w:spacing w:line="500" w:lineRule="exact"/>
              <w:ind w:left="0" w:leftChars="0" w:firstLine="0" w:firstLineChars="0"/>
              <w:textAlignment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14:ligatures w14:val="standardContextual"/>
              </w:rPr>
              <w:t>因机柜PDU故障导致机柜内部分设备断电超过10分钟；因单个空调系统故障导致部分设备宕机超过30分钟。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F621EC">
            <w:pPr>
              <w:spacing w:line="500" w:lineRule="exact"/>
              <w:ind w:left="0" w:leftChars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14:ligatures w14:val="standardContextual"/>
              </w:rPr>
              <w:t>3分钟内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DCF8DF">
            <w:pPr>
              <w:spacing w:line="500" w:lineRule="exact"/>
              <w:ind w:left="0" w:leftChars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14:ligatures w14:val="standardContextual"/>
              </w:rPr>
              <w:t>5分钟内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ED601B">
            <w:pPr>
              <w:spacing w:line="500" w:lineRule="exact"/>
              <w:ind w:left="0" w:leftChars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14:ligatures w14:val="standardContextual"/>
              </w:rPr>
              <w:t>2小时内</w:t>
            </w:r>
          </w:p>
        </w:tc>
        <w:tc>
          <w:tcPr>
            <w:tcW w:w="127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BA1F99">
            <w:pPr>
              <w:spacing w:line="50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14:ligatures w14:val="standardContextual"/>
              </w:rPr>
            </w:pPr>
          </w:p>
        </w:tc>
      </w:tr>
    </w:tbl>
    <w:p w14:paraId="6A677F53">
      <w:pPr>
        <w:keepNext/>
        <w:keepLines/>
        <w:pageBreakBefore w:val="0"/>
        <w:widowControl w:val="0"/>
        <w:kinsoku/>
        <w:wordWrap/>
        <w:overflowPunct/>
        <w:topLinePunct w:val="0"/>
        <w:bidi w:val="0"/>
        <w:adjustRightInd/>
        <w:spacing w:before="0" w:after="0" w:line="360" w:lineRule="auto"/>
        <w:ind w:firstLine="643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  <w14:ligatures w14:val="standardContextual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  <w14:ligatures w14:val="standardContextual"/>
        </w:rPr>
        <w:t>4、处罚规则</w:t>
      </w:r>
    </w:p>
    <w:p w14:paraId="27F5E8DA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181" w:firstLine="640"/>
        <w:jc w:val="both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  <w14:ligatures w14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  <w14:ligatures w14:val="none"/>
        </w:rPr>
        <w:t>1.除不可抗力因素外，如出现故障，服务商未能按照故障解决时间和年度运维完好率（注：年度运维完好率N=故障修复次数÷故障总次数×100%）要求排除故障，导致故障解决时间和运维完好率未达标，处罚规则如下：</w:t>
      </w:r>
    </w:p>
    <w:tbl>
      <w:tblPr>
        <w:tblStyle w:val="7"/>
        <w:tblW w:w="88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9"/>
        <w:gridCol w:w="3431"/>
        <w:gridCol w:w="4121"/>
      </w:tblGrid>
      <w:tr w14:paraId="78825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tblHeader/>
          <w:jc w:val="center"/>
        </w:trPr>
        <w:tc>
          <w:tcPr>
            <w:tcW w:w="1329" w:type="dxa"/>
            <w:vAlign w:val="center"/>
          </w:tcPr>
          <w:p w14:paraId="54F9FA70">
            <w:pPr>
              <w:widowControl w:val="0"/>
              <w:snapToGrid w:val="0"/>
              <w:spacing w:line="500" w:lineRule="exact"/>
              <w:ind w:left="0" w:leftChars="0" w:firstLine="0" w:firstLineChars="0"/>
              <w:jc w:val="both"/>
              <w:outlineLvl w:val="9"/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  <w:t>事故等级</w:t>
            </w:r>
          </w:p>
        </w:tc>
        <w:tc>
          <w:tcPr>
            <w:tcW w:w="7552" w:type="dxa"/>
            <w:gridSpan w:val="2"/>
            <w:vAlign w:val="center"/>
          </w:tcPr>
          <w:p w14:paraId="1E886C77">
            <w:pPr>
              <w:widowControl w:val="0"/>
              <w:snapToGrid w:val="0"/>
              <w:spacing w:line="500" w:lineRule="exact"/>
              <w:ind w:firstLine="450" w:firstLineChars="20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  <w:t>处罚规则</w:t>
            </w:r>
          </w:p>
        </w:tc>
      </w:tr>
      <w:tr w14:paraId="3A983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329" w:type="dxa"/>
            <w:vMerge w:val="restart"/>
            <w:vAlign w:val="center"/>
          </w:tcPr>
          <w:p w14:paraId="11655CB1">
            <w:pPr>
              <w:widowControl w:val="0"/>
              <w:snapToGrid w:val="0"/>
              <w:spacing w:line="500" w:lineRule="exact"/>
              <w:ind w:left="0" w:leftChars="0" w:firstLine="0" w:firstLineChars="0"/>
              <w:jc w:val="both"/>
              <w:outlineLvl w:val="9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  <w:t>一级故障</w:t>
            </w:r>
          </w:p>
        </w:tc>
        <w:tc>
          <w:tcPr>
            <w:tcW w:w="7552" w:type="dxa"/>
            <w:gridSpan w:val="2"/>
            <w:vAlign w:val="center"/>
          </w:tcPr>
          <w:p w14:paraId="186362E0">
            <w:pPr>
              <w:widowControl w:val="0"/>
              <w:snapToGrid w:val="0"/>
              <w:spacing w:line="500" w:lineRule="exact"/>
              <w:jc w:val="both"/>
              <w:outlineLvl w:val="9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  <w:t>故障解决时间：故障解决30分钟内故障无法解决，每增加1小时则扣除中标金额的0.5%，每次事故罚款上限为中标金额的10%</w:t>
            </w:r>
          </w:p>
        </w:tc>
      </w:tr>
      <w:tr w14:paraId="63A6F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1329" w:type="dxa"/>
            <w:vMerge w:val="continue"/>
            <w:vAlign w:val="center"/>
          </w:tcPr>
          <w:p w14:paraId="5D183A34">
            <w:pPr>
              <w:widowControl w:val="0"/>
              <w:snapToGrid w:val="0"/>
              <w:spacing w:line="500" w:lineRule="exact"/>
              <w:jc w:val="both"/>
              <w:outlineLvl w:val="9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</w:p>
        </w:tc>
        <w:tc>
          <w:tcPr>
            <w:tcW w:w="3431" w:type="dxa"/>
            <w:vMerge w:val="restart"/>
            <w:vAlign w:val="center"/>
          </w:tcPr>
          <w:p w14:paraId="6FDA4239">
            <w:pPr>
              <w:widowControl w:val="0"/>
              <w:snapToGrid w:val="0"/>
              <w:spacing w:line="500" w:lineRule="exact"/>
              <w:jc w:val="both"/>
              <w:outlineLvl w:val="9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  <w:t>年度运维完好率N</w:t>
            </w:r>
          </w:p>
        </w:tc>
        <w:tc>
          <w:tcPr>
            <w:tcW w:w="4121" w:type="dxa"/>
            <w:vAlign w:val="center"/>
          </w:tcPr>
          <w:p w14:paraId="46D9AC91">
            <w:pPr>
              <w:widowControl w:val="0"/>
              <w:snapToGrid w:val="0"/>
              <w:spacing w:line="500" w:lineRule="exact"/>
              <w:jc w:val="both"/>
              <w:outlineLvl w:val="9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  <w:t>N≥99.9%，不予处罚</w:t>
            </w:r>
          </w:p>
        </w:tc>
      </w:tr>
      <w:tr w14:paraId="0BCEC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329" w:type="dxa"/>
            <w:vMerge w:val="continue"/>
            <w:vAlign w:val="center"/>
          </w:tcPr>
          <w:p w14:paraId="79012635">
            <w:pPr>
              <w:widowControl w:val="0"/>
              <w:snapToGrid w:val="0"/>
              <w:spacing w:line="500" w:lineRule="exact"/>
              <w:jc w:val="both"/>
              <w:outlineLvl w:val="9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</w:p>
        </w:tc>
        <w:tc>
          <w:tcPr>
            <w:tcW w:w="3431" w:type="dxa"/>
            <w:vMerge w:val="continue"/>
            <w:vAlign w:val="center"/>
          </w:tcPr>
          <w:p w14:paraId="60DAC360">
            <w:pPr>
              <w:widowControl w:val="0"/>
              <w:snapToGrid w:val="0"/>
              <w:spacing w:line="500" w:lineRule="exact"/>
              <w:jc w:val="both"/>
              <w:outlineLvl w:val="9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</w:p>
        </w:tc>
        <w:tc>
          <w:tcPr>
            <w:tcW w:w="4121" w:type="dxa"/>
            <w:vAlign w:val="center"/>
          </w:tcPr>
          <w:p w14:paraId="08C7C48B">
            <w:pPr>
              <w:widowControl w:val="0"/>
              <w:snapToGrid w:val="0"/>
              <w:spacing w:line="500" w:lineRule="exact"/>
              <w:jc w:val="both"/>
              <w:outlineLvl w:val="9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  <w:t>95%≤N＜99%，扣除中标金额的5%</w:t>
            </w:r>
          </w:p>
        </w:tc>
      </w:tr>
      <w:tr w14:paraId="230E7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329" w:type="dxa"/>
            <w:vMerge w:val="continue"/>
            <w:vAlign w:val="center"/>
          </w:tcPr>
          <w:p w14:paraId="70355645">
            <w:pPr>
              <w:widowControl w:val="0"/>
              <w:snapToGrid w:val="0"/>
              <w:spacing w:line="500" w:lineRule="exact"/>
              <w:jc w:val="both"/>
              <w:outlineLvl w:val="9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</w:p>
        </w:tc>
        <w:tc>
          <w:tcPr>
            <w:tcW w:w="3431" w:type="dxa"/>
            <w:vMerge w:val="continue"/>
            <w:vAlign w:val="center"/>
          </w:tcPr>
          <w:p w14:paraId="1345F419">
            <w:pPr>
              <w:widowControl w:val="0"/>
              <w:snapToGrid w:val="0"/>
              <w:spacing w:line="500" w:lineRule="exact"/>
              <w:jc w:val="both"/>
              <w:outlineLvl w:val="9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</w:p>
        </w:tc>
        <w:tc>
          <w:tcPr>
            <w:tcW w:w="4121" w:type="dxa"/>
            <w:vAlign w:val="center"/>
          </w:tcPr>
          <w:p w14:paraId="79C56A5D">
            <w:pPr>
              <w:widowControl w:val="0"/>
              <w:snapToGrid w:val="0"/>
              <w:spacing w:line="500" w:lineRule="exact"/>
              <w:jc w:val="both"/>
              <w:outlineLvl w:val="9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  <w:t>N＜95%,扣除中标金额的10%</w:t>
            </w:r>
          </w:p>
        </w:tc>
      </w:tr>
      <w:tr w14:paraId="42630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1329" w:type="dxa"/>
            <w:vMerge w:val="restart"/>
            <w:vAlign w:val="center"/>
          </w:tcPr>
          <w:p w14:paraId="24C4DE2D">
            <w:pPr>
              <w:widowControl w:val="0"/>
              <w:snapToGrid w:val="0"/>
              <w:spacing w:line="500" w:lineRule="exact"/>
              <w:ind w:left="0" w:leftChars="0" w:firstLine="0" w:firstLineChars="0"/>
              <w:jc w:val="both"/>
              <w:outlineLvl w:val="9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  <w:t>二级故障</w:t>
            </w:r>
          </w:p>
        </w:tc>
        <w:tc>
          <w:tcPr>
            <w:tcW w:w="7552" w:type="dxa"/>
            <w:gridSpan w:val="2"/>
            <w:vAlign w:val="center"/>
          </w:tcPr>
          <w:p w14:paraId="7CB505FB">
            <w:pPr>
              <w:widowControl w:val="0"/>
              <w:snapToGrid w:val="0"/>
              <w:spacing w:line="500" w:lineRule="exact"/>
              <w:jc w:val="both"/>
              <w:outlineLvl w:val="9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  <w:t>故障解决时间：如1小时内故障无法解决，每增加1小时则扣除中标金额的0.3%，每次事故罚款上限为中标金额的8%</w:t>
            </w:r>
          </w:p>
        </w:tc>
      </w:tr>
      <w:tr w14:paraId="6FFB8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329" w:type="dxa"/>
            <w:vMerge w:val="continue"/>
            <w:vAlign w:val="center"/>
          </w:tcPr>
          <w:p w14:paraId="50660CEB">
            <w:pPr>
              <w:widowControl w:val="0"/>
              <w:snapToGrid w:val="0"/>
              <w:spacing w:line="500" w:lineRule="exact"/>
              <w:jc w:val="both"/>
              <w:outlineLvl w:val="9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</w:p>
        </w:tc>
        <w:tc>
          <w:tcPr>
            <w:tcW w:w="3431" w:type="dxa"/>
            <w:vMerge w:val="restart"/>
            <w:vAlign w:val="center"/>
          </w:tcPr>
          <w:p w14:paraId="75B281C3">
            <w:pPr>
              <w:widowControl w:val="0"/>
              <w:snapToGrid w:val="0"/>
              <w:spacing w:line="500" w:lineRule="exact"/>
              <w:jc w:val="both"/>
              <w:outlineLvl w:val="9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  <w:t>年度运维完好率N</w:t>
            </w:r>
          </w:p>
        </w:tc>
        <w:tc>
          <w:tcPr>
            <w:tcW w:w="4121" w:type="dxa"/>
            <w:vAlign w:val="center"/>
          </w:tcPr>
          <w:p w14:paraId="02219A24">
            <w:pPr>
              <w:widowControl w:val="0"/>
              <w:snapToGrid w:val="0"/>
              <w:spacing w:line="500" w:lineRule="exact"/>
              <w:jc w:val="both"/>
              <w:outlineLvl w:val="9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  <w:t>N≥99.9%，不予处罚</w:t>
            </w:r>
          </w:p>
        </w:tc>
      </w:tr>
      <w:tr w14:paraId="01335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329" w:type="dxa"/>
            <w:vMerge w:val="continue"/>
            <w:vAlign w:val="center"/>
          </w:tcPr>
          <w:p w14:paraId="2F95D8B1">
            <w:pPr>
              <w:widowControl w:val="0"/>
              <w:snapToGrid w:val="0"/>
              <w:spacing w:line="500" w:lineRule="exact"/>
              <w:jc w:val="both"/>
              <w:outlineLvl w:val="9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</w:p>
        </w:tc>
        <w:tc>
          <w:tcPr>
            <w:tcW w:w="3431" w:type="dxa"/>
            <w:vMerge w:val="continue"/>
            <w:vAlign w:val="center"/>
          </w:tcPr>
          <w:p w14:paraId="1BB0159D">
            <w:pPr>
              <w:widowControl w:val="0"/>
              <w:snapToGrid w:val="0"/>
              <w:spacing w:line="500" w:lineRule="exact"/>
              <w:jc w:val="both"/>
              <w:outlineLvl w:val="9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</w:p>
        </w:tc>
        <w:tc>
          <w:tcPr>
            <w:tcW w:w="4121" w:type="dxa"/>
            <w:vAlign w:val="center"/>
          </w:tcPr>
          <w:p w14:paraId="5D445F8B">
            <w:pPr>
              <w:widowControl w:val="0"/>
              <w:snapToGrid w:val="0"/>
              <w:spacing w:line="500" w:lineRule="exact"/>
              <w:jc w:val="both"/>
              <w:outlineLvl w:val="9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  <w:t>95%≤N＜99%，扣除中标金额的5%</w:t>
            </w:r>
          </w:p>
        </w:tc>
      </w:tr>
      <w:tr w14:paraId="5AE06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1329" w:type="dxa"/>
            <w:vMerge w:val="continue"/>
            <w:vAlign w:val="center"/>
          </w:tcPr>
          <w:p w14:paraId="4B507EC0">
            <w:pPr>
              <w:widowControl w:val="0"/>
              <w:snapToGrid w:val="0"/>
              <w:spacing w:line="500" w:lineRule="exact"/>
              <w:jc w:val="both"/>
              <w:outlineLvl w:val="9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</w:p>
        </w:tc>
        <w:tc>
          <w:tcPr>
            <w:tcW w:w="3431" w:type="dxa"/>
            <w:vMerge w:val="continue"/>
            <w:vAlign w:val="center"/>
          </w:tcPr>
          <w:p w14:paraId="2C7CDC81">
            <w:pPr>
              <w:widowControl w:val="0"/>
              <w:snapToGrid w:val="0"/>
              <w:spacing w:line="500" w:lineRule="exact"/>
              <w:jc w:val="both"/>
              <w:outlineLvl w:val="9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</w:p>
        </w:tc>
        <w:tc>
          <w:tcPr>
            <w:tcW w:w="4121" w:type="dxa"/>
            <w:vAlign w:val="center"/>
          </w:tcPr>
          <w:p w14:paraId="2A8E3869">
            <w:pPr>
              <w:widowControl w:val="0"/>
              <w:snapToGrid w:val="0"/>
              <w:spacing w:line="500" w:lineRule="exact"/>
              <w:jc w:val="both"/>
              <w:outlineLvl w:val="9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  <w:t>N＜95%,扣除中标金额的8%</w:t>
            </w:r>
          </w:p>
        </w:tc>
      </w:tr>
      <w:tr w14:paraId="0C3AE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329" w:type="dxa"/>
            <w:vMerge w:val="restart"/>
            <w:vAlign w:val="center"/>
          </w:tcPr>
          <w:p w14:paraId="7705D98B">
            <w:pPr>
              <w:widowControl w:val="0"/>
              <w:snapToGrid w:val="0"/>
              <w:spacing w:line="500" w:lineRule="exact"/>
              <w:ind w:left="0" w:leftChars="0" w:firstLine="0" w:firstLineChars="0"/>
              <w:jc w:val="both"/>
              <w:outlineLvl w:val="9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  <w:t>三级故障</w:t>
            </w:r>
          </w:p>
        </w:tc>
        <w:tc>
          <w:tcPr>
            <w:tcW w:w="7552" w:type="dxa"/>
            <w:gridSpan w:val="2"/>
            <w:vAlign w:val="center"/>
          </w:tcPr>
          <w:p w14:paraId="001F4E1E">
            <w:pPr>
              <w:widowControl w:val="0"/>
              <w:snapToGrid w:val="0"/>
              <w:spacing w:line="500" w:lineRule="exact"/>
              <w:jc w:val="both"/>
              <w:outlineLvl w:val="9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  <w:t>故障解决时间：如2小时内故障无法解决，每增加1小时则扣除中标金额的0.1%，每次事故罚款上限为中标金额的5%</w:t>
            </w:r>
          </w:p>
        </w:tc>
      </w:tr>
      <w:tr w14:paraId="1A9EB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329" w:type="dxa"/>
            <w:vMerge w:val="continue"/>
            <w:vAlign w:val="center"/>
          </w:tcPr>
          <w:p w14:paraId="4137E76D">
            <w:pPr>
              <w:widowControl w:val="0"/>
              <w:snapToGrid w:val="0"/>
              <w:spacing w:line="500" w:lineRule="exact"/>
              <w:jc w:val="both"/>
              <w:outlineLvl w:val="9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</w:p>
        </w:tc>
        <w:tc>
          <w:tcPr>
            <w:tcW w:w="3431" w:type="dxa"/>
            <w:vMerge w:val="restart"/>
            <w:vAlign w:val="center"/>
          </w:tcPr>
          <w:p w14:paraId="32815E63">
            <w:pPr>
              <w:widowControl w:val="0"/>
              <w:snapToGrid w:val="0"/>
              <w:spacing w:line="500" w:lineRule="exact"/>
              <w:jc w:val="both"/>
              <w:outlineLvl w:val="9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  <w:t>年度运维完好率N</w:t>
            </w:r>
          </w:p>
        </w:tc>
        <w:tc>
          <w:tcPr>
            <w:tcW w:w="4121" w:type="dxa"/>
            <w:vAlign w:val="center"/>
          </w:tcPr>
          <w:p w14:paraId="53C5D8A2">
            <w:pPr>
              <w:widowControl w:val="0"/>
              <w:snapToGrid w:val="0"/>
              <w:spacing w:line="500" w:lineRule="exact"/>
              <w:jc w:val="both"/>
              <w:outlineLvl w:val="9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  <w:t>N≥99.9%，不予处罚</w:t>
            </w:r>
          </w:p>
        </w:tc>
      </w:tr>
      <w:tr w14:paraId="13404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329" w:type="dxa"/>
            <w:vMerge w:val="continue"/>
            <w:vAlign w:val="center"/>
          </w:tcPr>
          <w:p w14:paraId="6C20DE99">
            <w:pPr>
              <w:widowControl w:val="0"/>
              <w:snapToGrid w:val="0"/>
              <w:spacing w:line="500" w:lineRule="exact"/>
              <w:jc w:val="both"/>
              <w:outlineLvl w:val="9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</w:p>
        </w:tc>
        <w:tc>
          <w:tcPr>
            <w:tcW w:w="3431" w:type="dxa"/>
            <w:vMerge w:val="continue"/>
            <w:vAlign w:val="center"/>
          </w:tcPr>
          <w:p w14:paraId="2F29A491">
            <w:pPr>
              <w:widowControl w:val="0"/>
              <w:snapToGrid w:val="0"/>
              <w:spacing w:line="500" w:lineRule="exact"/>
              <w:jc w:val="both"/>
              <w:outlineLvl w:val="9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</w:p>
        </w:tc>
        <w:tc>
          <w:tcPr>
            <w:tcW w:w="4121" w:type="dxa"/>
            <w:vAlign w:val="center"/>
          </w:tcPr>
          <w:p w14:paraId="5CEC0FF1">
            <w:pPr>
              <w:widowControl w:val="0"/>
              <w:snapToGrid w:val="0"/>
              <w:spacing w:line="500" w:lineRule="exact"/>
              <w:jc w:val="both"/>
              <w:outlineLvl w:val="9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  <w:t>95%≤N＜99%，扣除中标金额的3%</w:t>
            </w:r>
          </w:p>
        </w:tc>
      </w:tr>
      <w:tr w14:paraId="01A00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329" w:type="dxa"/>
            <w:vMerge w:val="continue"/>
            <w:vAlign w:val="center"/>
          </w:tcPr>
          <w:p w14:paraId="1BD3FC3D">
            <w:pPr>
              <w:widowControl w:val="0"/>
              <w:snapToGrid w:val="0"/>
              <w:spacing w:line="500" w:lineRule="exact"/>
              <w:jc w:val="both"/>
              <w:outlineLvl w:val="9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</w:p>
        </w:tc>
        <w:tc>
          <w:tcPr>
            <w:tcW w:w="3431" w:type="dxa"/>
            <w:vMerge w:val="continue"/>
            <w:vAlign w:val="center"/>
          </w:tcPr>
          <w:p w14:paraId="5F86483F">
            <w:pPr>
              <w:widowControl w:val="0"/>
              <w:snapToGrid w:val="0"/>
              <w:spacing w:line="500" w:lineRule="exact"/>
              <w:jc w:val="both"/>
              <w:outlineLvl w:val="9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</w:p>
        </w:tc>
        <w:tc>
          <w:tcPr>
            <w:tcW w:w="4121" w:type="dxa"/>
            <w:vAlign w:val="center"/>
          </w:tcPr>
          <w:p w14:paraId="21487241">
            <w:pPr>
              <w:widowControl w:val="0"/>
              <w:snapToGrid w:val="0"/>
              <w:spacing w:line="500" w:lineRule="exact"/>
              <w:jc w:val="both"/>
              <w:outlineLvl w:val="9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  <w14:ligatures w14:val="none"/>
              </w:rPr>
              <w:t>N＜95%,扣除中标金额的5%</w:t>
            </w:r>
          </w:p>
        </w:tc>
      </w:tr>
    </w:tbl>
    <w:p w14:paraId="16D3A6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181" w:firstLine="641"/>
        <w:jc w:val="both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  <w14:ligatures w14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  <w14:ligatures w14:val="none"/>
        </w:rPr>
        <w:t>备注：故障处罚实行累加制，如出现一级、二级、三级故障各1次，且故障时间均超过规定的N个小时，则计算公式如下：</w:t>
      </w:r>
    </w:p>
    <w:p w14:paraId="7001C3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181" w:firstLine="641"/>
        <w:jc w:val="both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  <w14:ligatures w14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  <w14:ligatures w14:val="none"/>
        </w:rPr>
        <w:t>处罚金额= [N%（一级故障）+ N%（二级故障）+N%（三级故障）]*合同总金额</w:t>
      </w:r>
    </w:p>
    <w:p w14:paraId="25A724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181" w:firstLine="641"/>
        <w:jc w:val="both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  <w14:ligatures w14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  <w14:ligatures w14:val="none"/>
        </w:rPr>
        <w:t>2.运维服务期内，如因服务商原因导致用户单位书面投诉（来函或邮件投诉）的，且经采购单位审核后，认为投诉合理属实的，服务商须在一个工作日内向用户单位提供解决方案，故障解决后出具故障解决报告，经采购单位签字确认，并按照以下处罚规则执行：</w:t>
      </w:r>
    </w:p>
    <w:tbl>
      <w:tblPr>
        <w:tblStyle w:val="7"/>
        <w:tblW w:w="92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4"/>
        <w:gridCol w:w="5334"/>
      </w:tblGrid>
      <w:tr w14:paraId="6D918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964" w:type="dxa"/>
            <w:vAlign w:val="center"/>
          </w:tcPr>
          <w:p w14:paraId="16BA9AA6">
            <w:pPr>
              <w:snapToGrid w:val="0"/>
              <w:spacing w:line="500" w:lineRule="exact"/>
              <w:ind w:left="0" w:lef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sz w:val="24"/>
                <w:szCs w:val="24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14:ligatures w14:val="standardContextual"/>
              </w:rPr>
              <w:t>投诉次数</w:t>
            </w:r>
          </w:p>
        </w:tc>
        <w:tc>
          <w:tcPr>
            <w:tcW w:w="5334" w:type="dxa"/>
            <w:vAlign w:val="center"/>
          </w:tcPr>
          <w:p w14:paraId="10ED40F6">
            <w:pPr>
              <w:snapToGrid w:val="0"/>
              <w:spacing w:line="500" w:lineRule="exact"/>
              <w:ind w:left="0" w:lef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sz w:val="24"/>
                <w:szCs w:val="24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14:ligatures w14:val="standardContextual"/>
              </w:rPr>
              <w:t>处罚规则</w:t>
            </w:r>
          </w:p>
        </w:tc>
      </w:tr>
      <w:tr w14:paraId="6A28C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 w14:paraId="1652ED79">
            <w:pPr>
              <w:snapToGrid w:val="0"/>
              <w:spacing w:line="500" w:lineRule="exact"/>
              <w:ind w:left="0" w:lef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14:ligatures w14:val="standardContextual"/>
              </w:rPr>
              <w:t>书面投诉次数≤3次</w:t>
            </w:r>
          </w:p>
        </w:tc>
        <w:tc>
          <w:tcPr>
            <w:tcW w:w="5334" w:type="dxa"/>
            <w:vAlign w:val="center"/>
          </w:tcPr>
          <w:p w14:paraId="084FA589">
            <w:pPr>
              <w:snapToGrid w:val="0"/>
              <w:spacing w:line="500" w:lineRule="exact"/>
              <w:outlineLvl w:val="9"/>
              <w:rPr>
                <w:rFonts w:hint="eastAsia" w:ascii="宋体" w:hAnsi="宋体" w:eastAsia="宋体" w:cs="宋体"/>
                <w:sz w:val="24"/>
                <w:szCs w:val="24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14:ligatures w14:val="standardContextual"/>
              </w:rPr>
              <w:t>每收到一次书面投诉，罚款10000元。</w:t>
            </w:r>
          </w:p>
        </w:tc>
      </w:tr>
      <w:tr w14:paraId="32654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 w14:paraId="40A387BC">
            <w:pPr>
              <w:snapToGrid w:val="0"/>
              <w:spacing w:line="500" w:lineRule="exact"/>
              <w:ind w:left="0" w:lef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14:ligatures w14:val="standardContextual"/>
              </w:rPr>
              <w:t>4次≤书面投诉次数≤8次</w:t>
            </w:r>
          </w:p>
        </w:tc>
        <w:tc>
          <w:tcPr>
            <w:tcW w:w="5334" w:type="dxa"/>
            <w:vAlign w:val="center"/>
          </w:tcPr>
          <w:p w14:paraId="5861C479">
            <w:pPr>
              <w:snapToGrid w:val="0"/>
              <w:spacing w:line="500" w:lineRule="exact"/>
              <w:outlineLvl w:val="9"/>
              <w:rPr>
                <w:rFonts w:hint="eastAsia" w:ascii="宋体" w:hAnsi="宋体" w:eastAsia="宋体" w:cs="宋体"/>
                <w:sz w:val="24"/>
                <w:szCs w:val="24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14:ligatures w14:val="standardContextual"/>
              </w:rPr>
              <w:t>每收到一次书面投诉，罚款20000元。</w:t>
            </w:r>
          </w:p>
        </w:tc>
      </w:tr>
      <w:tr w14:paraId="74791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 w14:paraId="4B12E146">
            <w:pPr>
              <w:snapToGrid w:val="0"/>
              <w:spacing w:line="500" w:lineRule="exact"/>
              <w:ind w:left="0" w:lef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14:ligatures w14:val="standardContextual"/>
              </w:rPr>
              <w:t>书面投诉次数≥9次</w:t>
            </w:r>
          </w:p>
        </w:tc>
        <w:tc>
          <w:tcPr>
            <w:tcW w:w="5334" w:type="dxa"/>
            <w:vAlign w:val="center"/>
          </w:tcPr>
          <w:p w14:paraId="5D1E4F54">
            <w:pPr>
              <w:snapToGrid w:val="0"/>
              <w:spacing w:line="500" w:lineRule="exact"/>
              <w:outlineLvl w:val="9"/>
              <w:rPr>
                <w:rFonts w:hint="eastAsia" w:ascii="宋体" w:hAnsi="宋体" w:eastAsia="宋体" w:cs="宋体"/>
                <w:sz w:val="24"/>
                <w:szCs w:val="24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14:ligatures w14:val="standardContextual"/>
              </w:rPr>
              <w:t>每收到一次书面投诉，罚款100000元，且采购单位有权解除合同，并进一步追究中标单位责任。</w:t>
            </w:r>
          </w:p>
        </w:tc>
      </w:tr>
    </w:tbl>
    <w:p w14:paraId="1A2C1062">
      <w:pPr>
        <w:keepNext/>
        <w:keepLines/>
        <w:pageBreakBefore w:val="0"/>
        <w:widowControl w:val="0"/>
        <w:kinsoku/>
        <w:wordWrap/>
        <w:overflowPunct/>
        <w:topLinePunct w:val="0"/>
        <w:bidi w:val="0"/>
        <w:adjustRightInd/>
        <w:spacing w:before="0" w:after="0" w:line="360" w:lineRule="auto"/>
        <w:ind w:firstLine="643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  <w14:ligatures w14:val="standardContextual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  <w14:ligatures w14:val="standardContextual"/>
        </w:rPr>
        <w:t>5、其他相关要求</w:t>
      </w:r>
    </w:p>
    <w:p w14:paraId="0D64DEDB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pacing w:before="0" w:after="0" w:line="360" w:lineRule="auto"/>
        <w:ind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  <w14:ligatures w14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  <w14:ligatures w14:val="none"/>
        </w:rPr>
        <w:t>1.本项目工作人员须具有国家相关政策、法律、法规要求的承担该项目任务相应的资格条件以及相关工作经验。项目经理、项目技术负责人及项目其他人员的数量和构成比例需满足项目需求。</w:t>
      </w:r>
    </w:p>
    <w:p w14:paraId="270FA514"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  <w14:ligatures w14:val="standardContextual"/>
        </w:rPr>
        <w:t>.</w:t>
      </w:r>
      <w:r>
        <w:rPr>
          <w:rFonts w:hint="eastAsia" w:ascii="宋体" w:hAnsi="宋体" w:eastAsia="宋体" w:cs="宋体"/>
          <w:sz w:val="24"/>
          <w:szCs w:val="24"/>
          <w:lang w:eastAsia="zh-CN"/>
          <w14:ligatures w14:val="standardContextual"/>
        </w:rPr>
        <w:t>服务商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应充分考虑各类场景施工人员资质符合行业监管部门要求，特别是安全生产方面的要求。</w:t>
      </w:r>
    </w:p>
    <w:p w14:paraId="5CB18780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pacing w:before="0" w:after="0" w:line="360" w:lineRule="auto"/>
        <w:ind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  <w14:ligatures w14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  <w14:ligatures w14:val="none"/>
        </w:rPr>
        <w:t>3.服务商应承诺已充分了解了本次采购的项目需求，对采购服务内容及应用模式做了充分的评估，能够满足本次项目建设的目标。</w:t>
      </w:r>
    </w:p>
    <w:p w14:paraId="629165D9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pacing w:before="0" w:after="0" w:line="360" w:lineRule="auto"/>
        <w:ind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  <w14:ligatures w14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  <w14:ligatures w14:val="none"/>
        </w:rPr>
        <w:t>4.服务商应承诺在项目完成时将项目的全部有关技术文件、资料及测试、验收报告等文档汇集成册交付采购单位。</w:t>
      </w:r>
    </w:p>
    <w:p w14:paraId="77489959">
      <w:pPr>
        <w:pageBreakBefore w:val="0"/>
        <w:widowControl/>
        <w:kinsoku/>
        <w:wordWrap/>
        <w:overflowPunct/>
        <w:topLinePunct w:val="0"/>
        <w:bidi w:val="0"/>
        <w:adjustRightInd/>
        <w:snapToGrid w:val="0"/>
        <w:spacing w:before="0" w:after="0" w:line="360" w:lineRule="auto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  <w:lang w:val="en-US" w:eastAsia="zh-CN" w:bidi="en-US"/>
          <w14:ligatures w14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en-US"/>
          <w14:ligatures w14:val="none"/>
        </w:rPr>
        <w:t>5.服务商应承诺所提供的服务商资格、资质证明文件不存在隐瞒、与实际情况不符等情况，采购单位有权在服务商成交后对服务商相关资质、资格和能力进行考察验证的权利，如果存在重大差异，有权取消或终止合同。</w:t>
      </w:r>
    </w:p>
    <w:p w14:paraId="74B4AA9C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pacing w:before="0" w:after="0" w:line="360" w:lineRule="auto"/>
        <w:ind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  <w14:ligatures w14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  <w14:ligatures w14:val="none"/>
        </w:rPr>
        <w:t>6.若采购内容中的某项任务因未能预测的因素不能启动，采购单位有权取消该任务。</w:t>
      </w:r>
    </w:p>
    <w:p w14:paraId="4997BA33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pacing w:before="0" w:after="0" w:line="360" w:lineRule="auto"/>
        <w:ind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  <w14:ligatures w14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  <w14:ligatures w14:val="none"/>
        </w:rPr>
        <w:t>7.安全要求。服务商在项目实施过程中和国家规定的相关产品年限内，因安装施工原因造成的人员伤害和一切损失与采购单位无关，完全由服务商承担。服务商必须为本项目工作人员购买人身意外保险。</w:t>
      </w:r>
    </w:p>
    <w:p w14:paraId="249EF490">
      <w:pPr>
        <w:outlineLvl w:val="9"/>
        <w:rPr>
          <w:rFonts w:hint="eastAsia" w:ascii="宋体" w:hAnsi="宋体" w:cs="宋体"/>
          <w:b/>
          <w:bCs/>
          <w:color w:val="000000"/>
        </w:rPr>
      </w:pPr>
      <w:r>
        <w:rPr>
          <w:rFonts w:hint="eastAsia" w:ascii="宋体" w:hAnsi="宋体" w:cs="宋体"/>
          <w:b/>
          <w:bCs/>
          <w:color w:val="000000"/>
        </w:rPr>
        <w:t>三、服务期限</w:t>
      </w:r>
    </w:p>
    <w:p w14:paraId="52EC4D3C">
      <w:pPr>
        <w:ind w:firstLine="420"/>
        <w:outlineLvl w:val="9"/>
        <w:rPr>
          <w:rFonts w:hint="eastAsia" w:ascii="宋体" w:hAnsi="宋体" w:cs="宋体"/>
          <w:bCs/>
          <w:color w:val="000000"/>
        </w:rPr>
      </w:pPr>
      <w:r>
        <w:rPr>
          <w:rFonts w:hint="eastAsia" w:ascii="宋体" w:hAnsi="宋体" w:cs="宋体"/>
          <w:bCs/>
          <w:color w:val="000000"/>
          <w:szCs w:val="21"/>
        </w:rPr>
        <w:t>服务期限1年，合同期限自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   </w:t>
      </w:r>
      <w:r>
        <w:rPr>
          <w:rFonts w:hint="eastAsia" w:ascii="宋体" w:hAnsi="宋体" w:cs="宋体"/>
          <w:bCs/>
          <w:color w:val="000000"/>
          <w:szCs w:val="21"/>
        </w:rPr>
        <w:t>年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 </w:t>
      </w:r>
      <w:r>
        <w:rPr>
          <w:rFonts w:hint="eastAsia" w:ascii="宋体" w:hAnsi="宋体" w:cs="宋体"/>
          <w:bCs/>
          <w:color w:val="000000"/>
          <w:szCs w:val="21"/>
        </w:rPr>
        <w:t>月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 </w:t>
      </w:r>
      <w:r>
        <w:rPr>
          <w:rFonts w:hint="eastAsia" w:ascii="宋体" w:hAnsi="宋体" w:cs="宋体"/>
          <w:bCs/>
          <w:color w:val="000000"/>
          <w:szCs w:val="21"/>
        </w:rPr>
        <w:t>日起至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   </w:t>
      </w:r>
      <w:r>
        <w:rPr>
          <w:rFonts w:hint="eastAsia" w:ascii="宋体" w:hAnsi="宋体" w:cs="宋体"/>
          <w:bCs/>
          <w:color w:val="000000"/>
          <w:szCs w:val="21"/>
        </w:rPr>
        <w:t>年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 </w:t>
      </w:r>
      <w:r>
        <w:rPr>
          <w:rFonts w:hint="eastAsia" w:ascii="宋体" w:hAnsi="宋体" w:cs="宋体"/>
          <w:bCs/>
          <w:color w:val="000000"/>
          <w:szCs w:val="21"/>
        </w:rPr>
        <w:t>月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 </w:t>
      </w:r>
      <w:r>
        <w:rPr>
          <w:rFonts w:hint="eastAsia" w:ascii="宋体" w:hAnsi="宋体" w:cs="宋体"/>
          <w:bCs/>
          <w:color w:val="000000"/>
          <w:szCs w:val="21"/>
        </w:rPr>
        <w:t>日止。</w:t>
      </w:r>
    </w:p>
    <w:p w14:paraId="3C5DEE52">
      <w:pPr>
        <w:outlineLvl w:val="9"/>
        <w:rPr>
          <w:rFonts w:hint="eastAsia" w:ascii="宋体" w:hAnsi="宋体" w:cs="宋体"/>
          <w:b/>
          <w:bCs/>
          <w:color w:val="000000"/>
        </w:rPr>
      </w:pPr>
      <w:r>
        <w:rPr>
          <w:rFonts w:hint="eastAsia" w:ascii="宋体" w:hAnsi="宋体" w:cs="宋体"/>
          <w:b/>
          <w:bCs/>
          <w:color w:val="000000"/>
        </w:rPr>
        <w:t>四、运维管理费用及拨付</w:t>
      </w:r>
    </w:p>
    <w:p w14:paraId="1AC3F4D8">
      <w:pPr>
        <w:outlineLvl w:val="9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（一）合同金额：人民币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</w:t>
      </w:r>
      <w:r>
        <w:rPr>
          <w:rFonts w:hint="eastAsia" w:ascii="宋体" w:hAnsi="宋体" w:cs="宋体"/>
          <w:color w:val="000000"/>
          <w:szCs w:val="21"/>
        </w:rPr>
        <w:t>万元（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    元</w:t>
      </w:r>
      <w:r>
        <w:rPr>
          <w:rFonts w:hint="eastAsia" w:ascii="宋体" w:hAnsi="宋体" w:cs="宋体"/>
          <w:color w:val="000000"/>
          <w:szCs w:val="21"/>
        </w:rPr>
        <w:t>整）。</w:t>
      </w:r>
    </w:p>
    <w:p w14:paraId="73EEB837">
      <w:pPr>
        <w:outlineLvl w:val="9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（二）资金拨付：</w:t>
      </w:r>
    </w:p>
    <w:p w14:paraId="5279FA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.</w:t>
      </w:r>
      <w:r>
        <w:rPr>
          <w:rFonts w:hint="eastAsia" w:ascii="宋体" w:hAnsi="宋体" w:cs="宋体"/>
          <w:color w:val="FF0000"/>
          <w:szCs w:val="21"/>
        </w:rPr>
        <w:t>甲方在签订合同且财政资金下达后，10个工作日内凭乙方等额有效发票拨付合同金额</w:t>
      </w:r>
      <w:r>
        <w:rPr>
          <w:rFonts w:hint="eastAsia" w:ascii="宋体" w:hAnsi="宋体" w:cs="宋体"/>
          <w:color w:val="FF0000"/>
          <w:szCs w:val="21"/>
          <w:lang w:val="en-US" w:eastAsia="zh-CN"/>
        </w:rPr>
        <w:t>4</w:t>
      </w:r>
      <w:r>
        <w:rPr>
          <w:rFonts w:hint="eastAsia" w:ascii="宋体" w:hAnsi="宋体" w:cs="宋体"/>
          <w:color w:val="FF0000"/>
          <w:szCs w:val="21"/>
        </w:rPr>
        <w:t>0%即人民币</w:t>
      </w:r>
      <w:r>
        <w:rPr>
          <w:rFonts w:hint="eastAsia" w:ascii="宋体" w:hAnsi="宋体" w:cs="宋体"/>
          <w:color w:val="FF0000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color w:val="FF0000"/>
          <w:szCs w:val="21"/>
        </w:rPr>
        <w:t>元（大写</w:t>
      </w:r>
      <w:r>
        <w:rPr>
          <w:rFonts w:hint="eastAsia" w:ascii="宋体" w:hAnsi="宋体" w:cs="宋体"/>
          <w:color w:val="FF0000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color w:val="FF0000"/>
          <w:szCs w:val="21"/>
        </w:rPr>
        <w:t>元整）给乙方。</w:t>
      </w:r>
    </w:p>
    <w:p w14:paraId="3310A0AF">
      <w:pPr>
        <w:pStyle w:val="2"/>
        <w:ind w:firstLine="480" w:firstLineChars="200"/>
        <w:outlineLvl w:val="9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乙方服务满9个月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且财政资金下达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后，甲方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10个工作日内凭乙方等额有效发票拨付合同金额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0%即人民币</w:t>
      </w:r>
      <w:r>
        <w:rPr>
          <w:rFonts w:hint="eastAsia" w:ascii="宋体" w:hAnsi="宋体" w:eastAsia="宋体" w:cs="宋体"/>
          <w:color w:val="FF000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元（大写</w:t>
      </w:r>
      <w:r>
        <w:rPr>
          <w:rFonts w:hint="eastAsia" w:ascii="宋体" w:hAnsi="宋体" w:eastAsia="宋体" w:cs="宋体"/>
          <w:color w:val="FF000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元整）给乙方。</w:t>
      </w:r>
    </w:p>
    <w:p w14:paraId="2B8C0073">
      <w:pPr>
        <w:pStyle w:val="2"/>
        <w:ind w:firstLine="480" w:firstLineChars="200"/>
        <w:outlineLvl w:val="9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项目验收通过后，甲方在10个工作日内凭乙方等额有效发票拨付合同金额20%即人民币</w:t>
      </w:r>
      <w:r>
        <w:rPr>
          <w:rFonts w:hint="eastAsia" w:ascii="宋体" w:hAnsi="宋体" w:eastAsia="宋体" w:cs="宋体"/>
          <w:color w:val="FF000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万元（大写</w:t>
      </w:r>
      <w:r>
        <w:rPr>
          <w:rFonts w:hint="eastAsia" w:ascii="宋体" w:hAnsi="宋体" w:eastAsia="宋体" w:cs="宋体"/>
          <w:color w:val="FF0000"/>
          <w:sz w:val="24"/>
          <w:szCs w:val="24"/>
          <w:u w:val="single"/>
        </w:rPr>
        <w:t xml:space="preserve">            元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整）给乙方。</w:t>
      </w:r>
    </w:p>
    <w:p w14:paraId="35117077">
      <w:pPr>
        <w:pStyle w:val="2"/>
        <w:ind w:firstLine="480" w:firstLineChars="200"/>
        <w:outlineLvl w:val="9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乙方未按照约定开具发票的，甲方有权拒绝支付管理费用且不承担违约责任。</w:t>
      </w:r>
    </w:p>
    <w:p w14:paraId="4C5234C3">
      <w:pPr>
        <w:outlineLvl w:val="9"/>
        <w:rPr>
          <w:rFonts w:hint="eastAsia" w:ascii="宋体" w:hAnsi="宋体" w:cs="宋体"/>
          <w:b/>
          <w:bCs/>
          <w:color w:val="000000"/>
        </w:rPr>
      </w:pPr>
      <w:r>
        <w:rPr>
          <w:rFonts w:hint="eastAsia" w:ascii="宋体" w:hAnsi="宋体" w:cs="宋体"/>
          <w:b/>
          <w:bCs/>
          <w:color w:val="000000"/>
        </w:rPr>
        <w:t>五、违约责任</w:t>
      </w:r>
    </w:p>
    <w:p w14:paraId="5D774265">
      <w:pPr>
        <w:outlineLvl w:val="9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（一）由于甲乙任何一方违约，造成本合同不能履行或不能</w:t>
      </w:r>
      <w:r>
        <w:rPr>
          <w:rFonts w:hint="eastAsia" w:ascii="宋体" w:hAnsi="宋体" w:cs="宋体"/>
          <w:color w:val="000000"/>
        </w:rPr>
        <w:t>完</w:t>
      </w:r>
      <w:r>
        <w:rPr>
          <w:rStyle w:val="9"/>
          <w:rFonts w:hint="eastAsia" w:ascii="宋体" w:hAnsi="等线"/>
          <w:color w:val="000000"/>
          <w:sz w:val="24"/>
          <w:szCs w:val="24"/>
        </w:rPr>
        <w:t>全</w:t>
      </w:r>
      <w:r>
        <w:rPr>
          <w:rFonts w:hint="eastAsia" w:ascii="宋体" w:hAnsi="宋体" w:cs="宋体"/>
          <w:color w:val="000000"/>
          <w:szCs w:val="21"/>
        </w:rPr>
        <w:t>履行时，守约方有权要求终止合同。</w:t>
      </w:r>
    </w:p>
    <w:p w14:paraId="7FAE58BC">
      <w:pPr>
        <w:outlineLvl w:val="9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（二）甲乙双方依照协议规定所应承担的协作任务，因不可抗力确属无法承担的，应在不可抗力发生后两个工作日内，及时通知对方。</w:t>
      </w:r>
    </w:p>
    <w:p w14:paraId="7E2FA182">
      <w:pPr>
        <w:outlineLvl w:val="9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（三）甲乙双方由于不可抗力确实无法承担协作任务，而给他方造成经济损失的，不负赔偿责任；由于其它原因不愿继续承担协作任务，而给对方造成经济损失的，应当承担赔偿责任。</w:t>
      </w:r>
    </w:p>
    <w:p w14:paraId="0B44C7BE">
      <w:pPr>
        <w:outlineLvl w:val="9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（四）甲方应遵照本合同前述的“付款方式”条款中履行付款义务。</w:t>
      </w:r>
    </w:p>
    <w:p w14:paraId="5CD2C395">
      <w:pPr>
        <w:outlineLvl w:val="9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（五）因乙方服务考核未达到甲方要求的，甲方有权单方终止合同，且不再支付合同尾款，并不赔偿乙方任何损失。</w:t>
      </w:r>
    </w:p>
    <w:p w14:paraId="04FBEEAB">
      <w:pPr>
        <w:outlineLvl w:val="9"/>
        <w:rPr>
          <w:rFonts w:hint="eastAsia" w:ascii="宋体" w:hAnsi="宋体" w:cs="宋体"/>
          <w:b/>
          <w:bCs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</w:rPr>
        <w:t>六、</w:t>
      </w:r>
      <w:r>
        <w:rPr>
          <w:rFonts w:hint="eastAsia" w:ascii="宋体" w:hAnsi="宋体" w:cs="宋体"/>
          <w:b/>
          <w:bCs/>
          <w:color w:val="000000"/>
          <w:szCs w:val="21"/>
        </w:rPr>
        <w:t>甲方承诺</w:t>
      </w:r>
    </w:p>
    <w:p w14:paraId="0671CA2A">
      <w:pPr>
        <w:ind w:firstLine="420"/>
        <w:outlineLvl w:val="9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遵守本合同中的各项约定，为乙方提供项目建设的必要条件并履行各项义务。</w:t>
      </w:r>
    </w:p>
    <w:p w14:paraId="6DD7407E">
      <w:pPr>
        <w:outlineLvl w:val="9"/>
        <w:rPr>
          <w:rFonts w:hint="eastAsia" w:ascii="宋体" w:hAnsi="宋体" w:cs="宋体"/>
          <w:b/>
          <w:bCs/>
          <w:color w:val="000000"/>
        </w:rPr>
      </w:pPr>
      <w:r>
        <w:rPr>
          <w:rFonts w:hint="eastAsia" w:ascii="宋体" w:hAnsi="宋体" w:cs="宋体"/>
          <w:b/>
          <w:bCs/>
          <w:color w:val="000000"/>
        </w:rPr>
        <w:t>七、乙方承诺</w:t>
      </w:r>
    </w:p>
    <w:p w14:paraId="6F691CBF">
      <w:pPr>
        <w:ind w:firstLine="420"/>
        <w:outlineLvl w:val="9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遵守本合同中的各项约定，按照管理工作范围和内容，承担管理考核职责和任务，并对甲方负责。</w:t>
      </w:r>
    </w:p>
    <w:p w14:paraId="24023658">
      <w:pPr>
        <w:spacing w:line="540" w:lineRule="exact"/>
        <w:outlineLvl w:val="9"/>
        <w:rPr>
          <w:rFonts w:hint="eastAsia" w:ascii="宋体" w:hAnsi="宋体" w:cs="宋体"/>
          <w:b/>
          <w:bCs/>
          <w:color w:val="000000"/>
        </w:rPr>
      </w:pPr>
      <w:r>
        <w:rPr>
          <w:rFonts w:hint="eastAsia" w:ascii="宋体" w:hAnsi="宋体" w:cs="宋体"/>
          <w:b/>
          <w:bCs/>
          <w:color w:val="000000"/>
        </w:rPr>
        <w:t>八、争议解决</w:t>
      </w:r>
    </w:p>
    <w:p w14:paraId="572A49E6">
      <w:pPr>
        <w:ind w:firstLine="480" w:firstLineChars="200"/>
        <w:outlineLvl w:val="9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在合同履行过程中发生的与本合同有关的争议，双方应通过友好协商解决；经协商不能解决的，甲乙双方均可以向甲方住所地人民法院提起诉讼。</w:t>
      </w:r>
    </w:p>
    <w:p w14:paraId="4C3C7254">
      <w:pPr>
        <w:outlineLvl w:val="9"/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九、合同效力</w:t>
      </w:r>
    </w:p>
    <w:p w14:paraId="1356C01B">
      <w:pPr>
        <w:ind w:firstLine="480" w:firstLineChars="200"/>
        <w:outlineLvl w:val="9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1</w:t>
      </w:r>
      <w:r>
        <w:rPr>
          <w:rFonts w:hint="eastAsia" w:ascii="宋体" w:hAnsi="宋体" w:cs="宋体"/>
          <w:bCs/>
          <w:color w:val="000000"/>
          <w:szCs w:val="21"/>
          <w:lang w:val="en-US" w:eastAsia="zh-CN"/>
        </w:rPr>
        <w:t>.</w:t>
      </w:r>
      <w:r>
        <w:rPr>
          <w:rFonts w:hint="eastAsia" w:ascii="宋体" w:hAnsi="宋体" w:cs="宋体"/>
          <w:bCs/>
          <w:color w:val="000000"/>
          <w:szCs w:val="21"/>
        </w:rPr>
        <w:t>本合同自双方法定代表人或授权代表人签名并加盖公章之日起生效。</w:t>
      </w:r>
    </w:p>
    <w:p w14:paraId="26BE23E3">
      <w:pPr>
        <w:ind w:firstLine="240" w:firstLineChars="100"/>
        <w:outlineLvl w:val="9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 xml:space="preserve">  2</w:t>
      </w:r>
      <w:r>
        <w:rPr>
          <w:rFonts w:hint="eastAsia" w:ascii="宋体" w:hAnsi="宋体" w:cs="宋体"/>
          <w:bCs/>
          <w:color w:val="000000"/>
          <w:szCs w:val="21"/>
          <w:lang w:val="en-US" w:eastAsia="zh-CN"/>
        </w:rPr>
        <w:t>.</w:t>
      </w:r>
      <w:r>
        <w:rPr>
          <w:rFonts w:hint="eastAsia" w:ascii="宋体" w:hAnsi="宋体" w:cs="宋体"/>
          <w:bCs/>
          <w:color w:val="000000"/>
          <w:szCs w:val="21"/>
        </w:rPr>
        <w:t>本合同一式捌份，双方各执叁份，报市财政局壹份，送采购代理机构壹份。具有同等法律效力。</w:t>
      </w:r>
    </w:p>
    <w:p w14:paraId="68F8A6A1">
      <w:pPr>
        <w:outlineLvl w:val="9"/>
        <w:rPr>
          <w:rFonts w:hint="eastAsia" w:ascii="宋体" w:hAnsi="宋体" w:cs="宋体"/>
          <w:bCs/>
          <w:color w:val="000000"/>
        </w:rPr>
      </w:pPr>
      <w:r>
        <w:rPr>
          <w:rFonts w:hint="eastAsia" w:ascii="仿宋_GB2312" w:hAnsi="黑体" w:eastAsia="仿宋_GB2312"/>
          <w:bCs/>
          <w:color w:val="000000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2DAC52A">
      <w:pPr>
        <w:pStyle w:val="2"/>
        <w:outlineLvl w:val="9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</w:rPr>
        <w:t xml:space="preserve">  </w:t>
      </w:r>
      <w:r>
        <w:rPr>
          <w:rFonts w:hint="eastAsia" w:ascii="宋体" w:hAnsi="宋体" w:cs="宋体"/>
          <w:color w:val="000000"/>
          <w:szCs w:val="21"/>
        </w:rPr>
        <w:t xml:space="preserve"> 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甲方（盖章）                 乙方（盖章）</w:t>
      </w:r>
    </w:p>
    <w:p w14:paraId="2CE52EC5">
      <w:pPr>
        <w:pStyle w:val="2"/>
        <w:outlineLvl w:val="9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三亚市科技工业信息化综合服务中心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 xml:space="preserve">      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法定代表人（或授权代表）         法定代表人（或授权代表）</w:t>
      </w:r>
    </w:p>
    <w:p w14:paraId="6D915F42">
      <w:pPr>
        <w:pStyle w:val="2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（签字）                        （签字）</w:t>
      </w:r>
    </w:p>
    <w:p w14:paraId="3C02EBD2">
      <w:pPr>
        <w:pStyle w:val="4"/>
        <w:spacing w:line="560" w:lineRule="exact"/>
        <w:ind w:left="0" w:leftChars="0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签约时间：    年   月   日       签约时间：    年   月   日</w:t>
      </w:r>
    </w:p>
    <w:p w14:paraId="429FA4FE">
      <w:pPr>
        <w:pStyle w:val="4"/>
        <w:spacing w:line="560" w:lineRule="exact"/>
        <w:ind w:left="0" w:leftChars="0"/>
        <w:outlineLvl w:val="9"/>
        <w:rPr>
          <w:rFonts w:ascii="仿宋" w:hAnsi="仿宋" w:eastAsia="仿宋"/>
          <w:color w:val="000000"/>
          <w:sz w:val="28"/>
          <w:szCs w:val="28"/>
        </w:rPr>
      </w:pPr>
    </w:p>
    <w:p w14:paraId="21E9A1D2">
      <w:pPr>
        <w:outlineLvl w:val="9"/>
        <w:rPr>
          <w:rFonts w:hint="eastAsia"/>
          <w:color w:val="000000"/>
          <w:kern w:val="0"/>
          <w:szCs w:val="21"/>
        </w:rPr>
      </w:pPr>
    </w:p>
    <w:p w14:paraId="58B30758">
      <w:pPr>
        <w:spacing w:line="580" w:lineRule="exact"/>
        <w:ind w:firstLine="420"/>
        <w:outlineLvl w:val="9"/>
        <w:rPr>
          <w:rFonts w:hint="eastAsia"/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招标人声明：本合同标的经海南中采工程咨询有限公司依法定程序采购，合同主要条款内容与采购文件、响应文件的内容一致。</w:t>
      </w:r>
    </w:p>
    <w:p w14:paraId="7D38BD7F">
      <w:pPr>
        <w:pStyle w:val="4"/>
        <w:spacing w:line="560" w:lineRule="exact"/>
        <w:ind w:left="0" w:leftChars="0"/>
        <w:outlineLvl w:val="9"/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见证方：海南中采工程咨询有限公司（盖章）</w:t>
      </w:r>
    </w:p>
    <w:p w14:paraId="75D7D05E">
      <w:pPr>
        <w:widowControl/>
        <w:ind w:firstLine="480" w:firstLineChars="200"/>
        <w:jc w:val="both"/>
        <w:outlineLvl w:val="9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sectPr>
          <w:headerReference r:id="rId7" w:type="first"/>
          <w:footerReference r:id="rId9" w:type="first"/>
          <w:headerReference r:id="rId6" w:type="default"/>
          <w:footerReference r:id="rId8" w:type="default"/>
          <w:pgSz w:w="11906" w:h="16838"/>
          <w:pgMar w:top="1440" w:right="1588" w:bottom="1440" w:left="1814" w:header="794" w:footer="10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经办人：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日期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：</w:t>
      </w:r>
    </w:p>
    <w:p w14:paraId="31DFDC08"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Sun-ExtB">
    <w:panose1 w:val="02010609060101010101"/>
    <w:charset w:val="86"/>
    <w:family w:val="modern"/>
    <w:pitch w:val="default"/>
    <w:sig w:usb0="00000001" w:usb1="02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D0E579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1CE8E24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1CE8E24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AC58CE">
    <w:pPr>
      <w:tabs>
        <w:tab w:val="center" w:pos="4153"/>
        <w:tab w:val="right" w:pos="8306"/>
      </w:tabs>
      <w:jc w:val="center"/>
    </w:pPr>
    <w:r>
      <w:rPr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D4FC59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CD4FC59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 w14:paraId="5D37617F">
    <w:pPr>
      <w:tabs>
        <w:tab w:val="center" w:pos="4153"/>
        <w:tab w:val="right" w:pos="8306"/>
      </w:tabs>
      <w:jc w:val="left"/>
      <w:rPr>
        <w:sz w:val="11"/>
        <w:szCs w:val="11"/>
      </w:rPr>
    </w:pPr>
    <w:r>
      <w:rPr>
        <w:rFonts w:hint="eastAsia"/>
        <w:sz w:val="11"/>
        <w:szCs w:val="11"/>
      </w:rPr>
      <w:t>海南中采工程咨询有限公司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79014C">
    <w:pPr>
      <w:tabs>
        <w:tab w:val="center" w:pos="4153"/>
        <w:tab w:val="right" w:pos="8306"/>
      </w:tabs>
    </w:pPr>
    <w:r>
      <w:rPr>
        <w:sz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AF1975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BAF1975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4D67E6">
    <w:pPr>
      <w:spacing w:line="240" w:lineRule="auto"/>
      <w:ind w:firstLine="0" w:firstLineChars="0"/>
      <w:rPr>
        <w:rFonts w:hint="eastAsia" w:ascii="楷体_GB2312" w:eastAsia="楷体_GB2312"/>
        <w:lang w:eastAsia="zh-CN"/>
      </w:rPr>
    </w:pPr>
    <w:r>
      <w:rPr>
        <w:rFonts w:hint="eastAsia"/>
        <w:sz w:val="18"/>
        <w:szCs w:val="18"/>
        <w:u w:val="single"/>
      </w:rPr>
      <w:t>项目名称：</w:t>
    </w:r>
    <w:r>
      <w:rPr>
        <w:rFonts w:hint="eastAsia"/>
        <w:sz w:val="18"/>
        <w:szCs w:val="18"/>
        <w:u w:val="single"/>
        <w:lang w:eastAsia="zh-CN"/>
      </w:rPr>
      <w:t>海南省政务云太极云三亚节点机柜租用</w:t>
    </w:r>
    <w:r>
      <w:rPr>
        <w:rFonts w:hint="eastAsia"/>
        <w:sz w:val="18"/>
        <w:szCs w:val="18"/>
        <w:u w:val="single"/>
      </w:rPr>
      <w:t>服务项目</w:t>
    </w:r>
    <w:r>
      <w:rPr>
        <w:rFonts w:hint="eastAsia"/>
        <w:sz w:val="18"/>
        <w:szCs w:val="18"/>
        <w:u w:val="single"/>
        <w:lang w:val="en-US" w:eastAsia="zh-CN"/>
      </w:rPr>
      <w:t xml:space="preserve">                </w:t>
    </w:r>
    <w:r>
      <w:rPr>
        <w:rFonts w:hint="eastAsia"/>
        <w:sz w:val="18"/>
        <w:szCs w:val="18"/>
        <w:u w:val="single"/>
      </w:rPr>
      <w:t>项目编号：HNZCDY202</w:t>
    </w:r>
    <w:r>
      <w:rPr>
        <w:rFonts w:hint="eastAsia"/>
        <w:sz w:val="18"/>
        <w:szCs w:val="18"/>
        <w:u w:val="single"/>
        <w:lang w:val="en-US" w:eastAsia="zh-CN"/>
      </w:rPr>
      <w:t>5</w:t>
    </w:r>
    <w:r>
      <w:rPr>
        <w:rFonts w:hint="eastAsia"/>
        <w:sz w:val="18"/>
        <w:szCs w:val="18"/>
        <w:u w:val="single"/>
      </w:rPr>
      <w:t>-3</w:t>
    </w:r>
    <w:r>
      <w:rPr>
        <w:rFonts w:hint="eastAsia"/>
        <w:sz w:val="18"/>
        <w:szCs w:val="18"/>
        <w:u w:val="single"/>
        <w:lang w:val="en-US" w:eastAsia="zh-CN"/>
      </w:rPr>
      <w:t>61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BEFCBE">
    <w:pPr>
      <w:spacing w:line="240" w:lineRule="auto"/>
      <w:ind w:firstLine="0" w:firstLineChars="0"/>
      <w:rPr>
        <w:rFonts w:hint="eastAsia" w:ascii="楷体_GB2312" w:eastAsia="楷体_GB2312"/>
      </w:rPr>
    </w:pPr>
    <w:r>
      <w:rPr>
        <w:rFonts w:hint="eastAsia"/>
        <w:sz w:val="18"/>
        <w:szCs w:val="18"/>
        <w:u w:val="single"/>
      </w:rPr>
      <w:t>项目名称：</w:t>
    </w:r>
    <w:r>
      <w:rPr>
        <w:rFonts w:hint="eastAsia"/>
        <w:sz w:val="18"/>
        <w:szCs w:val="18"/>
        <w:u w:val="single"/>
        <w:lang w:eastAsia="zh-CN"/>
      </w:rPr>
      <w:t>海南省政务云太极云三亚节点机柜租用</w:t>
    </w:r>
    <w:r>
      <w:rPr>
        <w:rFonts w:hint="eastAsia"/>
        <w:sz w:val="18"/>
        <w:szCs w:val="18"/>
        <w:u w:val="single"/>
      </w:rPr>
      <w:t>服务项目</w:t>
    </w:r>
    <w:r>
      <w:rPr>
        <w:rFonts w:hint="eastAsia"/>
        <w:sz w:val="18"/>
        <w:szCs w:val="18"/>
        <w:u w:val="single"/>
        <w:lang w:val="en-US" w:eastAsia="zh-CN"/>
      </w:rPr>
      <w:t xml:space="preserve">                </w:t>
    </w:r>
    <w:r>
      <w:rPr>
        <w:rFonts w:hint="eastAsia"/>
        <w:sz w:val="18"/>
        <w:szCs w:val="18"/>
        <w:u w:val="single"/>
      </w:rPr>
      <w:t>项目编号：HNZCDY202</w:t>
    </w:r>
    <w:r>
      <w:rPr>
        <w:rFonts w:hint="eastAsia"/>
        <w:sz w:val="18"/>
        <w:szCs w:val="18"/>
        <w:u w:val="single"/>
        <w:lang w:val="en-US" w:eastAsia="zh-CN"/>
      </w:rPr>
      <w:t>5</w:t>
    </w:r>
    <w:r>
      <w:rPr>
        <w:rFonts w:hint="eastAsia"/>
        <w:sz w:val="18"/>
        <w:szCs w:val="18"/>
        <w:u w:val="single"/>
      </w:rPr>
      <w:t>-3</w:t>
    </w:r>
    <w:r>
      <w:rPr>
        <w:rFonts w:hint="eastAsia"/>
        <w:sz w:val="18"/>
        <w:szCs w:val="18"/>
        <w:u w:val="single"/>
        <w:lang w:val="en-US" w:eastAsia="zh-CN"/>
      </w:rPr>
      <w:t>61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2D68CB"/>
    <w:rsid w:val="562D68CB"/>
    <w:rsid w:val="5840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adjustRightInd w:val="0"/>
      <w:ind w:firstLine="0" w:firstLineChars="0"/>
      <w:jc w:val="left"/>
      <w:textAlignment w:val="baseline"/>
    </w:pPr>
    <w:rPr>
      <w:rFonts w:ascii="楷体_GB2312" w:hAnsi="楷体_GB2312" w:eastAsia="楷体_GB2312"/>
      <w:kern w:val="0"/>
      <w:sz w:val="28"/>
      <w:szCs w:val="20"/>
    </w:rPr>
  </w:style>
  <w:style w:type="paragraph" w:styleId="3">
    <w:name w:val="Body Text First Indent 2"/>
    <w:basedOn w:val="1"/>
    <w:next w:val="1"/>
    <w:unhideWhenUsed/>
    <w:qFormat/>
    <w:uiPriority w:val="0"/>
    <w:pPr>
      <w:spacing w:line="240" w:lineRule="auto"/>
      <w:ind w:firstLine="420" w:firstLineChars="200"/>
    </w:pPr>
    <w:rPr>
      <w:rFonts w:ascii="Arial" w:hAnsi="Arial" w:cs="Times New Roman"/>
      <w:kern w:val="0"/>
      <w:szCs w:val="20"/>
    </w:rPr>
  </w:style>
  <w:style w:type="paragraph" w:styleId="4">
    <w:name w:val="Body Text Indent"/>
    <w:basedOn w:val="1"/>
    <w:unhideWhenUsed/>
    <w:qFormat/>
    <w:uiPriority w:val="0"/>
    <w:pPr>
      <w:spacing w:after="120"/>
      <w:ind w:left="420" w:leftChars="200" w:firstLine="0" w:firstLineChars="0"/>
    </w:pPr>
    <w:rPr>
      <w:rFonts w:ascii="SimSun-ExtB" w:hAnsi="SimSun-ExtB" w:cs="SimSun-ExtB"/>
    </w:rPr>
  </w:style>
  <w:style w:type="paragraph" w:styleId="5">
    <w:name w:val="Plain Text"/>
    <w:basedOn w:val="1"/>
    <w:qFormat/>
    <w:uiPriority w:val="0"/>
    <w:pPr>
      <w:spacing w:line="240" w:lineRule="auto"/>
      <w:ind w:firstLine="0" w:firstLineChars="0"/>
    </w:pPr>
    <w:rPr>
      <w:rFonts w:ascii="宋体" w:hAnsi="Courier New"/>
      <w:sz w:val="21"/>
      <w:szCs w:val="20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styleId="9">
    <w:name w:val="annotation reference"/>
    <w:unhideWhenUsed/>
    <w:qFormat/>
    <w:uiPriority w:val="99"/>
    <w:rPr>
      <w:rFonts w:ascii="Times New Roman" w:hAnsi="Times New Roman" w:eastAsia="宋体" w:cs="Times New Roman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4050</Words>
  <Characters>4330</Characters>
  <Lines>0</Lines>
  <Paragraphs>0</Paragraphs>
  <TotalTime>1</TotalTime>
  <ScaleCrop>false</ScaleCrop>
  <LinksUpToDate>false</LinksUpToDate>
  <CharactersWithSpaces>5700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2025-05-30T02:14:00Z</dcterms:created>
  <dc:creator>x</dc:creator>
  <cp:lastModifiedBy>Administrator</cp:lastModifiedBy>
  <dcterms:modified xsi:type="dcterms:W3CDTF">2025-06-03T00:34:19Z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A42295A86B4E49CD985EA815C228EEC4_11</vt:lpwstr>
  </property>
  <property fmtid="{D5CDD505-2E9C-101B-9397-08002B2CF9AE}" pid="4" name="KSOTemplateDocerSaveRecord">
    <vt:lpwstr>eyJoZGlkIjoiOWQ3M2UxM2U5ODgzZTc4N2RiMjA0YWFhMWRmYzdmZGEifQ==</vt:lpwstr>
  </property>
</Properties>
</file>