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三亚市教育城域网（含校园网）升级光纤专线租用服务项目(二次)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[HNJY-SYC]20250300001-1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海南骏溢项目管理有限公司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海南骏溢项目管理有限公司</w:t>
      </w:r>
      <w:r>
        <w:rPr>
          <w:rFonts w:ascii="仿宋_GB2312" w:hAnsi="仿宋_GB2312" w:cs="仿宋_GB2312" w:eastAsia="仿宋_GB2312"/>
        </w:rPr>
        <w:t xml:space="preserve"> 对 </w:t>
      </w:r>
      <w:r>
        <w:rPr>
          <w:rFonts w:ascii="仿宋_GB2312" w:hAnsi="仿宋_GB2312" w:cs="仿宋_GB2312" w:eastAsia="仿宋_GB2312"/>
        </w:rPr>
        <w:t>三亚市教育城域网（含校园网）升级光纤专线租用服务项目(二次)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[HNJY-SYC]20250300001-1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三亚市教育城域网（含校园网）升级光纤专线租用服务项目(二次)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6,498,480.00元</w:t>
      </w:r>
      <w:r>
        <w:rPr>
          <w:rFonts w:ascii="仿宋_GB2312" w:hAnsi="仿宋_GB2312" w:cs="仿宋_GB2312" w:eastAsia="仿宋_GB2312"/>
        </w:rPr>
        <w:t>陆佰肆拾玖万捌仟肆佰捌拾元整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中华人民共和国财政部令第102号《政府购买服务管理办法》规定，公益一类事业单位、使用事业编制且由财政拨款保障的群团组织，不作为政府购买服务的购买主体和承接主体：公益一类事业单位、使用事业编制且由财政拨款保障的群团组织参与本项目，将被拒绝。</w:t>
      </w:r>
    </w:p>
    <w:p>
      <w:pPr>
        <w:pStyle w:val="null3"/>
        <w:jc w:val="left"/>
      </w:pPr>
      <w:r>
        <w:rPr>
          <w:rFonts w:ascii="仿宋_GB2312" w:hAnsi="仿宋_GB2312" w:cs="仿宋_GB2312" w:eastAsia="仿宋_GB2312"/>
        </w:rPr>
        <w:t>2、资质：投标人应具备《基础电信业务经营许可证》或《增值电信业务经营许可证》(提供许可证复印件加盖公章)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承诺书。</w:t>
      </w:r>
    </w:p>
    <w:p>
      <w:pPr>
        <w:pStyle w:val="null3"/>
        <w:jc w:val="left"/>
      </w:pPr>
      <w:r>
        <w:rPr>
          <w:rFonts w:ascii="仿宋_GB2312" w:hAnsi="仿宋_GB2312" w:cs="仿宋_GB2312" w:eastAsia="仿宋_GB2312"/>
        </w:rPr>
        <w:t>4、参加政府采购活动前三年内，在经营活动中无环保类行政处罚记录：提供《环保类行政处罚记录声明函》。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5、供应商信用记录：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评审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6、政府采购供应商信用承诺书：提供了符合招标文件要求的《政府采购供应商信用承诺书》。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 5、根据《三亚市人民政府办公室关于印发&lt;三亚市创建一流营商环境2023年实施方案&gt;的通知》（三府办〔2023〕181号）和《三亚市金融发展局关于印发&lt;创建一流营商环境“获得信贷”指标2021年专项行动方案&gt;的通知》，中标或成交供应商可凭借与采购单位签订的政府采购合同，向开展政府采购合同融资业务的银行和金融机构申请信用贷款。根据《三亚市优化营商环境规定》（三亚市人民政府令第18号），三亚市构建“政银保”合作机制，优化信用贷款、类信用贷款、担保贷款等信贷服务。鼓励金融机构开发创新金融产品和业务模式，为中小微企业提供更优质的信贷服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海南骏溢项目管理有限公司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海南省三亚市吉阳区商品街12巷3号5楼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陈俊吾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0898-88205618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采购包1：6,498,480.00元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和专家评审劳务费由中标人支付。招标代理服务费按合同约定以预算金额6498480.00元/年为基准，根据《招标代理服务收费管理暂行办法》计价格[200211980号文件标准收取代理费，折扣后收取人民币65267.02元(大写:陆万伍仟贰佰陆拾柒元零贰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x50%:(二)投标(响应)报价低于通过符合性审查且报价次低供应商投标(响应)报价50%的，即投标(响应)报价&lt;通过符合性审查且报价次低供应商投标(响应)报价x50%;(三)投标(响应)报价低于采购项目最高限价45%的，即投标(响应)报价&lt;采购项目最高限价x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2）中小企业声明函采购文件中明确所属的行业为租赁和商务服务业。（3）技术方案编制应精简、文字宜精炼、内容具有针对性，文字清晰可辨，杜绝以加大字体、加大行距形式追求页数厚度，总体控制在1000页以内，如重点不突出，内容繁冗超过1000页的酌情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联系电话：0898-88205618</w:t>
      </w:r>
    </w:p>
    <w:p>
      <w:pPr>
        <w:pStyle w:val="null3"/>
        <w:jc w:val="left"/>
      </w:pPr>
      <w:r>
        <w:rPr>
          <w:rFonts w:ascii="仿宋_GB2312" w:hAnsi="仿宋_GB2312" w:cs="仿宋_GB2312" w:eastAsia="仿宋_GB2312"/>
        </w:rPr>
        <w:t>地址：海南省三亚市吉阳区商品街12巷3号5楼</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1.预算金额：</w:t>
      </w:r>
      <w:r>
        <w:rPr>
          <w:rFonts w:ascii="仿宋_GB2312" w:hAnsi="仿宋_GB2312" w:cs="仿宋_GB2312" w:eastAsia="仿宋_GB2312"/>
          <w:sz w:val="32"/>
        </w:rPr>
        <w:t>人民币</w:t>
      </w:r>
      <w:r>
        <w:rPr>
          <w:rFonts w:ascii="仿宋_GB2312" w:hAnsi="仿宋_GB2312" w:cs="仿宋_GB2312" w:eastAsia="仿宋_GB2312"/>
          <w:sz w:val="32"/>
        </w:rPr>
        <w:t>6498480.00元/年</w:t>
      </w:r>
    </w:p>
    <w:p>
      <w:pPr>
        <w:pStyle w:val="null3"/>
        <w:ind w:firstLine="480"/>
        <w:jc w:val="both"/>
      </w:pPr>
      <w:r>
        <w:rPr>
          <w:rFonts w:ascii="仿宋_GB2312" w:hAnsi="仿宋_GB2312" w:cs="仿宋_GB2312" w:eastAsia="仿宋_GB2312"/>
          <w:sz w:val="32"/>
        </w:rPr>
        <w:t>2.资金来源：政府财政资金</w:t>
      </w:r>
    </w:p>
    <w:p>
      <w:pPr>
        <w:pStyle w:val="null3"/>
        <w:ind w:firstLine="480"/>
        <w:jc w:val="both"/>
      </w:pPr>
      <w:r>
        <w:rPr>
          <w:rFonts w:ascii="仿宋_GB2312" w:hAnsi="仿宋_GB2312" w:cs="仿宋_GB2312" w:eastAsia="仿宋_GB2312"/>
          <w:sz w:val="32"/>
        </w:rPr>
        <w:t>3.服务期限：</w:t>
      </w:r>
      <w:r>
        <w:rPr>
          <w:rFonts w:ascii="仿宋_GB2312" w:hAnsi="仿宋_GB2312" w:cs="仿宋_GB2312" w:eastAsia="仿宋_GB2312"/>
          <w:sz w:val="32"/>
        </w:rPr>
        <w:t>三年</w:t>
      </w:r>
    </w:p>
    <w:p>
      <w:pPr>
        <w:pStyle w:val="null3"/>
        <w:ind w:firstLine="480"/>
        <w:jc w:val="both"/>
      </w:pPr>
      <w:r>
        <w:rPr>
          <w:rFonts w:ascii="仿宋_GB2312" w:hAnsi="仿宋_GB2312" w:cs="仿宋_GB2312" w:eastAsia="仿宋_GB2312"/>
          <w:sz w:val="32"/>
        </w:rPr>
        <w:t>4.工</w:t>
      </w:r>
      <w:r>
        <w:rPr>
          <w:rFonts w:ascii="仿宋_GB2312" w:hAnsi="仿宋_GB2312" w:cs="仿宋_GB2312" w:eastAsia="仿宋_GB2312"/>
        </w:rPr>
        <w:t xml:space="preserve">    </w:t>
      </w:r>
      <w:r>
        <w:rPr>
          <w:rFonts w:ascii="仿宋_GB2312" w:hAnsi="仿宋_GB2312" w:cs="仿宋_GB2312" w:eastAsia="仿宋_GB2312"/>
          <w:sz w:val="32"/>
        </w:rPr>
        <w:t>期：</w:t>
      </w:r>
      <w:r>
        <w:rPr>
          <w:rFonts w:ascii="仿宋_GB2312" w:hAnsi="仿宋_GB2312" w:cs="仿宋_GB2312" w:eastAsia="仿宋_GB2312"/>
          <w:sz w:val="32"/>
        </w:rPr>
        <w:t>2025年6月底前完成建设并开始提供服务</w:t>
      </w:r>
    </w:p>
    <w:p>
      <w:pPr>
        <w:pStyle w:val="null3"/>
        <w:jc w:val="both"/>
      </w:pPr>
      <w:r>
        <w:rPr>
          <w:rFonts w:ascii="仿宋_GB2312" w:hAnsi="仿宋_GB2312" w:cs="仿宋_GB2312" w:eastAsia="仿宋_GB2312"/>
          <w:sz w:val="32"/>
        </w:rPr>
        <w:t>5.交付地点：采购人指定地点</w:t>
      </w:r>
    </w:p>
    <w:p>
      <w:pPr>
        <w:pStyle w:val="null3"/>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6,498,480.00</w:t>
      </w:r>
    </w:p>
    <w:p>
      <w:pPr>
        <w:pStyle w:val="null3"/>
        <w:jc w:val="left"/>
      </w:pPr>
      <w:r>
        <w:rPr>
          <w:rFonts w:ascii="仿宋_GB2312" w:hAnsi="仿宋_GB2312" w:cs="仿宋_GB2312" w:eastAsia="仿宋_GB2312"/>
        </w:rPr>
        <w:t>采购包最高限价（元）: 6,498,480.00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C23119900-其他租赁服务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C23120100-计算机设备维修和保养服务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998,480.00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C23119900-其他租赁服务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C23120100-计算机设备维修和保养服务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998,480.00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标的名称：C23119900-其他租赁服务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一、项目概况（采购标的）</w:t>
            </w:r>
          </w:p>
          <w:p>
            <w:pPr>
              <w:pStyle w:val="null3"/>
              <w:ind w:firstLine="480"/>
              <w:jc w:val="both"/>
            </w:pPr>
            <w:r>
              <w:rPr>
                <w:rFonts w:ascii="仿宋_GB2312" w:hAnsi="仿宋_GB2312" w:cs="仿宋_GB2312" w:eastAsia="仿宋_GB2312"/>
                <w:sz w:val="32"/>
                <w:b/>
              </w:rPr>
              <w:t>1.1项目预算及资金来源</w:t>
            </w:r>
          </w:p>
          <w:p>
            <w:pPr>
              <w:pStyle w:val="null3"/>
              <w:ind w:firstLine="480"/>
              <w:jc w:val="both"/>
            </w:pPr>
            <w:r>
              <w:rPr>
                <w:rFonts w:ascii="仿宋_GB2312" w:hAnsi="仿宋_GB2312" w:cs="仿宋_GB2312" w:eastAsia="仿宋_GB2312"/>
                <w:sz w:val="32"/>
              </w:rPr>
              <w:t>1.预算金额：</w:t>
            </w:r>
            <w:r>
              <w:rPr>
                <w:rFonts w:ascii="仿宋_GB2312" w:hAnsi="仿宋_GB2312" w:cs="仿宋_GB2312" w:eastAsia="仿宋_GB2312"/>
                <w:sz w:val="32"/>
              </w:rPr>
              <w:t>人民币</w:t>
            </w:r>
            <w:r>
              <w:rPr>
                <w:rFonts w:ascii="仿宋_GB2312" w:hAnsi="仿宋_GB2312" w:cs="仿宋_GB2312" w:eastAsia="仿宋_GB2312"/>
                <w:sz w:val="32"/>
              </w:rPr>
              <w:t>6498480.00元/年</w:t>
            </w:r>
          </w:p>
          <w:p>
            <w:pPr>
              <w:pStyle w:val="null3"/>
              <w:ind w:firstLine="480"/>
              <w:jc w:val="both"/>
            </w:pPr>
            <w:r>
              <w:rPr>
                <w:rFonts w:ascii="仿宋_GB2312" w:hAnsi="仿宋_GB2312" w:cs="仿宋_GB2312" w:eastAsia="仿宋_GB2312"/>
                <w:sz w:val="32"/>
              </w:rPr>
              <w:t>2.资金来源：政府财政资金</w:t>
            </w:r>
          </w:p>
          <w:p>
            <w:pPr>
              <w:pStyle w:val="null3"/>
              <w:ind w:firstLine="480"/>
              <w:jc w:val="both"/>
            </w:pPr>
            <w:r>
              <w:rPr>
                <w:rFonts w:ascii="仿宋_GB2312" w:hAnsi="仿宋_GB2312" w:cs="仿宋_GB2312" w:eastAsia="仿宋_GB2312"/>
                <w:sz w:val="32"/>
              </w:rPr>
              <w:t>3.服务期限：</w:t>
            </w:r>
            <w:r>
              <w:rPr>
                <w:rFonts w:ascii="仿宋_GB2312" w:hAnsi="仿宋_GB2312" w:cs="仿宋_GB2312" w:eastAsia="仿宋_GB2312"/>
                <w:sz w:val="32"/>
              </w:rPr>
              <w:t>三年</w:t>
            </w:r>
          </w:p>
          <w:p>
            <w:pPr>
              <w:pStyle w:val="null3"/>
              <w:ind w:firstLine="480"/>
              <w:jc w:val="both"/>
            </w:pPr>
            <w:r>
              <w:rPr>
                <w:rFonts w:ascii="仿宋_GB2312" w:hAnsi="仿宋_GB2312" w:cs="仿宋_GB2312" w:eastAsia="仿宋_GB2312"/>
                <w:sz w:val="32"/>
              </w:rPr>
              <w:t>4.工</w:t>
            </w:r>
            <w:r>
              <w:rPr>
                <w:rFonts w:ascii="仿宋_GB2312" w:hAnsi="仿宋_GB2312" w:cs="仿宋_GB2312" w:eastAsia="仿宋_GB2312"/>
              </w:rPr>
              <w:t xml:space="preserve">    </w:t>
            </w:r>
            <w:r>
              <w:rPr>
                <w:rFonts w:ascii="仿宋_GB2312" w:hAnsi="仿宋_GB2312" w:cs="仿宋_GB2312" w:eastAsia="仿宋_GB2312"/>
                <w:sz w:val="32"/>
              </w:rPr>
              <w:t>期：</w:t>
            </w:r>
            <w:r>
              <w:rPr>
                <w:rFonts w:ascii="仿宋_GB2312" w:hAnsi="仿宋_GB2312" w:cs="仿宋_GB2312" w:eastAsia="仿宋_GB2312"/>
                <w:sz w:val="32"/>
              </w:rPr>
              <w:t>2025年6月底前完成建设并开始提供服务</w:t>
            </w:r>
          </w:p>
          <w:p>
            <w:pPr>
              <w:pStyle w:val="null3"/>
              <w:ind w:firstLine="480"/>
              <w:jc w:val="both"/>
            </w:pPr>
            <w:r>
              <w:rPr>
                <w:rFonts w:ascii="仿宋_GB2312" w:hAnsi="仿宋_GB2312" w:cs="仿宋_GB2312" w:eastAsia="仿宋_GB2312"/>
                <w:sz w:val="32"/>
              </w:rPr>
              <w:t>5.交付地点：采购人指定地点</w:t>
            </w:r>
          </w:p>
          <w:p>
            <w:pPr>
              <w:pStyle w:val="null3"/>
              <w:ind w:firstLine="480"/>
              <w:jc w:val="both"/>
            </w:pPr>
            <w:r>
              <w:rPr>
                <w:rFonts w:ascii="仿宋_GB2312" w:hAnsi="仿宋_GB2312" w:cs="仿宋_GB2312" w:eastAsia="仿宋_GB2312"/>
                <w:sz w:val="32"/>
                <w:b/>
              </w:rPr>
              <w:t>1.2项目背景</w:t>
            </w:r>
          </w:p>
          <w:p>
            <w:pPr>
              <w:pStyle w:val="null3"/>
              <w:ind w:firstLine="480"/>
              <w:jc w:val="left"/>
            </w:pPr>
            <w:r>
              <w:rPr>
                <w:rFonts w:ascii="仿宋_GB2312" w:hAnsi="仿宋_GB2312" w:cs="仿宋_GB2312" w:eastAsia="仿宋_GB2312"/>
                <w:sz w:val="32"/>
              </w:rPr>
              <w:t>通过购买服务方式由</w:t>
            </w:r>
            <w:r>
              <w:rPr>
                <w:rFonts w:ascii="仿宋_GB2312" w:hAnsi="仿宋_GB2312" w:cs="仿宋_GB2312" w:eastAsia="仿宋_GB2312"/>
                <w:sz w:val="32"/>
              </w:rPr>
              <w:t>供应商</w:t>
            </w:r>
            <w:r>
              <w:rPr>
                <w:rFonts w:ascii="仿宋_GB2312" w:hAnsi="仿宋_GB2312" w:cs="仿宋_GB2312" w:eastAsia="仿宋_GB2312"/>
                <w:sz w:val="32"/>
              </w:rPr>
              <w:t>搭建三亚市教育城域网，服务全市公办中小学（幼儿园）。三亚市教育城域网向上连接海南省教育城域网省级核心节点，横向连接互联网，向下连接三亚市公办中小学（幼儿园）网络采用光纤进班方式接入各类信息终端。网络中心由</w:t>
            </w:r>
            <w:r>
              <w:rPr>
                <w:rFonts w:ascii="仿宋_GB2312" w:hAnsi="仿宋_GB2312" w:cs="仿宋_GB2312" w:eastAsia="仿宋_GB2312"/>
                <w:sz w:val="32"/>
              </w:rPr>
              <w:t>供应商</w:t>
            </w:r>
            <w:r>
              <w:rPr>
                <w:rFonts w:ascii="仿宋_GB2312" w:hAnsi="仿宋_GB2312" w:cs="仿宋_GB2312" w:eastAsia="仿宋_GB2312"/>
                <w:sz w:val="32"/>
              </w:rPr>
              <w:t>搭建，部署在</w:t>
            </w:r>
            <w:r>
              <w:rPr>
                <w:rFonts w:ascii="仿宋_GB2312" w:hAnsi="仿宋_GB2312" w:cs="仿宋_GB2312" w:eastAsia="仿宋_GB2312"/>
                <w:sz w:val="32"/>
              </w:rPr>
              <w:t>供应商</w:t>
            </w:r>
            <w:r>
              <w:rPr>
                <w:rFonts w:ascii="仿宋_GB2312" w:hAnsi="仿宋_GB2312" w:cs="仿宋_GB2312" w:eastAsia="仿宋_GB2312"/>
                <w:sz w:val="32"/>
              </w:rPr>
              <w:t>机房，城域网汇聚、互联、</w:t>
            </w:r>
            <w:r>
              <w:rPr>
                <w:rFonts w:ascii="仿宋_GB2312" w:hAnsi="仿宋_GB2312" w:cs="仿宋_GB2312" w:eastAsia="仿宋_GB2312"/>
                <w:sz w:val="32"/>
              </w:rPr>
              <w:t>管理、网络链路运维及网络安全服务等由</w:t>
            </w:r>
            <w:r>
              <w:rPr>
                <w:rFonts w:ascii="仿宋_GB2312" w:hAnsi="仿宋_GB2312" w:cs="仿宋_GB2312" w:eastAsia="仿宋_GB2312"/>
                <w:sz w:val="32"/>
              </w:rPr>
              <w:t>供应商</w:t>
            </w:r>
            <w:r>
              <w:rPr>
                <w:rFonts w:ascii="仿宋_GB2312" w:hAnsi="仿宋_GB2312" w:cs="仿宋_GB2312" w:eastAsia="仿宋_GB2312"/>
                <w:sz w:val="32"/>
              </w:rPr>
              <w:t>负责提供，组建运维团队，实现在市教育局可对网络链路、网络安全、网络节点进行可视化运行管理。</w:t>
            </w:r>
          </w:p>
          <w:p>
            <w:pPr>
              <w:pStyle w:val="null3"/>
              <w:ind w:firstLine="480"/>
              <w:jc w:val="left"/>
            </w:pPr>
            <w:r>
              <w:rPr>
                <w:rFonts w:ascii="仿宋_GB2312" w:hAnsi="仿宋_GB2312" w:cs="仿宋_GB2312" w:eastAsia="仿宋_GB2312"/>
                <w:sz w:val="32"/>
                <w:b/>
              </w:rPr>
              <w:t>二、采购服务内容</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提供服务具体内容如下：</w:t>
            </w:r>
          </w:p>
          <w:p>
            <w:pPr>
              <w:pStyle w:val="null3"/>
              <w:ind w:firstLine="480"/>
              <w:jc w:val="left"/>
            </w:pP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三亚教育城域网至海南省教育城域网出口不低于</w:t>
            </w:r>
            <w:r>
              <w:rPr>
                <w:rFonts w:ascii="仿宋_GB2312" w:hAnsi="仿宋_GB2312" w:cs="仿宋_GB2312" w:eastAsia="仿宋_GB2312"/>
                <w:sz w:val="32"/>
              </w:rPr>
              <w:t>40G 带宽，三亚教育城域网至互联网不低于 20G 带宽，并满足冗余要求，保证网络的稳定性；</w:t>
            </w:r>
          </w:p>
          <w:p>
            <w:pPr>
              <w:pStyle w:val="null3"/>
              <w:ind w:firstLine="480"/>
              <w:jc w:val="left"/>
            </w:pP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三亚市各公办中小学及幼儿园教室至教育城域网的传输线路</w:t>
            </w:r>
            <w:r>
              <w:rPr>
                <w:rFonts w:ascii="仿宋_GB2312" w:hAnsi="仿宋_GB2312" w:cs="仿宋_GB2312" w:eastAsia="仿宋_GB2312"/>
                <w:sz w:val="32"/>
              </w:rPr>
              <w:t>8171 条，其中不低于 100M 幼儿园光纤到班专线 1380 条，不低于 100M 中小学光纤到班专线 6581 条，主要包括普通教室/多媒体教室、功能教室、教师办公室、同步课堂和录播教室、其他教室或办公区、学生宿舍、报告厅/会议室等；不低于 500M 专线 210 条主要包括计算机教室。民办学校参照此标准建设并入我市城域网，付费自付，付费标准与公办学校一致。3.</w:t>
            </w:r>
            <w:r>
              <w:rPr>
                <w:rFonts w:ascii="仿宋_GB2312" w:hAnsi="仿宋_GB2312" w:cs="仿宋_GB2312" w:eastAsia="仿宋_GB2312"/>
                <w:sz w:val="32"/>
              </w:rPr>
              <w:t>供应商</w:t>
            </w:r>
            <w:r>
              <w:rPr>
                <w:rFonts w:ascii="仿宋_GB2312" w:hAnsi="仿宋_GB2312" w:cs="仿宋_GB2312" w:eastAsia="仿宋_GB2312"/>
                <w:sz w:val="32"/>
              </w:rPr>
              <w:t>提供三亚市教育局</w:t>
            </w:r>
            <w:r>
              <w:rPr>
                <w:rFonts w:ascii="仿宋_GB2312" w:hAnsi="仿宋_GB2312" w:cs="仿宋_GB2312" w:eastAsia="仿宋_GB2312"/>
                <w:sz w:val="32"/>
              </w:rPr>
              <w:t>56 个办公室的 100M专线链路。</w:t>
            </w:r>
          </w:p>
          <w:p>
            <w:pPr>
              <w:pStyle w:val="null3"/>
              <w:ind w:firstLine="480"/>
              <w:jc w:val="left"/>
            </w:pPr>
            <w:r>
              <w:rPr>
                <w:rFonts w:ascii="仿宋_GB2312" w:hAnsi="仿宋_GB2312" w:cs="仿宋_GB2312" w:eastAsia="仿宋_GB2312"/>
                <w:sz w:val="32"/>
              </w:rPr>
              <w:t>4.</w:t>
            </w:r>
            <w:r>
              <w:rPr>
                <w:rFonts w:ascii="仿宋_GB2312" w:hAnsi="仿宋_GB2312" w:cs="仿宋_GB2312" w:eastAsia="仿宋_GB2312"/>
              </w:rPr>
              <w:t xml:space="preserve"> </w:t>
            </w:r>
            <w:r>
              <w:rPr>
                <w:rFonts w:ascii="仿宋_GB2312" w:hAnsi="仿宋_GB2312" w:cs="仿宋_GB2312" w:eastAsia="仿宋_GB2312"/>
                <w:sz w:val="32"/>
              </w:rPr>
              <w:t>供应商</w:t>
            </w:r>
            <w:r>
              <w:rPr>
                <w:rFonts w:ascii="仿宋_GB2312" w:hAnsi="仿宋_GB2312" w:cs="仿宋_GB2312" w:eastAsia="仿宋_GB2312"/>
                <w:sz w:val="32"/>
              </w:rPr>
              <w:t>提供</w:t>
            </w:r>
            <w:r>
              <w:rPr>
                <w:rFonts w:ascii="仿宋_GB2312" w:hAnsi="仿宋_GB2312" w:cs="仿宋_GB2312" w:eastAsia="仿宋_GB2312"/>
                <w:sz w:val="32"/>
              </w:rPr>
              <w:t>70 间计算机教室网络线路改造，保障教学主机与教学终端的网络稳定连接。</w:t>
            </w:r>
          </w:p>
          <w:p>
            <w:pPr>
              <w:pStyle w:val="null3"/>
              <w:ind w:firstLine="480"/>
              <w:jc w:val="left"/>
            </w:pPr>
            <w:r>
              <w:rPr>
                <w:rFonts w:ascii="仿宋_GB2312" w:hAnsi="仿宋_GB2312" w:cs="仿宋_GB2312" w:eastAsia="仿宋_GB2312"/>
                <w:sz w:val="32"/>
              </w:rPr>
              <w:t>5.</w:t>
            </w:r>
            <w:r>
              <w:rPr>
                <w:rFonts w:ascii="仿宋_GB2312" w:hAnsi="仿宋_GB2312" w:cs="仿宋_GB2312" w:eastAsia="仿宋_GB2312"/>
              </w:rPr>
              <w:t xml:space="preserve"> </w:t>
            </w:r>
            <w:r>
              <w:rPr>
                <w:rFonts w:ascii="仿宋_GB2312" w:hAnsi="仿宋_GB2312" w:cs="仿宋_GB2312" w:eastAsia="仿宋_GB2312"/>
                <w:sz w:val="32"/>
              </w:rPr>
              <w:t>供应商</w:t>
            </w:r>
            <w:r>
              <w:rPr>
                <w:rFonts w:ascii="仿宋_GB2312" w:hAnsi="仿宋_GB2312" w:cs="仿宋_GB2312" w:eastAsia="仿宋_GB2312"/>
                <w:sz w:val="32"/>
              </w:rPr>
              <w:t>提供</w:t>
            </w:r>
            <w:r>
              <w:rPr>
                <w:rFonts w:ascii="仿宋_GB2312" w:hAnsi="仿宋_GB2312" w:cs="仿宋_GB2312" w:eastAsia="仿宋_GB2312"/>
                <w:sz w:val="32"/>
              </w:rPr>
              <w:t>30 个 WiFi 点覆盖，覆盖位置由学校提出申请，经教育局审批同意。</w:t>
            </w:r>
          </w:p>
          <w:p>
            <w:pPr>
              <w:pStyle w:val="null3"/>
              <w:ind w:firstLine="480"/>
              <w:jc w:val="left"/>
            </w:pPr>
            <w:r>
              <w:rPr>
                <w:rFonts w:ascii="仿宋_GB2312" w:hAnsi="仿宋_GB2312" w:cs="仿宋_GB2312" w:eastAsia="仿宋_GB2312"/>
                <w:sz w:val="32"/>
              </w:rPr>
              <w:t>6.</w:t>
            </w:r>
            <w:r>
              <w:rPr>
                <w:rFonts w:ascii="仿宋_GB2312" w:hAnsi="仿宋_GB2312" w:cs="仿宋_GB2312" w:eastAsia="仿宋_GB2312"/>
              </w:rPr>
              <w:t xml:space="preserve"> </w:t>
            </w:r>
            <w:r>
              <w:rPr>
                <w:rFonts w:ascii="仿宋_GB2312" w:hAnsi="仿宋_GB2312" w:cs="仿宋_GB2312" w:eastAsia="仿宋_GB2312"/>
                <w:sz w:val="32"/>
              </w:rPr>
              <w:t>三亚教育城域网（校园网）安全规则：</w:t>
            </w:r>
            <w:r>
              <w:rPr>
                <w:rFonts w:ascii="仿宋_GB2312" w:hAnsi="仿宋_GB2312" w:cs="仿宋_GB2312" w:eastAsia="仿宋_GB2312"/>
                <w:sz w:val="32"/>
              </w:rPr>
              <w:t>供应商</w:t>
            </w:r>
            <w:r>
              <w:rPr>
                <w:rFonts w:ascii="仿宋_GB2312" w:hAnsi="仿宋_GB2312" w:cs="仿宋_GB2312" w:eastAsia="仿宋_GB2312"/>
                <w:sz w:val="32"/>
              </w:rPr>
              <w:t>提供服务的三亚市教育城域网，光纤网络接入符合</w:t>
            </w:r>
            <w:r>
              <w:rPr>
                <w:rFonts w:ascii="仿宋_GB2312" w:hAnsi="仿宋_GB2312" w:cs="仿宋_GB2312" w:eastAsia="仿宋_GB2312"/>
                <w:sz w:val="32"/>
              </w:rPr>
              <w:t>GB/T 22240-2020 的等保要求，达到网络安全等级定级的二级标准。教育城域网出口部署 40G 安全审计、安全防护设备，作为互联网出口和教育城域网边界安全的设备，要实现对教育城域网和互联网流量的安全审计、安全告警、安全事件溯源。</w:t>
            </w:r>
          </w:p>
          <w:p>
            <w:pPr>
              <w:pStyle w:val="null3"/>
              <w:ind w:firstLine="480"/>
              <w:jc w:val="left"/>
            </w:pP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流量监控与威胁管理</w:t>
            </w:r>
          </w:p>
          <w:p>
            <w:pPr>
              <w:pStyle w:val="null3"/>
              <w:ind w:firstLine="480"/>
              <w:jc w:val="left"/>
            </w:pPr>
            <w:r>
              <w:rPr>
                <w:rFonts w:ascii="仿宋_GB2312" w:hAnsi="仿宋_GB2312" w:cs="仿宋_GB2312" w:eastAsia="仿宋_GB2312"/>
                <w:sz w:val="32"/>
              </w:rPr>
              <w:t>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w:t>
            </w:r>
          </w:p>
          <w:p>
            <w:pPr>
              <w:pStyle w:val="null3"/>
              <w:ind w:firstLine="480"/>
              <w:jc w:val="left"/>
            </w:pP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全量日志采集与分析</w:t>
            </w:r>
          </w:p>
          <w:p>
            <w:pPr>
              <w:pStyle w:val="null3"/>
              <w:ind w:firstLine="480"/>
              <w:jc w:val="left"/>
            </w:pPr>
            <w:r>
              <w:rPr>
                <w:rFonts w:ascii="仿宋_GB2312" w:hAnsi="仿宋_GB2312" w:cs="仿宋_GB2312" w:eastAsia="仿宋_GB2312"/>
                <w:sz w:val="32"/>
              </w:rPr>
              <w:t>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w:t>
            </w:r>
          </w:p>
          <w:p>
            <w:pPr>
              <w:pStyle w:val="null3"/>
              <w:ind w:firstLine="480"/>
              <w:jc w:val="left"/>
            </w:pPr>
            <w:r>
              <w:rPr>
                <w:rFonts w:ascii="仿宋_GB2312" w:hAnsi="仿宋_GB2312" w:cs="仿宋_GB2312" w:eastAsia="仿宋_GB2312"/>
                <w:sz w:val="32"/>
              </w:rPr>
              <w:t>(3)</w:t>
            </w:r>
            <w:r>
              <w:rPr>
                <w:rFonts w:ascii="仿宋_GB2312" w:hAnsi="仿宋_GB2312" w:cs="仿宋_GB2312" w:eastAsia="仿宋_GB2312"/>
              </w:rPr>
              <w:t xml:space="preserve"> </w:t>
            </w:r>
            <w:r>
              <w:rPr>
                <w:rFonts w:ascii="仿宋_GB2312" w:hAnsi="仿宋_GB2312" w:cs="仿宋_GB2312" w:eastAsia="仿宋_GB2312"/>
                <w:sz w:val="32"/>
              </w:rPr>
              <w:t>网络信息推送与共享</w:t>
            </w:r>
          </w:p>
          <w:p>
            <w:pPr>
              <w:pStyle w:val="null3"/>
              <w:ind w:firstLine="480"/>
              <w:jc w:val="left"/>
            </w:pPr>
            <w:r>
              <w:rPr>
                <w:rFonts w:ascii="仿宋_GB2312" w:hAnsi="仿宋_GB2312" w:cs="仿宋_GB2312" w:eastAsia="仿宋_GB2312"/>
                <w:sz w:val="32"/>
              </w:rPr>
              <w:t>建立信息推送机制，实时将关键网络设备的运行日志及相关安全情报传输至教育城域网省级核心节点的安全平台，实现安全信息的即时共享与协同处理，进一步提升整体安全防护水平。</w:t>
            </w:r>
          </w:p>
          <w:p>
            <w:pPr>
              <w:pStyle w:val="null3"/>
              <w:ind w:firstLine="480"/>
              <w:jc w:val="left"/>
            </w:pPr>
            <w:r>
              <w:rPr>
                <w:rFonts w:ascii="仿宋_GB2312" w:hAnsi="仿宋_GB2312" w:cs="仿宋_GB2312" w:eastAsia="仿宋_GB2312"/>
                <w:sz w:val="32"/>
              </w:rPr>
              <w:t>(4)网络边界安全与管理</w:t>
            </w:r>
          </w:p>
          <w:p>
            <w:pPr>
              <w:pStyle w:val="null3"/>
              <w:ind w:firstLine="480"/>
              <w:jc w:val="left"/>
            </w:pPr>
            <w:r>
              <w:rPr>
                <w:rFonts w:ascii="仿宋_GB2312" w:hAnsi="仿宋_GB2312" w:cs="仿宋_GB2312" w:eastAsia="仿宋_GB2312"/>
                <w:sz w:val="32"/>
              </w:rPr>
              <w:t>市县教育城域网出口处部署防火墙系统，实施访问控制与边界隔离策略。根据业务需求动态调整安全控制策略，定期进行策略优化与维护，确保网络边界的安全稳固。</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5）实现网络准入认证</w:t>
            </w:r>
          </w:p>
          <w:p>
            <w:pPr>
              <w:pStyle w:val="null3"/>
              <w:ind w:firstLine="480"/>
              <w:jc w:val="left"/>
            </w:pPr>
            <w:r>
              <w:rPr>
                <w:rFonts w:ascii="仿宋_GB2312" w:hAnsi="仿宋_GB2312" w:cs="仿宋_GB2312" w:eastAsia="仿宋_GB2312"/>
                <w:sz w:val="32"/>
              </w:rPr>
              <w:t>对接省级核心节点统一认证平台，实现用户身份的统一管理与认证，提升网络访问的安全性与合规性，确保网络安全与数据保护，为教育环境的健康发展保驾护航，终端接入实现网络接入的实名认证、授权；要求支持有线接入管控及无线接入管控；要求支持多种</w:t>
            </w:r>
            <w:r>
              <w:rPr>
                <w:rFonts w:ascii="仿宋_GB2312" w:hAnsi="仿宋_GB2312" w:cs="仿宋_GB2312" w:eastAsia="仿宋_GB2312"/>
                <w:sz w:val="32"/>
              </w:rPr>
              <w:t>PPPoE、Web＋Portal、 IEEE802.1x 接入认证，支持 PAP 认证、CHAP 认证，支持 MAC 认证。</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6）校园网安全要求。校园网通过光网络接入市县（区）教育城域网，实现对安全威胁有效管控。防护僵木蠕病毒、黄赌毒网站等常见威胁，保障绿色上网，并能提对网络安全事件进行溯源。</w:t>
            </w:r>
          </w:p>
          <w:p>
            <w:pPr>
              <w:pStyle w:val="null3"/>
              <w:ind w:firstLine="480"/>
              <w:jc w:val="left"/>
            </w:pPr>
            <w:r>
              <w:rPr>
                <w:rFonts w:ascii="仿宋_GB2312" w:hAnsi="仿宋_GB2312" w:cs="仿宋_GB2312" w:eastAsia="仿宋_GB2312"/>
                <w:sz w:val="32"/>
              </w:rPr>
              <w:t>7.</w:t>
            </w:r>
            <w:r>
              <w:rPr>
                <w:rFonts w:ascii="仿宋_GB2312" w:hAnsi="仿宋_GB2312" w:cs="仿宋_GB2312" w:eastAsia="仿宋_GB2312"/>
                <w:sz w:val="32"/>
              </w:rPr>
              <w:t>供应商</w:t>
            </w:r>
            <w:r>
              <w:rPr>
                <w:rFonts w:ascii="仿宋_GB2312" w:hAnsi="仿宋_GB2312" w:cs="仿宋_GB2312" w:eastAsia="仿宋_GB2312"/>
                <w:sz w:val="32"/>
              </w:rPr>
              <w:t>要成立教育城域网运维小组，负责区域网络的日常运维及应急处置。通过</w:t>
            </w:r>
            <w:r>
              <w:rPr>
                <w:rFonts w:ascii="仿宋_GB2312" w:hAnsi="仿宋_GB2312" w:cs="仿宋_GB2312" w:eastAsia="仿宋_GB2312"/>
                <w:sz w:val="32"/>
              </w:rPr>
              <w:t>QoS 对教育教学业务流量提供带宽保证机制，保证网络服务质量，避免网络 拥塞并在时延、抖动和减少数据包丢失方面进行控制。市县教育城域网枢纽节点 部署 QoS 监测服务器，实时分析网络流量情况，定期生成 QoS 监测报告，有效 监测每条传输线路，当链路达到 70%负载，且持续 2 小时，应在当前带宽基础上 提升 30%，保证网络服务质量。</w:t>
            </w:r>
          </w:p>
          <w:p>
            <w:pPr>
              <w:pStyle w:val="null3"/>
              <w:ind w:firstLine="480"/>
              <w:jc w:val="left"/>
            </w:pPr>
            <w:r>
              <w:rPr>
                <w:rFonts w:ascii="仿宋_GB2312" w:hAnsi="仿宋_GB2312" w:cs="仿宋_GB2312" w:eastAsia="仿宋_GB2312"/>
                <w:sz w:val="32"/>
                <w:b/>
              </w:rPr>
              <w:t>三、服务需求清单</w:t>
            </w:r>
          </w:p>
          <w:p>
            <w:pPr>
              <w:pStyle w:val="null3"/>
              <w:ind w:firstLine="480"/>
              <w:jc w:val="both"/>
            </w:pPr>
            <w:r>
              <w:rPr>
                <w:rFonts w:ascii="仿宋_GB2312" w:hAnsi="仿宋_GB2312" w:cs="仿宋_GB2312" w:eastAsia="仿宋_GB2312"/>
                <w:sz w:val="32"/>
                <w:b/>
              </w:rPr>
              <w:t>3.1整体采购清单</w:t>
            </w:r>
          </w:p>
          <w:tbl>
            <w:tblPr>
              <w:tblBorders>
                <w:top w:val="none" w:color="000000" w:sz="4"/>
                <w:left w:val="none" w:color="000000" w:sz="4"/>
                <w:bottom w:val="none" w:color="000000" w:sz="4"/>
                <w:right w:val="none" w:color="000000" w:sz="4"/>
                <w:insideH w:val="none"/>
                <w:insideV w:val="none"/>
              </w:tblBorders>
            </w:tblPr>
            <w:tblGrid>
              <w:gridCol w:w="221"/>
              <w:gridCol w:w="647"/>
              <w:gridCol w:w="1033"/>
              <w:gridCol w:w="340"/>
              <w:gridCol w:w="312"/>
            </w:tblGrid>
            <w:tr>
              <w:tc>
                <w:tcPr>
                  <w:tcW w:type="dxa" w:w="22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64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名称</w:t>
                  </w:r>
                </w:p>
              </w:tc>
              <w:tc>
                <w:tcPr>
                  <w:tcW w:type="dxa" w:w="103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服务内容</w:t>
                  </w:r>
                </w:p>
              </w:tc>
              <w:tc>
                <w:tcPr>
                  <w:tcW w:type="dxa" w:w="34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数量</w:t>
                  </w:r>
                </w:p>
              </w:tc>
              <w:tc>
                <w:tcPr>
                  <w:tcW w:type="dxa" w:w="31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省教育城域网专线</w:t>
                  </w:r>
                  <w:r>
                    <w:rPr>
                      <w:rFonts w:ascii="仿宋_GB2312" w:hAnsi="仿宋_GB2312" w:cs="仿宋_GB2312" w:eastAsia="仿宋_GB2312"/>
                      <w:sz w:val="32"/>
                    </w:rPr>
                    <w:t>40G</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不低于</w:t>
                  </w:r>
                  <w:r>
                    <w:rPr>
                      <w:rFonts w:ascii="仿宋_GB2312" w:hAnsi="仿宋_GB2312" w:cs="仿宋_GB2312" w:eastAsia="仿宋_GB2312"/>
                      <w:sz w:val="32"/>
                    </w:rPr>
                    <w:t>40Gbps，数据专线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互联网出口专线</w:t>
                  </w:r>
                  <w:r>
                    <w:rPr>
                      <w:rFonts w:ascii="仿宋_GB2312" w:hAnsi="仿宋_GB2312" w:cs="仿宋_GB2312" w:eastAsia="仿宋_GB2312"/>
                      <w:sz w:val="32"/>
                    </w:rPr>
                    <w:t>20G</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不低于</w:t>
                  </w:r>
                  <w:r>
                    <w:rPr>
                      <w:rFonts w:ascii="仿宋_GB2312" w:hAnsi="仿宋_GB2312" w:cs="仿宋_GB2312" w:eastAsia="仿宋_GB2312"/>
                      <w:sz w:val="32"/>
                    </w:rPr>
                    <w:t>20Gbps，互联网专线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教育城域网专线不低于</w:t>
                  </w:r>
                  <w:r>
                    <w:rPr>
                      <w:rFonts w:ascii="仿宋_GB2312" w:hAnsi="仿宋_GB2312" w:cs="仿宋_GB2312" w:eastAsia="仿宋_GB2312"/>
                      <w:sz w:val="32"/>
                    </w:rPr>
                    <w:t>500M</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不低于</w:t>
                  </w:r>
                  <w:r>
                    <w:rPr>
                      <w:rFonts w:ascii="仿宋_GB2312" w:hAnsi="仿宋_GB2312" w:cs="仿宋_GB2312" w:eastAsia="仿宋_GB2312"/>
                      <w:sz w:val="32"/>
                    </w:rPr>
                    <w:t>500Mbps，光纤专线服务及网络安全服务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教育城域网专线</w:t>
                  </w:r>
                  <w:r>
                    <w:rPr>
                      <w:rFonts w:ascii="仿宋_GB2312" w:hAnsi="仿宋_GB2312" w:cs="仿宋_GB2312" w:eastAsia="仿宋_GB2312"/>
                      <w:sz w:val="32"/>
                    </w:rPr>
                    <w:t>100M（幼儿园光纤到班）</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保证每台终端并行带宽不低于</w:t>
                  </w:r>
                  <w:r>
                    <w:rPr>
                      <w:rFonts w:ascii="仿宋_GB2312" w:hAnsi="仿宋_GB2312" w:cs="仿宋_GB2312" w:eastAsia="仿宋_GB2312"/>
                      <w:sz w:val="32"/>
                    </w:rPr>
                    <w:t>100Mbps。光纤专线服务及网络安全服务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1380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教育城域网专线</w:t>
                  </w:r>
                  <w:r>
                    <w:rPr>
                      <w:rFonts w:ascii="仿宋_GB2312" w:hAnsi="仿宋_GB2312" w:cs="仿宋_GB2312" w:eastAsia="仿宋_GB2312"/>
                      <w:sz w:val="32"/>
                    </w:rPr>
                    <w:t>100M（中小学光纤到班）</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保证每台终端并行带宽不低于</w:t>
                  </w:r>
                  <w:r>
                    <w:rPr>
                      <w:rFonts w:ascii="仿宋_GB2312" w:hAnsi="仿宋_GB2312" w:cs="仿宋_GB2312" w:eastAsia="仿宋_GB2312"/>
                      <w:sz w:val="32"/>
                    </w:rPr>
                    <w:t>100Mbps。光纤专线服务及网络安全服务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6581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教育城域网专线</w:t>
                  </w:r>
                  <w:r>
                    <w:rPr>
                      <w:rFonts w:ascii="仿宋_GB2312" w:hAnsi="仿宋_GB2312" w:cs="仿宋_GB2312" w:eastAsia="仿宋_GB2312"/>
                      <w:sz w:val="32"/>
                    </w:rPr>
                    <w:t>100M（三亚市教育局终端）</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保证每台终端并行带宽不低于</w:t>
                  </w:r>
                  <w:r>
                    <w:rPr>
                      <w:rFonts w:ascii="仿宋_GB2312" w:hAnsi="仿宋_GB2312" w:cs="仿宋_GB2312" w:eastAsia="仿宋_GB2312"/>
                      <w:sz w:val="32"/>
                    </w:rPr>
                    <w:t>100Mbps。光纤专线服务及网络安全服务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计算机教室网络线路租赁改造</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根据学校实际情况，对老旧计算机教室的网络线路进行改造，保障教学主机与教学终端的网络稳定连接。</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教育城域网</w:t>
                  </w:r>
                  <w:r>
                    <w:rPr>
                      <w:rFonts w:ascii="仿宋_GB2312" w:hAnsi="仿宋_GB2312" w:cs="仿宋_GB2312" w:eastAsia="仿宋_GB2312"/>
                      <w:sz w:val="32"/>
                    </w:rPr>
                    <w:t>WiFi</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WiFi接入服务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安全服务配套</w:t>
                  </w: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性能要求不低于</w:t>
                  </w:r>
                  <w:r>
                    <w:rPr>
                      <w:rFonts w:ascii="仿宋_GB2312" w:hAnsi="仿宋_GB2312" w:cs="仿宋_GB2312" w:eastAsia="仿宋_GB2312"/>
                      <w:sz w:val="32"/>
                    </w:rPr>
                    <w:t>60G吞吐，提供的安全服务包括：</w:t>
                  </w:r>
                </w:p>
                <w:p>
                  <w:pPr>
                    <w:pStyle w:val="null3"/>
                    <w:jc w:val="left"/>
                  </w:pP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32"/>
                    </w:rPr>
                    <w:t>流量监控与威胁管理；</w:t>
                  </w: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32"/>
                    </w:rPr>
                    <w:t>全量日志采集与分析；</w:t>
                  </w:r>
                  <w:r>
                    <w:rPr>
                      <w:rFonts w:ascii="仿宋_GB2312" w:hAnsi="仿宋_GB2312" w:cs="仿宋_GB2312" w:eastAsia="仿宋_GB2312"/>
                      <w:sz w:val="32"/>
                    </w:rPr>
                    <w:t>(3)</w:t>
                  </w:r>
                  <w:r>
                    <w:rPr>
                      <w:rFonts w:ascii="仿宋_GB2312" w:hAnsi="仿宋_GB2312" w:cs="仿宋_GB2312" w:eastAsia="仿宋_GB2312"/>
                      <w:sz w:val="32"/>
                    </w:rPr>
                    <w:t xml:space="preserve"> </w:t>
                  </w:r>
                  <w:r>
                    <w:rPr>
                      <w:rFonts w:ascii="仿宋_GB2312" w:hAnsi="仿宋_GB2312" w:cs="仿宋_GB2312" w:eastAsia="仿宋_GB2312"/>
                      <w:sz w:val="32"/>
                    </w:rPr>
                    <w:t>网络信息推送与共享、</w:t>
                  </w:r>
                  <w:r>
                    <w:rPr>
                      <w:rFonts w:ascii="仿宋_GB2312" w:hAnsi="仿宋_GB2312" w:cs="仿宋_GB2312" w:eastAsia="仿宋_GB2312"/>
                      <w:sz w:val="32"/>
                    </w:rPr>
                    <w:t>(4)网络边界安全与管理；（5）实现网络准入认证等；（6）校园网安全要求</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r>
          </w:tbl>
          <w:p>
            <w:pPr>
              <w:pStyle w:val="null3"/>
              <w:ind w:firstLine="480"/>
              <w:jc w:val="both"/>
            </w:pPr>
            <w:r>
              <w:rPr>
                <w:rFonts w:ascii="仿宋_GB2312" w:hAnsi="仿宋_GB2312" w:cs="仿宋_GB2312" w:eastAsia="仿宋_GB2312"/>
                <w:sz w:val="32"/>
                <w:b/>
              </w:rPr>
              <w:t>3.2各区域学校清单</w:t>
            </w:r>
          </w:p>
          <w:p>
            <w:pPr>
              <w:pStyle w:val="null3"/>
              <w:jc w:val="left"/>
            </w:pPr>
            <w:r>
              <w:rPr>
                <w:rFonts w:ascii="仿宋_GB2312" w:hAnsi="仿宋_GB2312" w:cs="仿宋_GB2312" w:eastAsia="仿宋_GB2312"/>
                <w:sz w:val="32"/>
              </w:rPr>
              <w:t>1、三亚市教育城域网（直属学校）</w:t>
            </w:r>
          </w:p>
          <w:tbl>
            <w:tblPr>
              <w:tblBorders>
                <w:top w:val="none" w:color="000000" w:sz="4"/>
                <w:left w:val="none" w:color="000000" w:sz="4"/>
                <w:bottom w:val="none" w:color="000000" w:sz="4"/>
                <w:right w:val="none" w:color="000000" w:sz="4"/>
                <w:insideH w:val="none"/>
                <w:insideV w:val="none"/>
              </w:tblBorders>
            </w:tblPr>
            <w:tblGrid>
              <w:gridCol w:w="632"/>
              <w:gridCol w:w="1289"/>
              <w:gridCol w:w="632"/>
            </w:tblGrid>
            <w:tr>
              <w:tc>
                <w:tcPr>
                  <w:tcW w:type="dxa" w:w="63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28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63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人大附中三亚学校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334</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三亚市第一小学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105</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第九小学友谊路校区</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106</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第九小学三亚湾校区</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75</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八一小学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三亚市迎宾小学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88</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三亚市迎宾中学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三亚市崖州湾科技城南开小学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八一中学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52</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海南中学三亚学校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198</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西南大学三亚中学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三亚市民族中学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三亚市第一中学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148</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三亚市第二中学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三亚市第四中学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上海外国语大学三亚附属中学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196</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中央民族大学附属中学三亚学校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三亚市崖州湾科技城南开中学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三亚市田家炳高级中学</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58</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三亚市特殊教育学校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三亚市育苗学校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三亚市教育研究培训院</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34</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2230</w:t>
                  </w:r>
                </w:p>
              </w:tc>
            </w:tr>
          </w:tbl>
          <w:p>
            <w:pPr>
              <w:pStyle w:val="null3"/>
              <w:jc w:val="left"/>
            </w:pPr>
            <w:r>
              <w:rPr>
                <w:rFonts w:ascii="仿宋_GB2312" w:hAnsi="仿宋_GB2312" w:cs="仿宋_GB2312" w:eastAsia="仿宋_GB2312"/>
                <w:sz w:val="32"/>
              </w:rPr>
              <w:t>2、三亚市教育城域网（海棠区中小学）</w:t>
            </w:r>
          </w:p>
          <w:tbl>
            <w:tblPr>
              <w:tblBorders>
                <w:top w:val="none" w:color="000000" w:sz="4"/>
                <w:left w:val="none" w:color="000000" w:sz="4"/>
                <w:bottom w:val="none" w:color="000000" w:sz="4"/>
                <w:right w:val="none" w:color="000000" w:sz="4"/>
                <w:insideH w:val="none"/>
                <w:insideV w:val="none"/>
              </w:tblBorders>
            </w:tblPr>
            <w:tblGrid>
              <w:gridCol w:w="580"/>
              <w:gridCol w:w="1394"/>
              <w:gridCol w:w="580"/>
            </w:tblGrid>
            <w:tr>
              <w:tc>
                <w:tcPr>
                  <w:tcW w:type="dxa" w:w="58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39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5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三亚市海棠区进士中学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63</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三亚市海棠区林旺小学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59</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三亚市海棠区第一小学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45</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三亚市海棠区爱泉小学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38</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三亚市海棠区温泉小学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三亚市海棠区海燕小学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三亚市海棠区响水小学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三亚市海棠区藤桥中学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三亚市海棠区人才基地学校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79</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三亚市海棠区进士小学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三亚市海棠区红旗小学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三亚市海棠区长田小学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三亚市海棠区青田小学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三亚市海棠区藤海小学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三亚市海棠区湾坡小学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65</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三亚市海棠区龙海小学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三亚市海棠区洪风小学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三亚市海棠区林旺中学</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66</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700</w:t>
                  </w:r>
                </w:p>
              </w:tc>
            </w:tr>
          </w:tbl>
          <w:p>
            <w:pPr>
              <w:pStyle w:val="null3"/>
              <w:jc w:val="left"/>
            </w:pPr>
            <w:r>
              <w:rPr>
                <w:rFonts w:ascii="仿宋_GB2312" w:hAnsi="仿宋_GB2312" w:cs="仿宋_GB2312" w:eastAsia="仿宋_GB2312"/>
                <w:sz w:val="32"/>
              </w:rPr>
              <w:t>3、三亚市教育城域网（吉阳区中小学）</w:t>
            </w:r>
          </w:p>
          <w:tbl>
            <w:tblPr>
              <w:tblBorders>
                <w:top w:val="none" w:color="000000" w:sz="4"/>
                <w:left w:val="none" w:color="000000" w:sz="4"/>
                <w:bottom w:val="none" w:color="000000" w:sz="4"/>
                <w:right w:val="none" w:color="000000" w:sz="4"/>
                <w:insideH w:val="none"/>
                <w:insideV w:val="none"/>
              </w:tblBorders>
            </w:tblPr>
            <w:tblGrid>
              <w:gridCol w:w="565"/>
              <w:gridCol w:w="1423"/>
              <w:gridCol w:w="565"/>
            </w:tblGrid>
            <w:tr>
              <w:tc>
                <w:tcPr>
                  <w:tcW w:type="dxa" w:w="56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42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56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三亚市吉阳区落笔小学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三亚市吉阳区六盘小学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三亚市吉阳区龙坡希望小学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三亚市吉阳区田独小学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三亚市吉阳区榆红明德小学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三亚市吉阳区红庄小学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三亚市吉阳区吉阳小学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三亚市吉阳区博后小学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三亚市吉阳区红沙小学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三亚市吉阳区月川小学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三亚市吉阳区临春小学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三亚市吉阳区红郊小学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三亚市鹿回头小学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三亚市南海学校</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三亚市吉阳区中廖小学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三亚市吉阳区荔枝沟小学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三亚学院附属小学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吉阳区南丁小学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三亚市吉阳区河东小学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三亚市吉阳区南新小学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三亚市第二小学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二小罗蓬校区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三亚市逸夫中学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三亚市第五中学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三亚市第十小学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三亚市第五小学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三亚市吉阳区大茅小学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三亚市荔枝沟初级中学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29</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三亚市吉阳区干沟小学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30</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三亚市吉阳区海罗小学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31</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三亚市吉阳区丹州小学</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三亚市第七小学祥瑞校区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1564</w:t>
                  </w:r>
                </w:p>
              </w:tc>
            </w:tr>
          </w:tbl>
          <w:p>
            <w:pPr>
              <w:pStyle w:val="null3"/>
              <w:jc w:val="left"/>
            </w:pPr>
            <w:r>
              <w:rPr>
                <w:rFonts w:ascii="仿宋_GB2312" w:hAnsi="仿宋_GB2312" w:cs="仿宋_GB2312" w:eastAsia="仿宋_GB2312"/>
                <w:sz w:val="32"/>
              </w:rPr>
              <w:t>4、三亚市教育城域网（天涯区中小学）</w:t>
            </w:r>
          </w:p>
          <w:tbl>
            <w:tblPr>
              <w:tblBorders>
                <w:top w:val="none" w:color="000000" w:sz="4"/>
                <w:left w:val="none" w:color="000000" w:sz="4"/>
                <w:bottom w:val="none" w:color="000000" w:sz="4"/>
                <w:right w:val="none" w:color="000000" w:sz="4"/>
                <w:insideH w:val="none"/>
                <w:insideV w:val="none"/>
              </w:tblBorders>
            </w:tblPr>
            <w:tblGrid>
              <w:gridCol w:w="542"/>
              <w:gridCol w:w="1444"/>
              <w:gridCol w:w="567"/>
            </w:tblGrid>
            <w:tr>
              <w:tc>
                <w:tcPr>
                  <w:tcW w:type="dxa" w:w="54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44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56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三亚市天涯区华丽小学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39</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三亚市天涯区金鸡岭小学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三亚市天涯区文门小学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三亚市天涯区新村小学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三亚市妙联学校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三亚市天涯区凤凰小学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46</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三亚市第三小学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61</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三亚市天涯区西岛小学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三亚市天涯区回辉小学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39</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三亚市天涯区天涯小学道德校区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三亚市第四小学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62</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三亚市南岛学校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71</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三亚市实验小学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三亚市天涯区过岭小学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三亚市天涯区回新逸夫小学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三亚市天涯区桶井小学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天涯区天涯小学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59</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天涯区布甫小学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天涯区红塘小学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羊栏明德小学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天涯区水蛟小学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天涯区新联小学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天涯区高峰小学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天涯区槟榔小学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三亚市第三中学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61</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三亚市第四中学凤凰校区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三亚市高峰初级中学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1063</w:t>
                  </w:r>
                </w:p>
              </w:tc>
            </w:tr>
          </w:tbl>
          <w:p>
            <w:pPr>
              <w:pStyle w:val="null3"/>
              <w:jc w:val="left"/>
            </w:pPr>
            <w:r>
              <w:rPr>
                <w:rFonts w:ascii="仿宋_GB2312" w:hAnsi="仿宋_GB2312" w:cs="仿宋_GB2312" w:eastAsia="仿宋_GB2312"/>
                <w:sz w:val="32"/>
              </w:rPr>
              <w:t>5、三亚市教育城域网（崖州区中小学）</w:t>
            </w:r>
          </w:p>
          <w:tbl>
            <w:tblPr>
              <w:tblBorders>
                <w:top w:val="none" w:color="000000" w:sz="4"/>
                <w:left w:val="none" w:color="000000" w:sz="4"/>
                <w:bottom w:val="none" w:color="000000" w:sz="4"/>
                <w:right w:val="none" w:color="000000" w:sz="4"/>
                <w:insideH w:val="none"/>
                <w:insideV w:val="none"/>
              </w:tblBorders>
            </w:tblPr>
            <w:tblGrid>
              <w:gridCol w:w="540"/>
              <w:gridCol w:w="1446"/>
              <w:gridCol w:w="567"/>
            </w:tblGrid>
            <w:tr>
              <w:tc>
                <w:tcPr>
                  <w:tcW w:type="dxa" w:w="54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44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56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三亚崖州湾科技城寰岛实验中学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上世外三亚学校九年一贯制</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83</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三亚市崖州区保港小学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三亚市崖州区临高小学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三亚市崖州区三公里小学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三亚市崖州区镇海小学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三亚市崖州区南滨中学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44</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三亚市崖州区长山小学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三亚市崖州区抱古小学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三亚市崖州区城西小学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三亚市崖州区雅安小学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三亚市崖州区拱北小学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三亚市崖州区崖城小学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三亚市崖州区盐灶小学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三亚市崖州区水南小学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46</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三亚市崖州区三更小学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三亚市崖州区北岭小学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三亚市崖城中学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84</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三亚市崖州区南滨小学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48</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三亚市崖州区海棠小学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三亚市崖州区城东小学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三亚市崖州区梅山中学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三亚市崖州区梅山小学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三亚市崖州区保港中学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46</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三亚市崖州区南山小学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30</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三亚市崖州区凤岭小学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三亚市崖州区港西小学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三亚寰岛实验小学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103</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29</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三亚市崖州区赤草小学</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947</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rPr>
              <w:t>6、三亚市教育城域网（育才中小学）</w:t>
            </w:r>
          </w:p>
          <w:tbl>
            <w:tblPr>
              <w:tblBorders>
                <w:top w:val="none" w:color="000000" w:sz="4"/>
                <w:left w:val="none" w:color="000000" w:sz="4"/>
                <w:bottom w:val="none" w:color="000000" w:sz="4"/>
                <w:right w:val="none" w:color="000000" w:sz="4"/>
                <w:insideH w:val="none"/>
                <w:insideV w:val="none"/>
              </w:tblBorders>
            </w:tblPr>
            <w:tblGrid>
              <w:gridCol w:w="598"/>
              <w:gridCol w:w="1357"/>
              <w:gridCol w:w="598"/>
            </w:tblGrid>
            <w:tr>
              <w:tc>
                <w:tcPr>
                  <w:tcW w:type="dxa" w:w="59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35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59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三亚市立才学校</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103</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三亚市育才初级中学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44</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三亚市育才中心学校</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三亚市育才青法小学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三亚市育才雅亮小学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三亚市育才雅林小学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三亚市育才光彩小学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三亚市育才东方红小学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三亚市育才龙塔希望小学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287</w:t>
                  </w:r>
                </w:p>
              </w:tc>
            </w:tr>
          </w:tbl>
          <w:p>
            <w:pPr>
              <w:pStyle w:val="null3"/>
              <w:jc w:val="left"/>
            </w:pPr>
            <w:r>
              <w:rPr>
                <w:rFonts w:ascii="仿宋_GB2312" w:hAnsi="仿宋_GB2312" w:cs="仿宋_GB2312" w:eastAsia="仿宋_GB2312"/>
                <w:sz w:val="32"/>
              </w:rPr>
              <w:t>7、三亚市教育城域网（幼儿园）</w:t>
            </w:r>
          </w:p>
          <w:tbl>
            <w:tblPr>
              <w:tblBorders>
                <w:top w:val="none" w:color="000000" w:sz="4"/>
                <w:left w:val="none" w:color="000000" w:sz="4"/>
                <w:bottom w:val="none" w:color="000000" w:sz="4"/>
                <w:right w:val="none" w:color="000000" w:sz="4"/>
                <w:insideH w:val="none"/>
                <w:insideV w:val="none"/>
              </w:tblBorders>
            </w:tblPr>
            <w:tblGrid>
              <w:gridCol w:w="476"/>
              <w:gridCol w:w="1601"/>
              <w:gridCol w:w="476"/>
            </w:tblGrid>
            <w:tr>
              <w:tc>
                <w:tcPr>
                  <w:tcW w:type="dxa" w:w="47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60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学校名称</w:t>
                  </w:r>
                </w:p>
              </w:tc>
              <w:tc>
                <w:tcPr>
                  <w:tcW w:type="dxa" w:w="47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总数</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三亚市吉阳区同心家园第一期幼儿园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三亚市第三幼儿园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三亚市吉阳区同心家园第二十九期幼儿园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三亚市吉阳区鹿回头幼儿园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三亚市第五幼儿园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三亚市吉阳区博后幼儿园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三亚市吉阳区第七幼儿园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三亚市吉阳区第六幼儿园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三亚市第八幼儿园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三亚市吉阳区福海苑幼儿园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三亚市吉阳区安罗幼儿园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三亚市吉阳区榆亚新村幼儿园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三亚市吉阳区东岸幼儿园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三亚市吉阳区月川幼儿园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三亚市吉阳中心幼儿园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三亚市第十幼儿园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中国人民解放军</w:t>
                  </w:r>
                  <w:r>
                    <w:rPr>
                      <w:rFonts w:ascii="仿宋_GB2312" w:hAnsi="仿宋_GB2312" w:cs="仿宋_GB2312" w:eastAsia="仿宋_GB2312"/>
                      <w:sz w:val="32"/>
                    </w:rPr>
                    <w:t>91458部队幼儿园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中国人民解放军</w:t>
                  </w:r>
                  <w:r>
                    <w:rPr>
                      <w:rFonts w:ascii="仿宋_GB2312" w:hAnsi="仿宋_GB2312" w:cs="仿宋_GB2312" w:eastAsia="仿宋_GB2312"/>
                      <w:sz w:val="32"/>
                    </w:rPr>
                    <w:t>92730部队幼儿园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中国人民解放军</w:t>
                  </w:r>
                  <w:r>
                    <w:rPr>
                      <w:rFonts w:ascii="仿宋_GB2312" w:hAnsi="仿宋_GB2312" w:cs="仿宋_GB2312" w:eastAsia="仿宋_GB2312"/>
                      <w:sz w:val="32"/>
                    </w:rPr>
                    <w:t>92474部队幼儿园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中国人民解放军</w:t>
                  </w:r>
                  <w:r>
                    <w:rPr>
                      <w:rFonts w:ascii="仿宋_GB2312" w:hAnsi="仿宋_GB2312" w:cs="仿宋_GB2312" w:eastAsia="仿宋_GB2312"/>
                      <w:sz w:val="32"/>
                    </w:rPr>
                    <w:t>91922部队第一幼儿园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三亚市海棠区第一幼儿园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三亚市海棠区第三幼儿园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三亚市海棠区第五幼儿园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三亚市海棠区第六幼儿园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三亚市海棠区中心幼儿园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三亚市海棠区湾坡幼儿园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三亚海棠区藤桥幼儿园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25</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三亚市海棠区龙海幼儿园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三亚市海棠区人才基地幼儿园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三亚市海棠区江林幼儿园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三亚市海棠区青田第一幼儿园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三亚市第一幼儿园（新风街园区）</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三亚市第一幼儿园（团结街园区）</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三亚市天涯区华丽幼儿园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三亚市天涯区西岛幼儿园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三亚市天涯区抱前幼儿园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三亚市天涯区第五幼儿园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三亚市天涯区南岛幼儿园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三亚市天涯区第三幼儿园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三亚市天涯区中心幼儿园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三亚市天涯区抱龙幼儿园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三亚市天涯区第四幼儿园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三亚市天涯区第八幼儿园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三亚市天涯区第九幼儿园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三亚市天涯过岭幼儿园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三亚市天涯区扎南幼儿园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三亚市天涯区水蛟幼儿园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三亚市崖州区水南幼儿园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三亚市崖州区古城幼儿园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三亚市崖州区雅安幼儿园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三亚市崖州区保港幼儿园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三亚市崖州区南山幼儿园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三亚市崖州区长山幼儿园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三亚市崖州区凤岭幼儿园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三亚崖州湾科技城上海世外教育附属外国语幼儿园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三亚市崖州区北岭幼儿园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三亚市崖州区科技城第一幼儿园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三亚市崖州区科技城第二幼儿园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三亚市崖州区梅西幼儿园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三亚市崖州区三更幼儿园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三亚崖州区三公里幼儿园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三亚市崖州区中心幼儿园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26</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三亚市崖州区海棠幼儿园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68</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三亚市崖州区抱古幼儿园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69</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三亚市崖州区高山幼儿园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70</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三亚市崖州区科技城南开幼儿园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三亚市崖州区赤草幼儿园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三亚市崖州区港二幼儿园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73</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三亚市立才幼儿园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三亚市育才中心幼儿园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三亚市育才青法幼儿园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三亚市育才雅林幼儿园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77</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三亚市育才东方红幼儿园</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合计</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1380</w:t>
                  </w:r>
                </w:p>
              </w:tc>
            </w:tr>
          </w:tbl>
          <w:p>
            <w:pPr>
              <w:pStyle w:val="null3"/>
              <w:jc w:val="left"/>
            </w:pPr>
            <w:r>
              <w:rPr>
                <w:rFonts w:ascii="仿宋_GB2312" w:hAnsi="仿宋_GB2312" w:cs="仿宋_GB2312" w:eastAsia="仿宋_GB2312"/>
                <w:sz w:val="32"/>
                <w:b/>
              </w:rPr>
              <w:t>四、主体要求</w:t>
            </w:r>
          </w:p>
          <w:p>
            <w:pPr>
              <w:pStyle w:val="null3"/>
              <w:ind w:firstLine="480"/>
              <w:jc w:val="left"/>
            </w:pPr>
            <w:r>
              <w:rPr>
                <w:rFonts w:ascii="仿宋_GB2312" w:hAnsi="仿宋_GB2312" w:cs="仿宋_GB2312" w:eastAsia="仿宋_GB2312"/>
                <w:sz w:val="32"/>
              </w:rPr>
              <w:t>本项目不接受联合体投标。</w:t>
            </w:r>
          </w:p>
          <w:p>
            <w:pPr>
              <w:pStyle w:val="null3"/>
              <w:ind w:firstLine="480"/>
              <w:jc w:val="left"/>
            </w:pPr>
            <w:r>
              <w:rPr>
                <w:rFonts w:ascii="仿宋_GB2312" w:hAnsi="仿宋_GB2312" w:cs="仿宋_GB2312" w:eastAsia="仿宋_GB2312"/>
                <w:sz w:val="32"/>
                <w:b/>
              </w:rPr>
              <w:t>五、服务技术要求</w:t>
            </w:r>
          </w:p>
          <w:p>
            <w:pPr>
              <w:pStyle w:val="null3"/>
              <w:ind w:firstLine="480"/>
              <w:jc w:val="both"/>
            </w:pPr>
            <w:r>
              <w:rPr>
                <w:rFonts w:ascii="仿宋_GB2312" w:hAnsi="仿宋_GB2312" w:cs="仿宋_GB2312" w:eastAsia="仿宋_GB2312"/>
                <w:sz w:val="32"/>
                <w:b/>
              </w:rPr>
              <w:t>5.1 运维服务方案</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成立教育城域网运维小组，负责区域网络的日常运维及应急处置。通过</w:t>
            </w:r>
            <w:r>
              <w:rPr>
                <w:rFonts w:ascii="仿宋_GB2312" w:hAnsi="仿宋_GB2312" w:cs="仿宋_GB2312" w:eastAsia="仿宋_GB2312"/>
                <w:sz w:val="32"/>
              </w:rPr>
              <w:t>QoS 对教育教学业务流量提供带宽保证机制，保证网络服务质量，避免网络拥塞并在时延、抖动和减少数据包丢失方面进行控制。三亚市教育城域网枢纽节点部署 QoS 监测服务器，实时分析网络流量情况，定期生成 QoS 监测报告，有效监测每条传输线路，当链路达到 70%负载，且持续 2 小时，应在当前带宽基础上提升 30%，保证网络服务质量。</w:t>
            </w:r>
          </w:p>
          <w:p>
            <w:pPr>
              <w:pStyle w:val="null3"/>
              <w:ind w:firstLine="480"/>
              <w:jc w:val="left"/>
            </w:pP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运行管理单位</w:t>
            </w:r>
          </w:p>
          <w:p>
            <w:pPr>
              <w:pStyle w:val="null3"/>
              <w:ind w:firstLine="480"/>
              <w:jc w:val="left"/>
            </w:pPr>
            <w:r>
              <w:rPr>
                <w:rFonts w:ascii="仿宋_GB2312" w:hAnsi="仿宋_GB2312" w:cs="仿宋_GB2312" w:eastAsia="仿宋_GB2312"/>
                <w:sz w:val="32"/>
              </w:rPr>
              <w:t>项目建成后由中标</w:t>
            </w:r>
            <w:r>
              <w:rPr>
                <w:rFonts w:ascii="仿宋_GB2312" w:hAnsi="仿宋_GB2312" w:cs="仿宋_GB2312" w:eastAsia="仿宋_GB2312"/>
                <w:sz w:val="32"/>
              </w:rPr>
              <w:t>供应商</w:t>
            </w:r>
            <w:r>
              <w:rPr>
                <w:rFonts w:ascii="仿宋_GB2312" w:hAnsi="仿宋_GB2312" w:cs="仿宋_GB2312" w:eastAsia="仿宋_GB2312"/>
                <w:sz w:val="32"/>
              </w:rPr>
              <w:t>负责运行管理，全面负责系统的运行、维护和组织管理；协调系统内部有关系统运行的工作。</w:t>
            </w:r>
          </w:p>
          <w:p>
            <w:pPr>
              <w:pStyle w:val="null3"/>
              <w:ind w:firstLine="480"/>
              <w:jc w:val="left"/>
            </w:pP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运维管理规范</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维护团队将通过各类网管及监控手段及时了解、分析网络、平台的运</w:t>
            </w:r>
            <w:r>
              <w:rPr>
                <w:rFonts w:ascii="仿宋_GB2312" w:hAnsi="仿宋_GB2312" w:cs="仿宋_GB2312" w:eastAsia="仿宋_GB2312"/>
                <w:sz w:val="32"/>
              </w:rPr>
              <w:t>行情况，主动发现网络存在的问题及时统筹指挥协调相关驻地维护部门快速处理。</w:t>
            </w:r>
          </w:p>
          <w:p>
            <w:pPr>
              <w:pStyle w:val="null3"/>
              <w:ind w:firstLine="480"/>
              <w:jc w:val="left"/>
            </w:pPr>
            <w:r>
              <w:rPr>
                <w:rFonts w:ascii="仿宋_GB2312" w:hAnsi="仿宋_GB2312" w:cs="仿宋_GB2312" w:eastAsia="仿宋_GB2312"/>
                <w:sz w:val="32"/>
              </w:rPr>
              <w:t>1.提供 7*24 小时支撑服务；</w:t>
            </w:r>
          </w:p>
          <w:p>
            <w:pPr>
              <w:pStyle w:val="null3"/>
              <w:ind w:firstLine="480"/>
              <w:jc w:val="left"/>
            </w:pPr>
            <w:r>
              <w:rPr>
                <w:rFonts w:ascii="仿宋_GB2312" w:hAnsi="仿宋_GB2312" w:cs="仿宋_GB2312" w:eastAsia="仿宋_GB2312"/>
                <w:sz w:val="32"/>
              </w:rPr>
              <w:t>&gt;</w:t>
            </w:r>
            <w:r>
              <w:rPr>
                <w:rFonts w:ascii="仿宋_GB2312" w:hAnsi="仿宋_GB2312" w:cs="仿宋_GB2312" w:eastAsia="仿宋_GB2312"/>
              </w:rPr>
              <w:t xml:space="preserve"> </w:t>
            </w:r>
            <w:r>
              <w:rPr>
                <w:rFonts w:ascii="仿宋_GB2312" w:hAnsi="仿宋_GB2312" w:cs="仿宋_GB2312" w:eastAsia="仿宋_GB2312"/>
                <w:sz w:val="32"/>
              </w:rPr>
              <w:t>故障申告响应时限：</w:t>
            </w:r>
            <w:r>
              <w:rPr>
                <w:rFonts w:ascii="仿宋_GB2312" w:hAnsi="仿宋_GB2312" w:cs="仿宋_GB2312" w:eastAsia="仿宋_GB2312"/>
                <w:sz w:val="32"/>
              </w:rPr>
              <w:t>30 分钟内；</w:t>
            </w:r>
          </w:p>
          <w:p>
            <w:pPr>
              <w:pStyle w:val="null3"/>
              <w:ind w:firstLine="480"/>
              <w:jc w:val="left"/>
            </w:pPr>
            <w:r>
              <w:rPr>
                <w:rFonts w:ascii="仿宋_GB2312" w:hAnsi="仿宋_GB2312" w:cs="仿宋_GB2312" w:eastAsia="仿宋_GB2312"/>
                <w:sz w:val="32"/>
              </w:rPr>
              <w:t>&gt;</w:t>
            </w:r>
            <w:r>
              <w:rPr>
                <w:rFonts w:ascii="仿宋_GB2312" w:hAnsi="仿宋_GB2312" w:cs="仿宋_GB2312" w:eastAsia="仿宋_GB2312"/>
              </w:rPr>
              <w:t xml:space="preserve"> </w:t>
            </w:r>
            <w:r>
              <w:rPr>
                <w:rFonts w:ascii="仿宋_GB2312" w:hAnsi="仿宋_GB2312" w:cs="仿宋_GB2312" w:eastAsia="仿宋_GB2312"/>
                <w:sz w:val="32"/>
              </w:rPr>
              <w:t>网络中断，可根据客户需要提供详细的故障处理及分析报告。</w:t>
            </w:r>
          </w:p>
          <w:p>
            <w:pPr>
              <w:pStyle w:val="null3"/>
              <w:ind w:firstLine="480"/>
              <w:jc w:val="left"/>
            </w:pPr>
            <w:r>
              <w:rPr>
                <w:rFonts w:ascii="仿宋_GB2312" w:hAnsi="仿宋_GB2312" w:cs="仿宋_GB2312" w:eastAsia="仿宋_GB2312"/>
                <w:sz w:val="32"/>
              </w:rPr>
              <w:t>3)</w:t>
            </w:r>
            <w:r>
              <w:rPr>
                <w:rFonts w:ascii="仿宋_GB2312" w:hAnsi="仿宋_GB2312" w:cs="仿宋_GB2312" w:eastAsia="仿宋_GB2312"/>
              </w:rPr>
              <w:t xml:space="preserve"> </w:t>
            </w:r>
            <w:r>
              <w:rPr>
                <w:rFonts w:ascii="仿宋_GB2312" w:hAnsi="仿宋_GB2312" w:cs="仿宋_GB2312" w:eastAsia="仿宋_GB2312"/>
                <w:sz w:val="32"/>
              </w:rPr>
              <w:t>运维服务内容</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故障响应和处理服务</w:t>
            </w:r>
          </w:p>
          <w:p>
            <w:pPr>
              <w:pStyle w:val="null3"/>
              <w:ind w:firstLine="480"/>
              <w:jc w:val="left"/>
            </w:pPr>
            <w:r>
              <w:rPr>
                <w:rFonts w:ascii="仿宋_GB2312" w:hAnsi="仿宋_GB2312" w:cs="仿宋_GB2312" w:eastAsia="仿宋_GB2312"/>
                <w:sz w:val="32"/>
              </w:rPr>
              <w:t>1、“零时延”故障响应</w:t>
            </w:r>
          </w:p>
          <w:p>
            <w:pPr>
              <w:pStyle w:val="null3"/>
              <w:ind w:firstLine="480"/>
              <w:jc w:val="left"/>
            </w:pPr>
            <w:r>
              <w:rPr>
                <w:rFonts w:ascii="仿宋_GB2312" w:hAnsi="仿宋_GB2312" w:cs="仿宋_GB2312" w:eastAsia="仿宋_GB2312"/>
                <w:sz w:val="32"/>
              </w:rPr>
              <w:t>在网络故障出现时，实现</w:t>
            </w:r>
            <w:r>
              <w:rPr>
                <w:rFonts w:ascii="仿宋_GB2312" w:hAnsi="仿宋_GB2312" w:cs="仿宋_GB2312" w:eastAsia="仿宋_GB2312"/>
                <w:sz w:val="32"/>
              </w:rPr>
              <w:t>“零时延”故障响应。通过多种方式，在最短的间内响应并解决网络在运行中出现的故障，最大程度的降低网络故障对三亚市教育城域网产生的影响。</w:t>
            </w:r>
          </w:p>
          <w:p>
            <w:pPr>
              <w:pStyle w:val="null3"/>
              <w:ind w:firstLine="480"/>
              <w:jc w:val="left"/>
            </w:pPr>
            <w:r>
              <w:rPr>
                <w:rFonts w:ascii="仿宋_GB2312" w:hAnsi="仿宋_GB2312" w:cs="仿宋_GB2312" w:eastAsia="仿宋_GB2312"/>
                <w:sz w:val="32"/>
              </w:rPr>
              <w:t>2、故障处理</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须为业主提供</w:t>
            </w:r>
            <w:r>
              <w:rPr>
                <w:rFonts w:ascii="仿宋_GB2312" w:hAnsi="仿宋_GB2312" w:cs="仿宋_GB2312" w:eastAsia="仿宋_GB2312"/>
                <w:sz w:val="32"/>
              </w:rPr>
              <w:t>7x24 小时全天候的故障受理和处理服务。服务商在接到故障申报电话申告后，在 30 分钟内以短信等形式向业主进行第一次反馈，内容包括障碍单号、处理进程、后续处理渠道等。</w:t>
            </w:r>
          </w:p>
          <w:p>
            <w:pPr>
              <w:pStyle w:val="null3"/>
              <w:ind w:firstLine="480"/>
              <w:jc w:val="left"/>
            </w:pPr>
            <w:r>
              <w:rPr>
                <w:rFonts w:ascii="仿宋_GB2312" w:hAnsi="仿宋_GB2312" w:cs="仿宋_GB2312" w:eastAsia="仿宋_GB2312"/>
                <w:sz w:val="32"/>
              </w:rPr>
              <w:t>3、故障处理报告</w:t>
            </w:r>
          </w:p>
          <w:p>
            <w:pPr>
              <w:pStyle w:val="null3"/>
              <w:ind w:firstLine="480"/>
              <w:jc w:val="left"/>
            </w:pPr>
            <w:r>
              <w:rPr>
                <w:rFonts w:ascii="仿宋_GB2312" w:hAnsi="仿宋_GB2312" w:cs="仿宋_GB2312" w:eastAsia="仿宋_GB2312"/>
                <w:sz w:val="32"/>
              </w:rPr>
              <w:t>网络故障处理完毕后，服务商将在</w:t>
            </w:r>
            <w:r>
              <w:rPr>
                <w:rFonts w:ascii="仿宋_GB2312" w:hAnsi="仿宋_GB2312" w:cs="仿宋_GB2312" w:eastAsia="仿宋_GB2312"/>
                <w:sz w:val="32"/>
              </w:rPr>
              <w:t>3 个工作日内向业主提供故障处理报告。</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巡检及运行维护服务</w:t>
            </w:r>
          </w:p>
          <w:p>
            <w:pPr>
              <w:pStyle w:val="null3"/>
              <w:ind w:firstLine="480"/>
              <w:jc w:val="left"/>
            </w:pPr>
            <w:r>
              <w:rPr>
                <w:rFonts w:ascii="仿宋_GB2312" w:hAnsi="仿宋_GB2312" w:cs="仿宋_GB2312" w:eastAsia="仿宋_GB2312"/>
                <w:sz w:val="32"/>
              </w:rPr>
              <w:t>在网络线路投入使用后，</w:t>
            </w:r>
            <w:r>
              <w:rPr>
                <w:rFonts w:ascii="仿宋_GB2312" w:hAnsi="仿宋_GB2312" w:cs="仿宋_GB2312" w:eastAsia="仿宋_GB2312"/>
                <w:sz w:val="32"/>
              </w:rPr>
              <w:t>供应商</w:t>
            </w:r>
            <w:r>
              <w:rPr>
                <w:rFonts w:ascii="仿宋_GB2312" w:hAnsi="仿宋_GB2312" w:cs="仿宋_GB2312" w:eastAsia="仿宋_GB2312"/>
                <w:sz w:val="32"/>
              </w:rPr>
              <w:t>须对该项目的光纤链路实行</w:t>
            </w:r>
            <w:r>
              <w:rPr>
                <w:rFonts w:ascii="仿宋_GB2312" w:hAnsi="仿宋_GB2312" w:cs="仿宋_GB2312" w:eastAsia="仿宋_GB2312"/>
                <w:sz w:val="32"/>
              </w:rPr>
              <w:t>7x24 特别监护。</w:t>
            </w:r>
            <w:r>
              <w:rPr>
                <w:rFonts w:ascii="仿宋_GB2312" w:hAnsi="仿宋_GB2312" w:cs="仿宋_GB2312" w:eastAsia="仿宋_GB2312"/>
                <w:sz w:val="32"/>
              </w:rPr>
              <w:t>供应商</w:t>
            </w:r>
            <w:r>
              <w:rPr>
                <w:rFonts w:ascii="仿宋_GB2312" w:hAnsi="仿宋_GB2312" w:cs="仿宋_GB2312" w:eastAsia="仿宋_GB2312"/>
                <w:sz w:val="32"/>
              </w:rPr>
              <w:t>将负责本项目网络中涉及到的网络线路和网络设备的运行、维护，组</w:t>
            </w:r>
          </w:p>
          <w:p>
            <w:pPr>
              <w:pStyle w:val="null3"/>
              <w:ind w:firstLine="480"/>
              <w:jc w:val="left"/>
            </w:pPr>
            <w:r>
              <w:rPr>
                <w:rFonts w:ascii="仿宋_GB2312" w:hAnsi="仿宋_GB2312" w:cs="仿宋_GB2312" w:eastAsia="仿宋_GB2312"/>
                <w:sz w:val="32"/>
              </w:rPr>
              <w:t>织丰富的技术运维人员进行运行维护，提供优质的服务质量。</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须定期对本项目网络的状态巡检，保证网络线路的高效运行；针对网</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32"/>
              </w:rPr>
              <w:t>络线路质量严重下降时，须提供不定期的巡检报告，对网路线路的运行情况和工程师的维护经验进行总结。同时，还须根据分析结果出具网络线路运行和性能分析报告，并以书面形式向业主单位提交。网路线路性能报告从多个角度全面反映网络性能，包括网路线路流量分析、故障摘要报告、线路误码报告等。</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rPr>
              <w:t xml:space="preserve"> </w:t>
            </w:r>
            <w:r>
              <w:rPr>
                <w:rFonts w:ascii="仿宋_GB2312" w:hAnsi="仿宋_GB2312" w:cs="仿宋_GB2312" w:eastAsia="仿宋_GB2312"/>
                <w:sz w:val="32"/>
              </w:rPr>
              <w:t>服务保障人员</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须对本项目组成领导协调小组和现场处置小组：</w:t>
            </w:r>
          </w:p>
          <w:p>
            <w:pPr>
              <w:pStyle w:val="null3"/>
              <w:ind w:firstLine="480"/>
              <w:jc w:val="left"/>
            </w:pPr>
            <w:r>
              <w:rPr>
                <w:rFonts w:ascii="仿宋_GB2312" w:hAnsi="仿宋_GB2312" w:cs="仿宋_GB2312" w:eastAsia="仿宋_GB2312"/>
                <w:sz w:val="32"/>
              </w:rPr>
              <w:t>1、领导协调小组</w:t>
            </w:r>
          </w:p>
          <w:p>
            <w:pPr>
              <w:pStyle w:val="null3"/>
              <w:ind w:firstLine="480"/>
              <w:jc w:val="left"/>
            </w:pPr>
            <w:r>
              <w:rPr>
                <w:rFonts w:ascii="仿宋_GB2312" w:hAnsi="仿宋_GB2312" w:cs="仿宋_GB2312" w:eastAsia="仿宋_GB2312"/>
                <w:sz w:val="32"/>
              </w:rPr>
              <w:t>负责网络通信保障的领导、组织与协调工作，确保网络安全畅通。</w:t>
            </w:r>
          </w:p>
          <w:p>
            <w:pPr>
              <w:pStyle w:val="null3"/>
              <w:ind w:firstLine="480"/>
              <w:jc w:val="left"/>
            </w:pPr>
            <w:r>
              <w:rPr>
                <w:rFonts w:ascii="仿宋_GB2312" w:hAnsi="仿宋_GB2312" w:cs="仿宋_GB2312" w:eastAsia="仿宋_GB2312"/>
                <w:sz w:val="32"/>
              </w:rPr>
              <w:t>负责网络重大故障上报和故障抢修指挥调度工作。</w:t>
            </w:r>
          </w:p>
          <w:p>
            <w:pPr>
              <w:pStyle w:val="null3"/>
              <w:ind w:firstLine="480"/>
              <w:jc w:val="left"/>
            </w:pPr>
            <w:r>
              <w:rPr>
                <w:rFonts w:ascii="仿宋_GB2312" w:hAnsi="仿宋_GB2312" w:cs="仿宋_GB2312" w:eastAsia="仿宋_GB2312"/>
                <w:sz w:val="32"/>
              </w:rPr>
              <w:t>负责制订并组织实施网络应急恢复预案。</w:t>
            </w:r>
          </w:p>
          <w:p>
            <w:pPr>
              <w:pStyle w:val="null3"/>
              <w:ind w:firstLine="480"/>
              <w:jc w:val="left"/>
            </w:pPr>
            <w:r>
              <w:rPr>
                <w:rFonts w:ascii="仿宋_GB2312" w:hAnsi="仿宋_GB2312" w:cs="仿宋_GB2312" w:eastAsia="仿宋_GB2312"/>
                <w:sz w:val="32"/>
              </w:rPr>
              <w:t>负责协调相关单位</w:t>
            </w:r>
            <w:r>
              <w:rPr>
                <w:rFonts w:ascii="仿宋_GB2312" w:hAnsi="仿宋_GB2312" w:cs="仿宋_GB2312" w:eastAsia="仿宋_GB2312"/>
                <w:sz w:val="32"/>
              </w:rPr>
              <w:t>/专业配合完成故障抢修恢复工作。</w:t>
            </w:r>
          </w:p>
          <w:p>
            <w:pPr>
              <w:pStyle w:val="null3"/>
              <w:ind w:firstLine="480"/>
              <w:jc w:val="left"/>
            </w:pPr>
            <w:r>
              <w:rPr>
                <w:rFonts w:ascii="仿宋_GB2312" w:hAnsi="仿宋_GB2312" w:cs="仿宋_GB2312" w:eastAsia="仿宋_GB2312"/>
                <w:sz w:val="32"/>
              </w:rPr>
              <w:t>负责协调业主共同完成故障抢修恢复工作。</w:t>
            </w:r>
          </w:p>
          <w:p>
            <w:pPr>
              <w:pStyle w:val="null3"/>
              <w:ind w:firstLine="480"/>
              <w:jc w:val="left"/>
            </w:pPr>
            <w:r>
              <w:rPr>
                <w:rFonts w:ascii="仿宋_GB2312" w:hAnsi="仿宋_GB2312" w:cs="仿宋_GB2312" w:eastAsia="仿宋_GB2312"/>
                <w:sz w:val="32"/>
              </w:rPr>
              <w:t>负责做好相关网络设施重大通信事件的统计和反馈工作。</w:t>
            </w:r>
          </w:p>
          <w:p>
            <w:pPr>
              <w:pStyle w:val="null3"/>
              <w:ind w:firstLine="480"/>
              <w:jc w:val="left"/>
            </w:pPr>
            <w:r>
              <w:rPr>
                <w:rFonts w:ascii="仿宋_GB2312" w:hAnsi="仿宋_GB2312" w:cs="仿宋_GB2312" w:eastAsia="仿宋_GB2312"/>
                <w:sz w:val="32"/>
              </w:rPr>
              <w:t>2、现场处置小组</w:t>
            </w:r>
          </w:p>
          <w:p>
            <w:pPr>
              <w:pStyle w:val="null3"/>
              <w:ind w:firstLine="480"/>
              <w:jc w:val="left"/>
            </w:pPr>
            <w:r>
              <w:rPr>
                <w:rFonts w:ascii="仿宋_GB2312" w:hAnsi="仿宋_GB2312" w:cs="仿宋_GB2312" w:eastAsia="仿宋_GB2312"/>
                <w:sz w:val="32"/>
              </w:rPr>
              <w:t>负责预案处置方案的修订完善和具体实施。</w:t>
            </w:r>
          </w:p>
          <w:p>
            <w:pPr>
              <w:pStyle w:val="null3"/>
              <w:ind w:firstLine="480"/>
              <w:jc w:val="left"/>
            </w:pPr>
            <w:r>
              <w:rPr>
                <w:rFonts w:ascii="仿宋_GB2312" w:hAnsi="仿宋_GB2312" w:cs="仿宋_GB2312" w:eastAsia="仿宋_GB2312"/>
                <w:sz w:val="32"/>
              </w:rPr>
              <w:t>负责客户端现场通信保障以及重大故障上报和故障应急抢修、电路调</w:t>
            </w:r>
            <w:r>
              <w:rPr>
                <w:rFonts w:ascii="仿宋_GB2312" w:hAnsi="仿宋_GB2312" w:cs="仿宋_GB2312" w:eastAsia="仿宋_GB2312"/>
                <w:sz w:val="32"/>
              </w:rPr>
              <w:t>度</w:t>
            </w:r>
            <w:r>
              <w:rPr>
                <w:rFonts w:ascii="仿宋_GB2312" w:hAnsi="仿宋_GB2312" w:cs="仿宋_GB2312" w:eastAsia="仿宋_GB2312"/>
                <w:sz w:val="32"/>
              </w:rPr>
              <w:t>工作。</w:t>
            </w:r>
          </w:p>
          <w:p>
            <w:pPr>
              <w:pStyle w:val="null3"/>
              <w:ind w:firstLine="480"/>
              <w:jc w:val="left"/>
            </w:pPr>
            <w:r>
              <w:rPr>
                <w:rFonts w:ascii="仿宋_GB2312" w:hAnsi="仿宋_GB2312" w:cs="仿宋_GB2312" w:eastAsia="仿宋_GB2312"/>
                <w:sz w:val="32"/>
              </w:rPr>
              <w:t>负责配合专业中心和客户完成故障抢修工作。</w:t>
            </w:r>
          </w:p>
          <w:p>
            <w:pPr>
              <w:pStyle w:val="null3"/>
              <w:ind w:firstLine="480"/>
              <w:jc w:val="left"/>
            </w:pPr>
            <w:r>
              <w:rPr>
                <w:rFonts w:ascii="仿宋_GB2312" w:hAnsi="仿宋_GB2312" w:cs="仿宋_GB2312" w:eastAsia="仿宋_GB2312"/>
                <w:sz w:val="32"/>
              </w:rPr>
              <w:t>负责做好相关网络设施重大通信事件的统计和反馈工作。。</w:t>
            </w:r>
          </w:p>
          <w:p>
            <w:pPr>
              <w:pStyle w:val="null3"/>
              <w:ind w:firstLine="480"/>
              <w:jc w:val="left"/>
            </w:pPr>
            <w:r>
              <w:rPr>
                <w:rFonts w:ascii="仿宋_GB2312" w:hAnsi="仿宋_GB2312" w:cs="仿宋_GB2312" w:eastAsia="仿宋_GB2312"/>
                <w:sz w:val="32"/>
              </w:rPr>
              <w:t>4)</w:t>
            </w:r>
            <w:r>
              <w:rPr>
                <w:rFonts w:ascii="仿宋_GB2312" w:hAnsi="仿宋_GB2312" w:cs="仿宋_GB2312" w:eastAsia="仿宋_GB2312"/>
              </w:rPr>
              <w:t xml:space="preserve"> </w:t>
            </w:r>
            <w:r>
              <w:rPr>
                <w:rFonts w:ascii="仿宋_GB2312" w:hAnsi="仿宋_GB2312" w:cs="仿宋_GB2312" w:eastAsia="仿宋_GB2312"/>
                <w:sz w:val="32"/>
              </w:rPr>
              <w:t>应急措施</w:t>
            </w:r>
          </w:p>
          <w:p>
            <w:pPr>
              <w:pStyle w:val="null3"/>
              <w:ind w:firstLine="480"/>
              <w:jc w:val="left"/>
            </w:pPr>
            <w:r>
              <w:rPr>
                <w:rFonts w:ascii="仿宋_GB2312" w:hAnsi="仿宋_GB2312" w:cs="仿宋_GB2312" w:eastAsia="仿宋_GB2312"/>
                <w:sz w:val="32"/>
              </w:rPr>
              <w:t>当出现重大事故时，服务商必须启动应急处理流程。重大事故情况包括以下几种情况：</w:t>
            </w:r>
          </w:p>
          <w:p>
            <w:pPr>
              <w:pStyle w:val="null3"/>
              <w:ind w:firstLine="480"/>
              <w:jc w:val="left"/>
            </w:pPr>
            <w:r>
              <w:rPr>
                <w:rFonts w:ascii="仿宋_GB2312" w:hAnsi="仿宋_GB2312" w:cs="仿宋_GB2312" w:eastAsia="仿宋_GB2312"/>
                <w:sz w:val="32"/>
              </w:rPr>
              <w:t>1、大范围网络中断</w:t>
            </w:r>
          </w:p>
          <w:p>
            <w:pPr>
              <w:pStyle w:val="null3"/>
              <w:ind w:firstLine="480"/>
              <w:jc w:val="left"/>
            </w:pPr>
            <w:r>
              <w:rPr>
                <w:rFonts w:ascii="仿宋_GB2312" w:hAnsi="仿宋_GB2312" w:cs="仿宋_GB2312" w:eastAsia="仿宋_GB2312"/>
                <w:sz w:val="32"/>
              </w:rPr>
              <w:t>2、区域性网络崩溃</w:t>
            </w:r>
          </w:p>
          <w:p>
            <w:pPr>
              <w:pStyle w:val="null3"/>
              <w:ind w:firstLine="480"/>
              <w:jc w:val="left"/>
            </w:pPr>
            <w:r>
              <w:rPr>
                <w:rFonts w:ascii="仿宋_GB2312" w:hAnsi="仿宋_GB2312" w:cs="仿宋_GB2312" w:eastAsia="仿宋_GB2312"/>
                <w:sz w:val="32"/>
              </w:rPr>
              <w:t>3、关键业务网络中断</w:t>
            </w:r>
          </w:p>
          <w:p>
            <w:pPr>
              <w:pStyle w:val="null3"/>
              <w:ind w:firstLine="480"/>
              <w:jc w:val="left"/>
            </w:pPr>
            <w:r>
              <w:rPr>
                <w:rFonts w:ascii="仿宋_GB2312" w:hAnsi="仿宋_GB2312" w:cs="仿宋_GB2312" w:eastAsia="仿宋_GB2312"/>
                <w:sz w:val="32"/>
              </w:rPr>
              <w:t>供应商</w:t>
            </w:r>
            <w:r>
              <w:rPr>
                <w:rFonts w:ascii="仿宋_GB2312" w:hAnsi="仿宋_GB2312" w:cs="仿宋_GB2312" w:eastAsia="仿宋_GB2312"/>
                <w:sz w:val="32"/>
              </w:rPr>
              <w:t>采取的运行服务应急方案，进行紧急故障应急处理，快速恢复网络使用为目标，第一时间将网络使用状态恢复到正常，避免或尽量减少因故障而导致的损失。</w:t>
            </w:r>
          </w:p>
          <w:p>
            <w:pPr>
              <w:pStyle w:val="null3"/>
              <w:ind w:firstLine="480"/>
              <w:jc w:val="left"/>
            </w:pPr>
            <w:r>
              <w:rPr>
                <w:rFonts w:ascii="仿宋_GB2312" w:hAnsi="仿宋_GB2312" w:cs="仿宋_GB2312" w:eastAsia="仿宋_GB2312"/>
                <w:sz w:val="32"/>
              </w:rPr>
              <w:t>5)</w:t>
            </w:r>
            <w:r>
              <w:rPr>
                <w:rFonts w:ascii="仿宋_GB2312" w:hAnsi="仿宋_GB2312" w:cs="仿宋_GB2312" w:eastAsia="仿宋_GB2312"/>
              </w:rPr>
              <w:t xml:space="preserve"> </w:t>
            </w:r>
            <w:r>
              <w:rPr>
                <w:rFonts w:ascii="仿宋_GB2312" w:hAnsi="仿宋_GB2312" w:cs="仿宋_GB2312" w:eastAsia="仿宋_GB2312"/>
                <w:sz w:val="32"/>
              </w:rPr>
              <w:t>运营监管</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32"/>
              </w:rPr>
              <w:t>对政府投资项目的运营监管，更加侧重从微观层面进行监督和管理，保障政府投资项目合法合规、科学经济地建设和运营。监管涉及到对项目方方面面的把控，包括项目投资监管、项目建设监管、项目风险监管等。为了更好地达到监管目的，需要从内部和外部进行全方位的监管。在运营监管的程序上，要充分发挥各类程序的实际作用，搭牢制度的笼子，保证监管覆盖全面、落到实处。</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投资监管</w:t>
            </w:r>
          </w:p>
          <w:p>
            <w:pPr>
              <w:pStyle w:val="null3"/>
              <w:ind w:firstLine="480"/>
              <w:jc w:val="left"/>
            </w:pPr>
            <w:r>
              <w:rPr>
                <w:rFonts w:ascii="仿宋_GB2312" w:hAnsi="仿宋_GB2312" w:cs="仿宋_GB2312" w:eastAsia="仿宋_GB2312"/>
                <w:sz w:val="32"/>
              </w:rPr>
              <w:t>监管重点是财政资金的使用和财务会计管理。对政府投资的建设项目进行财政财务监管是财政部门管理基本建设财务的一项重要职能，它是指对有财政性资金安排的建设项目，从初步设计至竣工财务决算整个过程进行资金和财务等方面的监督管理。凡是有财政性资金的建设项目，都必须按财政部门规定的形式进行财务监督。</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建设监管</w:t>
            </w:r>
          </w:p>
          <w:p>
            <w:pPr>
              <w:pStyle w:val="null3"/>
              <w:ind w:firstLine="480"/>
              <w:jc w:val="left"/>
            </w:pPr>
            <w:r>
              <w:rPr>
                <w:rFonts w:ascii="仿宋_GB2312" w:hAnsi="仿宋_GB2312" w:cs="仿宋_GB2312" w:eastAsia="仿宋_GB2312"/>
                <w:sz w:val="32"/>
              </w:rPr>
              <w:t>监管重点是项目的建设过程把控，以确保工程的质量、进度和成本。项目的建设过程包括项目设计、招标投标、设备采购、工程施工、结算签证、完工验收等一系列工作。建设监管是指通过一定的组织形式和工作程序，对建设过程进行监控，以达到保证质量、缩短工期、节约开支、提高效率的目的。</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rPr>
              <w:t xml:space="preserve"> </w:t>
            </w:r>
            <w:r>
              <w:rPr>
                <w:rFonts w:ascii="仿宋_GB2312" w:hAnsi="仿宋_GB2312" w:cs="仿宋_GB2312" w:eastAsia="仿宋_GB2312"/>
                <w:sz w:val="32"/>
              </w:rPr>
              <w:t>风险监管</w:t>
            </w:r>
          </w:p>
          <w:p>
            <w:pPr>
              <w:pStyle w:val="null3"/>
              <w:ind w:firstLine="480"/>
              <w:jc w:val="left"/>
            </w:pPr>
            <w:r>
              <w:rPr>
                <w:rFonts w:ascii="仿宋_GB2312" w:hAnsi="仿宋_GB2312" w:cs="仿宋_GB2312" w:eastAsia="仿宋_GB2312"/>
                <w:sz w:val="32"/>
              </w:rPr>
              <w:t>政府投资项目往往涉及到国计民生、公共安全，在项目推进过程中需要对风险进行实时监管，必要时还须第三方对风险做出评估，在评估结果的基础上做出行政决策。项目风险包括社会风险、财务风险、纪律风险等。</w:t>
            </w:r>
          </w:p>
          <w:p>
            <w:pPr>
              <w:pStyle w:val="null3"/>
              <w:ind w:firstLine="480"/>
              <w:jc w:val="left"/>
            </w:pPr>
            <w:r>
              <w:rPr>
                <w:rFonts w:ascii="仿宋_GB2312" w:hAnsi="仿宋_GB2312" w:cs="仿宋_GB2312" w:eastAsia="仿宋_GB2312"/>
                <w:sz w:val="32"/>
              </w:rPr>
              <w:t>购买服务后的监管过程中，可以通过监测制度，监督引导等手段来监管服务提供方，督促确保其领域内的服务可持续性。</w:t>
            </w:r>
          </w:p>
          <w:p>
            <w:pPr>
              <w:pStyle w:val="null3"/>
              <w:ind w:firstLine="480"/>
              <w:jc w:val="both"/>
            </w:pPr>
            <w:r>
              <w:rPr>
                <w:rFonts w:ascii="仿宋_GB2312" w:hAnsi="仿宋_GB2312" w:cs="仿宋_GB2312" w:eastAsia="仿宋_GB2312"/>
                <w:sz w:val="32"/>
                <w:b/>
              </w:rPr>
              <w:t>5.2</w:t>
            </w:r>
            <w:r>
              <w:rPr>
                <w:rFonts w:ascii="仿宋_GB2312" w:hAnsi="仿宋_GB2312" w:cs="仿宋_GB2312" w:eastAsia="仿宋_GB2312"/>
                <w:b/>
              </w:rPr>
              <w:t xml:space="preserve"> </w:t>
            </w:r>
            <w:r>
              <w:rPr>
                <w:rFonts w:ascii="仿宋_GB2312" w:hAnsi="仿宋_GB2312" w:cs="仿宋_GB2312" w:eastAsia="仿宋_GB2312"/>
                <w:sz w:val="32"/>
                <w:b/>
              </w:rPr>
              <w:t>人员培训方案</w:t>
            </w:r>
          </w:p>
          <w:p>
            <w:pPr>
              <w:pStyle w:val="null3"/>
              <w:ind w:firstLine="480"/>
              <w:jc w:val="left"/>
            </w:pPr>
            <w:r>
              <w:rPr>
                <w:rFonts w:ascii="仿宋_GB2312" w:hAnsi="仿宋_GB2312" w:cs="仿宋_GB2312" w:eastAsia="仿宋_GB2312"/>
                <w:sz w:val="32"/>
              </w:rPr>
              <w:t>1、培训目的</w:t>
            </w:r>
          </w:p>
          <w:p>
            <w:pPr>
              <w:pStyle w:val="null3"/>
              <w:ind w:firstLine="480"/>
              <w:jc w:val="left"/>
            </w:pPr>
            <w:r>
              <w:rPr>
                <w:rFonts w:ascii="仿宋_GB2312" w:hAnsi="仿宋_GB2312" w:cs="仿宋_GB2312" w:eastAsia="仿宋_GB2312"/>
                <w:sz w:val="32"/>
              </w:rPr>
              <w:t>本项目涉及多个系统建设，具有一定的复杂性，培训应组织相关人员分不同层次各有侧重，在系统维护、系统运营等方面培养出相应的合格人员。分层次、分阶段举办各级技术人员以及应用人员进行网络与计算机技术培训。确保项目相关人员对于本项目建设成果的应用。</w:t>
            </w:r>
          </w:p>
          <w:p>
            <w:pPr>
              <w:pStyle w:val="null3"/>
              <w:ind w:firstLine="480"/>
              <w:jc w:val="left"/>
            </w:pPr>
            <w:r>
              <w:rPr>
                <w:rFonts w:ascii="仿宋_GB2312" w:hAnsi="仿宋_GB2312" w:cs="仿宋_GB2312" w:eastAsia="仿宋_GB2312"/>
                <w:sz w:val="32"/>
              </w:rPr>
              <w:t>2、培训对象、内容、时长</w:t>
            </w:r>
          </w:p>
          <w:p>
            <w:pPr>
              <w:pStyle w:val="null3"/>
              <w:ind w:firstLine="480"/>
              <w:jc w:val="left"/>
            </w:pPr>
            <w:r>
              <w:rPr>
                <w:rFonts w:ascii="仿宋_GB2312" w:hAnsi="仿宋_GB2312" w:cs="仿宋_GB2312" w:eastAsia="仿宋_GB2312"/>
                <w:sz w:val="32"/>
              </w:rPr>
              <w:t>1）培训对象</w:t>
            </w:r>
          </w:p>
          <w:p>
            <w:pPr>
              <w:pStyle w:val="null3"/>
              <w:ind w:firstLine="480"/>
              <w:jc w:val="left"/>
            </w:pPr>
            <w:r>
              <w:rPr>
                <w:rFonts w:ascii="仿宋_GB2312" w:hAnsi="仿宋_GB2312" w:cs="仿宋_GB2312" w:eastAsia="仿宋_GB2312"/>
                <w:sz w:val="32"/>
              </w:rPr>
              <w:t>面向使用人员、运行维护人员以及最终用户等提供分类培训。</w:t>
            </w:r>
          </w:p>
          <w:p>
            <w:pPr>
              <w:pStyle w:val="null3"/>
              <w:ind w:firstLine="480"/>
              <w:jc w:val="left"/>
            </w:pPr>
            <w:r>
              <w:rPr>
                <w:rFonts w:ascii="仿宋_GB2312" w:hAnsi="仿宋_GB2312" w:cs="仿宋_GB2312" w:eastAsia="仿宋_GB2312"/>
                <w:sz w:val="32"/>
              </w:rPr>
              <w:t>2）培训内容</w:t>
            </w:r>
          </w:p>
          <w:p>
            <w:pPr>
              <w:pStyle w:val="null3"/>
              <w:ind w:firstLine="480"/>
              <w:jc w:val="left"/>
            </w:pPr>
            <w:r>
              <w:rPr>
                <w:rFonts w:ascii="仿宋_GB2312" w:hAnsi="仿宋_GB2312" w:cs="仿宋_GB2312" w:eastAsia="仿宋_GB2312"/>
                <w:sz w:val="32"/>
              </w:rPr>
              <w:t>1.</w:t>
            </w:r>
            <w:r>
              <w:rPr>
                <w:rFonts w:ascii="仿宋_GB2312" w:hAnsi="仿宋_GB2312" w:cs="仿宋_GB2312" w:eastAsia="仿宋_GB2312"/>
              </w:rPr>
              <w:t xml:space="preserve"> </w:t>
            </w:r>
            <w:r>
              <w:rPr>
                <w:rFonts w:ascii="仿宋_GB2312" w:hAnsi="仿宋_GB2312" w:cs="仿宋_GB2312" w:eastAsia="仿宋_GB2312"/>
                <w:sz w:val="32"/>
              </w:rPr>
              <w:t>技术和管理培训</w:t>
            </w:r>
          </w:p>
          <w:p>
            <w:pPr>
              <w:pStyle w:val="null3"/>
              <w:ind w:firstLine="480"/>
              <w:jc w:val="left"/>
            </w:pPr>
            <w:r>
              <w:rPr>
                <w:rFonts w:ascii="仿宋_GB2312" w:hAnsi="仿宋_GB2312" w:cs="仿宋_GB2312" w:eastAsia="仿宋_GB2312"/>
                <w:sz w:val="32"/>
              </w:rPr>
              <w:t>对于项目各类系统的使用人员及运营维护人员，以保证系统的正常运行、技术支持和维护的需要。根据实际需要，接受培训的人员在专业技术人员的指导下，参加系统培训。培训分为两个层次，对系统管理人员培训的主要目的是让相关技术骨干掌握系统的体系结构，基本能够担负起系统的运行管理、系统维护及部分</w:t>
            </w:r>
          </w:p>
          <w:p>
            <w:pPr>
              <w:pStyle w:val="null3"/>
              <w:ind w:firstLine="480"/>
              <w:jc w:val="left"/>
            </w:pPr>
            <w:r>
              <w:rPr>
                <w:rFonts w:ascii="仿宋_GB2312" w:hAnsi="仿宋_GB2312" w:cs="仿宋_GB2312" w:eastAsia="仿宋_GB2312"/>
                <w:sz w:val="32"/>
              </w:rPr>
              <w:t xml:space="preserve"> </w:t>
            </w:r>
            <w:r>
              <w:rPr>
                <w:rFonts w:ascii="仿宋_GB2312" w:hAnsi="仿宋_GB2312" w:cs="仿宋_GB2312" w:eastAsia="仿宋_GB2312"/>
                <w:sz w:val="32"/>
              </w:rPr>
              <w:t>开发工作；对一般工作人员也提供较完善的计算机应用培训，使他们可以很好的完成本职工作。接受培训的人员在培训后应能独立完成相应的技术工作，并能达到回本单位后继续作培训的能力。</w:t>
            </w:r>
          </w:p>
          <w:p>
            <w:pPr>
              <w:pStyle w:val="null3"/>
              <w:ind w:firstLine="480"/>
              <w:jc w:val="left"/>
            </w:pPr>
            <w:r>
              <w:rPr>
                <w:rFonts w:ascii="仿宋_GB2312" w:hAnsi="仿宋_GB2312" w:cs="仿宋_GB2312" w:eastAsia="仿宋_GB2312"/>
                <w:sz w:val="32"/>
              </w:rPr>
              <w:t>2.</w:t>
            </w:r>
            <w:r>
              <w:rPr>
                <w:rFonts w:ascii="仿宋_GB2312" w:hAnsi="仿宋_GB2312" w:cs="仿宋_GB2312" w:eastAsia="仿宋_GB2312"/>
              </w:rPr>
              <w:t xml:space="preserve"> </w:t>
            </w:r>
            <w:r>
              <w:rPr>
                <w:rFonts w:ascii="仿宋_GB2312" w:hAnsi="仿宋_GB2312" w:cs="仿宋_GB2312" w:eastAsia="仿宋_GB2312"/>
                <w:sz w:val="32"/>
              </w:rPr>
              <w:t>前期培训</w:t>
            </w:r>
          </w:p>
          <w:p>
            <w:pPr>
              <w:pStyle w:val="null3"/>
              <w:ind w:firstLine="480"/>
              <w:jc w:val="left"/>
            </w:pPr>
            <w:r>
              <w:rPr>
                <w:rFonts w:ascii="仿宋_GB2312" w:hAnsi="仿宋_GB2312" w:cs="仿宋_GB2312" w:eastAsia="仿宋_GB2312"/>
                <w:sz w:val="32"/>
              </w:rPr>
              <w:t>项目前期培训的主要培训内容包括系统的管理思想、系统的设计框架、系统的基本功能及流程、系统各子模块的详细功能。培训目的是让用户对信息系统功能有一个较为全面的了解，以便在实际工作过程中将工作与应用信息系统提供的功能结合起来。</w:t>
            </w:r>
          </w:p>
          <w:p>
            <w:pPr>
              <w:pStyle w:val="null3"/>
              <w:ind w:firstLine="480"/>
              <w:jc w:val="left"/>
            </w:pPr>
            <w:r>
              <w:rPr>
                <w:rFonts w:ascii="仿宋_GB2312" w:hAnsi="仿宋_GB2312" w:cs="仿宋_GB2312" w:eastAsia="仿宋_GB2312"/>
                <w:sz w:val="32"/>
              </w:rPr>
              <w:t>3.</w:t>
            </w:r>
            <w:r>
              <w:rPr>
                <w:rFonts w:ascii="仿宋_GB2312" w:hAnsi="仿宋_GB2312" w:cs="仿宋_GB2312" w:eastAsia="仿宋_GB2312"/>
              </w:rPr>
              <w:t xml:space="preserve"> </w:t>
            </w:r>
            <w:r>
              <w:rPr>
                <w:rFonts w:ascii="仿宋_GB2312" w:hAnsi="仿宋_GB2312" w:cs="仿宋_GB2312" w:eastAsia="仿宋_GB2312"/>
                <w:sz w:val="32"/>
              </w:rPr>
              <w:t>操作培训</w:t>
            </w:r>
          </w:p>
          <w:p>
            <w:pPr>
              <w:pStyle w:val="null3"/>
              <w:ind w:firstLine="480"/>
              <w:jc w:val="left"/>
            </w:pPr>
            <w:r>
              <w:rPr>
                <w:rFonts w:ascii="仿宋_GB2312" w:hAnsi="仿宋_GB2312" w:cs="仿宋_GB2312" w:eastAsia="仿宋_GB2312"/>
                <w:sz w:val="32"/>
              </w:rPr>
              <w:t>主要是面向操作人员，培训系统的规范化操作流程，系统的功能和操作方法、系统操作过程中应注意事项等等。</w:t>
            </w:r>
          </w:p>
          <w:p>
            <w:pPr>
              <w:pStyle w:val="null3"/>
              <w:ind w:firstLine="480"/>
              <w:jc w:val="left"/>
            </w:pPr>
            <w:r>
              <w:rPr>
                <w:rFonts w:ascii="仿宋_GB2312" w:hAnsi="仿宋_GB2312" w:cs="仿宋_GB2312" w:eastAsia="仿宋_GB2312"/>
                <w:sz w:val="32"/>
              </w:rPr>
              <w:t>4.</w:t>
            </w:r>
            <w:r>
              <w:rPr>
                <w:rFonts w:ascii="仿宋_GB2312" w:hAnsi="仿宋_GB2312" w:cs="仿宋_GB2312" w:eastAsia="仿宋_GB2312"/>
              </w:rPr>
              <w:t xml:space="preserve"> </w:t>
            </w:r>
            <w:r>
              <w:rPr>
                <w:rFonts w:ascii="仿宋_GB2312" w:hAnsi="仿宋_GB2312" w:cs="仿宋_GB2312" w:eastAsia="仿宋_GB2312"/>
                <w:sz w:val="32"/>
              </w:rPr>
              <w:t>系统维护人员培训</w:t>
            </w:r>
          </w:p>
          <w:p>
            <w:pPr>
              <w:pStyle w:val="null3"/>
              <w:ind w:firstLine="480"/>
              <w:jc w:val="left"/>
            </w:pPr>
            <w:r>
              <w:rPr>
                <w:rFonts w:ascii="仿宋_GB2312" w:hAnsi="仿宋_GB2312" w:cs="仿宋_GB2312" w:eastAsia="仿宋_GB2312"/>
                <w:sz w:val="32"/>
              </w:rPr>
              <w:t>面向单位信息管理部门，包括系统的权限设置、系统的日常维护和系统初始启动设置。通常安排在软件实施的初期。</w:t>
            </w:r>
          </w:p>
        </w:tc>
      </w:tr>
    </w:tbl>
    <w:p>
      <w:pPr>
        <w:pStyle w:val="null3"/>
        <w:jc w:val="left"/>
      </w:pPr>
      <w:r>
        <w:rPr>
          <w:rFonts w:ascii="仿宋_GB2312" w:hAnsi="仿宋_GB2312" w:cs="仿宋_GB2312" w:eastAsia="仿宋_GB2312"/>
        </w:rPr>
        <w:t>标的名称：C23120100-计算机设备维修和保养服务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同C23119900-其他租赁服务参数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1.预算金额：人民币6498480.00元/年</w:t>
            </w:r>
          </w:p>
          <w:p>
            <w:pPr>
              <w:pStyle w:val="null3"/>
              <w:jc w:val="left"/>
            </w:pPr>
            <w:r>
              <w:rPr>
                <w:rFonts w:ascii="仿宋_GB2312" w:hAnsi="仿宋_GB2312" w:cs="仿宋_GB2312" w:eastAsia="仿宋_GB2312"/>
              </w:rPr>
              <w:t>2.资金来源：政府财政资金</w:t>
            </w:r>
          </w:p>
          <w:p>
            <w:pPr>
              <w:pStyle w:val="null3"/>
              <w:jc w:val="left"/>
            </w:pPr>
            <w:r>
              <w:rPr>
                <w:rFonts w:ascii="仿宋_GB2312" w:hAnsi="仿宋_GB2312" w:cs="仿宋_GB2312" w:eastAsia="仿宋_GB2312"/>
              </w:rPr>
              <w:t>3.服务期限：三年</w:t>
            </w:r>
          </w:p>
          <w:p>
            <w:pPr>
              <w:pStyle w:val="null3"/>
              <w:jc w:val="left"/>
            </w:pPr>
            <w:r>
              <w:rPr>
                <w:rFonts w:ascii="仿宋_GB2312" w:hAnsi="仿宋_GB2312" w:cs="仿宋_GB2312" w:eastAsia="仿宋_GB2312"/>
              </w:rPr>
              <w:t>4.工    期：2025年6月底前完成建设并开始提供服务</w:t>
            </w:r>
          </w:p>
          <w:p>
            <w:pPr>
              <w:pStyle w:val="null3"/>
              <w:jc w:val="left"/>
            </w:pPr>
            <w:r>
              <w:rPr>
                <w:rFonts w:ascii="仿宋_GB2312" w:hAnsi="仿宋_GB2312" w:cs="仿宋_GB2312" w:eastAsia="仿宋_GB2312"/>
              </w:rPr>
              <w:t>5.交付地点：采购人指定地点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项目成果的所有权、知识产权等归甲方所有，乙方对研究中形成的最终成果负有保密责任，未经甲方事先书面同意，乙方不得以任何形式发布或用作任何其他用途。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根据中华人民共和国财政部令第102号《政府购买服务管理办法》规定，公益一类事业单位、使用事业编制且由财政拨款保障的群团组织，不作为政府购买服务的购买主体和承接主体</w:t>
            </w:r>
          </w:p>
        </w:tc>
        <w:tc>
          <w:tcPr>
            <w:tcW w:type="dxa" w:w="3322"/>
          </w:tcPr>
          <w:p>
            <w:pPr>
              <w:pStyle w:val="null3"/>
              <w:jc w:val="left"/>
            </w:pPr>
            <w:r>
              <w:rPr>
                <w:rFonts w:ascii="仿宋_GB2312" w:hAnsi="仿宋_GB2312" w:cs="仿宋_GB2312" w:eastAsia="仿宋_GB2312"/>
              </w:rPr>
              <w:t>公益一类事业单位、使用事业编制且由财政拨款保障的群团组织参与本项目，将被拒绝。</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w:t>
            </w:r>
          </w:p>
        </w:tc>
        <w:tc>
          <w:tcPr>
            <w:tcW w:type="dxa" w:w="3322"/>
          </w:tcPr>
          <w:p>
            <w:pPr>
              <w:pStyle w:val="null3"/>
              <w:jc w:val="left"/>
            </w:pPr>
            <w:r>
              <w:rPr>
                <w:rFonts w:ascii="仿宋_GB2312" w:hAnsi="仿宋_GB2312" w:cs="仿宋_GB2312" w:eastAsia="仿宋_GB2312"/>
              </w:rPr>
              <w:t>投标人应具备《基础电信业务经营许可证》或《增值电信业务经营许可证》(提供许可证复印件加盖公章)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提供承诺书。</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评审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提供了符合招标文件要求的《政府采购供应商信用承诺书》。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 投标人诚信承诺书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投标人诚信承诺书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线路服务方案</w:t>
            </w:r>
          </w:p>
        </w:tc>
        <w:tc>
          <w:tcPr>
            <w:tcW w:type="dxa" w:w="2492"/>
          </w:tcPr>
          <w:p>
            <w:pPr>
              <w:pStyle w:val="null3"/>
              <w:jc w:val="both"/>
            </w:pPr>
            <w:r>
              <w:rPr>
                <w:rFonts w:ascii="仿宋_GB2312" w:hAnsi="仿宋_GB2312" w:cs="仿宋_GB2312" w:eastAsia="仿宋_GB2312"/>
              </w:rPr>
              <w:t>投标人应针对本项目编制切实可行的服务方案，方案包括但不限于： ①采购需求应答 ②网络管理方案 ③网络割接方案 方案中包含以上3个要素且上述内容完整、切实可行的得9分，每缺少一项扣3分，有一处缺陷扣1分，本方案满分9分。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投标人应针对本项目编制切实可行的项目实施方案，方案包括但不限于： ①人员组织管理 ②项目进度计划 ③质量控制管理 方案中包含以上3个要素且上述内容完整、切实可行的得9分，每缺少一项扣3分，有一处缺陷扣1分，本方案满分9分。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售后运维方案</w:t>
            </w:r>
          </w:p>
        </w:tc>
        <w:tc>
          <w:tcPr>
            <w:tcW w:type="dxa" w:w="2492"/>
          </w:tcPr>
          <w:p>
            <w:pPr>
              <w:pStyle w:val="null3"/>
              <w:jc w:val="both"/>
            </w:pPr>
            <w:r>
              <w:rPr>
                <w:rFonts w:ascii="仿宋_GB2312" w:hAnsi="仿宋_GB2312" w:cs="仿宋_GB2312" w:eastAsia="仿宋_GB2312"/>
              </w:rPr>
              <w:t>投标人应针对本项目编制切实可行的售后服务方案，方案包括但不限于： ①服务承诺 ②服务体系 ③机构配置 ④工作流程 进行评审：方案中包含以上4个要素且上述内容完整、切实可行的得12分，每缺少一项扣3分，有一处缺陷扣1分，本方案满分12分。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投标人应针对本项目编制切实可行的应急保障方案，方案包括但不限于： ①应急人员配备 ②故障响应 ③运行维护服务 ④服务保障方案 方案中包含以上4个要素且上述内容完整、切实可行的得12分，每缺少一项扣3分，有一处缺陷扣1分，本方案满分12分。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投标人应针对本项目编制切实可行的培训，方案包括但不限于： ①培训大纲 ②培训计划 ③培训对象 ④培训保障 方案中包含以上4个要素且上述内容完整、切实可行的得8分，每缺少一项扣2分，有一处缺陷扣1分，本方案满分8分。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投标人2022年1月1日至今，每承接过一个专线租用类项目业绩的得1.5分，本项满分9分； 证明材料：提供合同复印件加盖单位公章，不提供不得分。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投标人拟投入本项目的项目经理1人，具有： （1）信息系统项目管理师证书； （2）网络工程师证书； （3）信息安全工程师证书； （4）信息系统运维管理工程师证书； 以上证书每提供一个得1分，满分4分。（提供证书复印件并加盖投标人公章；提供投标人为该持证人员缴纳2024年至今任意3个月的社保记录并加盖公章。）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拟派人员一览表</w:t>
            </w:r>
          </w:p>
        </w:tc>
      </w:tr>
      <w:tr>
        <w:tc>
          <w:tcPr>
            <w:tcW w:type="dxa" w:w="831"/>
            <w:vMerge/>
          </w:tcPr>
          <w:p/>
        </w:tc>
        <w:tc>
          <w:tcPr>
            <w:tcW w:type="dxa" w:w="1661"/>
          </w:tcPr>
          <w:p>
            <w:pPr>
              <w:pStyle w:val="null3"/>
              <w:jc w:val="both"/>
            </w:pPr>
            <w:r>
              <w:rPr>
                <w:rFonts w:ascii="仿宋_GB2312" w:hAnsi="仿宋_GB2312" w:cs="仿宋_GB2312" w:eastAsia="仿宋_GB2312"/>
              </w:rPr>
              <w:t>投标人团队实力（2）</w:t>
            </w:r>
          </w:p>
        </w:tc>
        <w:tc>
          <w:tcPr>
            <w:tcW w:type="dxa" w:w="2492"/>
          </w:tcPr>
          <w:p>
            <w:pPr>
              <w:pStyle w:val="null3"/>
              <w:jc w:val="both"/>
            </w:pPr>
            <w:r>
              <w:rPr>
                <w:rFonts w:ascii="仿宋_GB2312" w:hAnsi="仿宋_GB2312" w:cs="仿宋_GB2312" w:eastAsia="仿宋_GB2312"/>
              </w:rPr>
              <w:t>投标人拟投入本项目的技术负责人1人，具有： （1）信息系统项目管理师证书； （2）高级通信工程师证书； （3）网络工程师证书； 以上证书每提供一个得1分，满分3分。（提供证书复印件并加盖公章；提供投标人为该持证人员缴纳2024年至今任意3个月的社保记录并加盖公章。）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拟派人员一览表</w:t>
            </w:r>
          </w:p>
        </w:tc>
      </w:tr>
      <w:tr>
        <w:tc>
          <w:tcPr>
            <w:tcW w:type="dxa" w:w="831"/>
            <w:vMerge/>
          </w:tcPr>
          <w:p/>
        </w:tc>
        <w:tc>
          <w:tcPr>
            <w:tcW w:type="dxa" w:w="1661"/>
          </w:tcPr>
          <w:p>
            <w:pPr>
              <w:pStyle w:val="null3"/>
              <w:jc w:val="both"/>
            </w:pPr>
            <w:r>
              <w:rPr>
                <w:rFonts w:ascii="仿宋_GB2312" w:hAnsi="仿宋_GB2312" w:cs="仿宋_GB2312" w:eastAsia="仿宋_GB2312"/>
              </w:rPr>
              <w:t>投标人团队实力（3）</w:t>
            </w:r>
          </w:p>
        </w:tc>
        <w:tc>
          <w:tcPr>
            <w:tcW w:type="dxa" w:w="2492"/>
          </w:tcPr>
          <w:p>
            <w:pPr>
              <w:pStyle w:val="null3"/>
              <w:jc w:val="both"/>
            </w:pPr>
            <w:r>
              <w:rPr>
                <w:rFonts w:ascii="仿宋_GB2312" w:hAnsi="仿宋_GB2312" w:cs="仿宋_GB2312" w:eastAsia="仿宋_GB2312"/>
              </w:rPr>
              <w:t>投标人提供售后支撑服务，且投入本项目的售后服务人员中具有专业化的线路技术维护能力： 每有一人具有光缆线务员或线务员证书的得0.6分，（同一人提供多个证书也只记0.6分，不重复计分），满分24分； （须提供以上人员国家工业和信息化部或人力资源和社会保障部等职业技能相关认证证书和提供投标人为该持证人员缴纳2024年至今任意3个月的社保记录并加盖公章）</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拟派人员一览表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[HNJY-SYC]20250300001-1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三亚市教育城域网（含校园网）升级光纤专线租用服务项目(二次)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三亚市教育城域网（含校园网）升级光纤专线租用服务项目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C23119900-其他租赁服务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C23120100-计算机设备维修和保养服务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998480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详见附件：拟派人员一览表</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