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86274">
      <w:pPr>
        <w:pStyle w:val="3"/>
        <w:numPr>
          <w:ilvl w:val="0"/>
          <w:numId w:val="0"/>
        </w:numPr>
        <w:ind w:leftChars="200"/>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采购需求</w:t>
      </w:r>
    </w:p>
    <w:p w14:paraId="7A72F9DF">
      <w:pPr>
        <w:numPr>
          <w:ilvl w:val="0"/>
          <w:numId w:val="0"/>
        </w:numPr>
        <w:ind w:left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1.项目宣传策划与执行需求</w:t>
      </w:r>
    </w:p>
    <w:tbl>
      <w:tblPr>
        <w:tblStyle w:val="5"/>
        <w:tblW w:w="13946"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2"/>
        <w:gridCol w:w="1189"/>
        <w:gridCol w:w="1170"/>
        <w:gridCol w:w="1162"/>
        <w:gridCol w:w="720"/>
        <w:gridCol w:w="908"/>
        <w:gridCol w:w="8115"/>
      </w:tblGrid>
      <w:tr w14:paraId="42342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82" w:type="dxa"/>
            <w:tcBorders>
              <w:top w:val="single" w:color="000000" w:sz="8" w:space="0"/>
              <w:left w:val="single" w:color="000000" w:sz="8" w:space="0"/>
              <w:bottom w:val="single" w:color="000000" w:sz="4" w:space="0"/>
              <w:right w:val="single" w:color="000000" w:sz="4" w:space="0"/>
            </w:tcBorders>
            <w:noWrap w:val="0"/>
            <w:vAlign w:val="center"/>
          </w:tcPr>
          <w:p w14:paraId="752A09EA">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89" w:type="dxa"/>
            <w:tcBorders>
              <w:top w:val="single" w:color="000000" w:sz="8" w:space="0"/>
              <w:left w:val="single" w:color="000000" w:sz="4" w:space="0"/>
              <w:bottom w:val="single" w:color="000000" w:sz="4" w:space="0"/>
              <w:right w:val="single" w:color="000000" w:sz="4" w:space="0"/>
            </w:tcBorders>
            <w:noWrap w:val="0"/>
            <w:vAlign w:val="center"/>
          </w:tcPr>
          <w:p w14:paraId="17ECB340">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w:t>
            </w:r>
          </w:p>
        </w:tc>
        <w:tc>
          <w:tcPr>
            <w:tcW w:w="1170" w:type="dxa"/>
            <w:tcBorders>
              <w:top w:val="single" w:color="000000" w:sz="8" w:space="0"/>
              <w:left w:val="single" w:color="000000" w:sz="4" w:space="0"/>
              <w:bottom w:val="single" w:color="000000" w:sz="4" w:space="0"/>
              <w:right w:val="single" w:color="000000" w:sz="4" w:space="0"/>
            </w:tcBorders>
            <w:noWrap w:val="0"/>
            <w:vAlign w:val="center"/>
          </w:tcPr>
          <w:p w14:paraId="02E32F80">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服务时间</w:t>
            </w:r>
          </w:p>
        </w:tc>
        <w:tc>
          <w:tcPr>
            <w:tcW w:w="1162" w:type="dxa"/>
            <w:tcBorders>
              <w:top w:val="single" w:color="000000" w:sz="8" w:space="0"/>
              <w:left w:val="single" w:color="000000" w:sz="4" w:space="0"/>
              <w:bottom w:val="single" w:color="000000" w:sz="4" w:space="0"/>
              <w:right w:val="single" w:color="000000" w:sz="4" w:space="0"/>
            </w:tcBorders>
            <w:noWrap w:val="0"/>
            <w:vAlign w:val="center"/>
          </w:tcPr>
          <w:p w14:paraId="7629B73A">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开展地点</w:t>
            </w:r>
          </w:p>
        </w:tc>
        <w:tc>
          <w:tcPr>
            <w:tcW w:w="720" w:type="dxa"/>
            <w:tcBorders>
              <w:top w:val="single" w:color="000000" w:sz="8" w:space="0"/>
              <w:left w:val="single" w:color="000000" w:sz="4" w:space="0"/>
              <w:bottom w:val="single" w:color="000000" w:sz="4" w:space="0"/>
              <w:right w:val="single" w:color="000000" w:sz="4" w:space="0"/>
            </w:tcBorders>
            <w:noWrap w:val="0"/>
            <w:vAlign w:val="center"/>
          </w:tcPr>
          <w:p w14:paraId="0150E52F">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908" w:type="dxa"/>
            <w:tcBorders>
              <w:top w:val="single" w:color="000000" w:sz="8" w:space="0"/>
              <w:left w:val="single" w:color="000000" w:sz="4" w:space="0"/>
              <w:bottom w:val="single" w:color="000000" w:sz="4" w:space="0"/>
              <w:right w:val="single" w:color="000000" w:sz="4" w:space="0"/>
            </w:tcBorders>
            <w:noWrap w:val="0"/>
            <w:vAlign w:val="center"/>
          </w:tcPr>
          <w:p w14:paraId="0AD8EB1E">
            <w:pPr>
              <w:keepNext w:val="0"/>
              <w:keepLines w:val="0"/>
              <w:widowControl/>
              <w:suppressLineNumbers w:val="0"/>
              <w:adjustRightInd w:val="0"/>
              <w:snapToGrid w:val="0"/>
              <w:spacing w:line="24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8115" w:type="dxa"/>
            <w:tcBorders>
              <w:top w:val="single" w:color="000000" w:sz="8" w:space="0"/>
              <w:left w:val="nil"/>
              <w:bottom w:val="nil"/>
              <w:right w:val="single" w:color="000000" w:sz="8" w:space="0"/>
            </w:tcBorders>
            <w:noWrap/>
            <w:vAlign w:val="center"/>
          </w:tcPr>
          <w:p w14:paraId="4C4A83E0">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服务需求</w:t>
            </w:r>
          </w:p>
        </w:tc>
      </w:tr>
      <w:tr w14:paraId="3FC1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0896A7F9">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DA9BE8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项目宣传推广</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398A7863">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6D78D720">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A341178">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1DCE757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1140ED27">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1.氛围营造：通过各分项活动场地内外、公交车广告等宣传“阅见三亚·书香天涯”2025读书季活动信息，发布宣传物料不少于10处。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宣传资料：设计和编辑活动相关图文、海报、宣传手册，并通过多种渠道宣传和推广线上活动，在宣传过程中，要确保活动信息发布的准确性和及时性。提供每场的图片直播、线上直播、摄影摄像、短视频服务，含活动预热宣传片、总结宣传片等不少于45条1分钟的活动宣传视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3.媒体宣传：中央媒体宣传不少于4家，宣传报道不少于20条、地方媒体宣传不少于6家，宣传报道不少于100条、网络媒体不少于8家，宣传报道不少于50条，阅读/播放量不少于200万人次。</w:t>
            </w:r>
          </w:p>
        </w:tc>
      </w:tr>
      <w:tr w14:paraId="4518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7C0F030D">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2660FE3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项目策划与执行</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49FAD1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65B56E0E">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9708843">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3F113A2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39D1335D">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1.组织执行：制定详细的活动方案和流程，包括但不限于明确活动主题，各环节的责任人、责任事项、时间节点等活动执行过程中，要注重协调和沟通，确保活动的顺利进行。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2.项目时间：2025年4月—7月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3.活动对象：对全市各区市民及游客进行全覆盖。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4.活动内容：包括但不限于传统文化、艺术鉴赏、科普研学、文旅融合、非遗手工、名家讲座及文化交流会等。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5.活动形式：线上+线下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6.活动场次：不少于60场次，其中参与人数在2万人以上的活动不少于5场。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7.活动规模：参与人数（含参邀嘉宾、选手、工作人员等）20万人，吸引客流（含亲友团、啦啦队、粉丝、观众等）50万人。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8.活动周边：根据三亚市图书馆，乃至三亚文化背景，落地并制作多项文创产品，在活动不同场景进行宣传活动，提升活动影响力落地推广的文创产品不少于5项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9.活动资料：保存所有涉及活动全过程，例如策划、宣传、执行、总结等环节的文档、图片、视频等资料。活动完成后，在项目验收前，所有活动资料提交给馆方留存。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10.安全保障：提前做好活动执行的相关预案，确保活动的安全开展，包括但不限于人员安全、交通安全、消防安全、设备安全等。</w:t>
            </w:r>
          </w:p>
        </w:tc>
      </w:tr>
      <w:tr w14:paraId="6251A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4D2197DF">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29183AD3">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资源联动推广</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3BCF347">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57A44FC6">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33859E7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245BBA4B">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44ABB17A">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1.通过与本地品牌店、商超等机构，设计、包装、改装、联名等形式，制作活动宣传物料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2.本地媒体合作及宣传推广；协会、读书会合作及活动策划；事件营销方案设计。</w:t>
            </w:r>
          </w:p>
        </w:tc>
      </w:tr>
      <w:tr w14:paraId="3B6F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3B8EB8B4">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BD35D5D">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“2025读书季”文创周边</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AB0DDA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76B65DCD">
            <w:pPr>
              <w:adjustRightInd w:val="0"/>
              <w:snapToGrid w:val="0"/>
              <w:spacing w:line="240" w:lineRule="exact"/>
              <w:rPr>
                <w:rFonts w:hint="eastAsia" w:ascii="宋体" w:hAnsi="宋体" w:eastAsia="宋体" w:cs="宋体"/>
                <w:i w:val="0"/>
                <w:iCs w:val="0"/>
                <w:color w:val="000000"/>
                <w:sz w:val="21"/>
                <w:szCs w:val="21"/>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82882A9">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562B7EA7">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12EE6C9F">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围绕活动主题，衍生出如书签、阅读成就纪念徽章、文具等不少于5种文创产品。</w:t>
            </w:r>
          </w:p>
        </w:tc>
      </w:tr>
      <w:tr w14:paraId="184D6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6C40A5A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3446BDF0">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“鹿城十佳阅读点灯人”</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活动</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CFD3CBF">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2025年3-4月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70F9689D">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AD4A01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1605F657">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0D8569B2">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各区（育才生态区）、全市阅读机构推荐及个人自荐产生阅读达人；开通线上投票平台，展示阅读达人信息；组建专家评审团，综合线上投票和专家评审结果，产生10名阅读点灯人；引领阅读时尚，营造良好的全社会阅读氛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2.活动周期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（1）推荐期：以各区（育才生态区）、全市阅读机构及个人自荐形式推荐阅读达人，每区（单位）推荐人数不少于5人，最多10人；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（2）投票期：开辟活动投票页面，展示符合条件的阅读达人的个人介绍、阅读宣言、推荐图书等内容。活动配以宣传片在全市各阅读场所进行轮番播放；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（3）评定期：综合投票数，经专家</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产生“鹿城十佳阅读点灯人”。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（4）公布期：</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完成后，在读书季启动仪式上发布获奖名单；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（5）活动期：“鹿城十佳阅读点灯人”经接受市图书馆的指导培训，积极参与到读书季各项活动中。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3.负责获奖证书、徽章设计及制作。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4.负责获奖者培训及活动参与安排。</w:t>
            </w:r>
          </w:p>
        </w:tc>
      </w:tr>
      <w:tr w14:paraId="030AA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1"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2F2BD7D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47427467">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“4·23”世界读书日暨“阅见三亚·书香天涯”2025读书季系列活动启动仪式</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915B608">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2025年4月23日</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161E17E2">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三亚市图书馆二楼多功能报告厅</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20A1390">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3337978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1E37A0C5">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1.介绍“阅见三亚·书香天涯”2025读书季系列活动，三亚市2025年全民阅读活动发布，为“鹿城十佳阅读点灯人”颁发证书及徽章；点灯人诗歌朗诵；“阅见三亚·书香天涯”2025读书季活动启幕。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2.活动场地布置（三亚市图书馆二楼多功能报告厅）；三亚市2025年全民阅读活动发布；颁奖仪式流程设计及执行；点灯人诗歌朗诵节目策划；启动仪式宣传视频制作等项目相关内容。</w:t>
            </w:r>
          </w:p>
        </w:tc>
      </w:tr>
      <w:tr w14:paraId="4E78A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33B8343B">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46CBC73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“鹿图”三亚市图书馆品牌推介活动</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8FB2514">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24C9C82A">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0B20D0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0DCF60F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525AC00A">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1.现场围绕图书馆核心业务板块，结合图书馆文献借阅、读者培训、文化活动、数字化服务等多项服务的亮点共性，展开多元化主题场景布置，带领大众迅速走进阅读的“书”圈，再发现图书馆。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2.主题场景设计；巡展场地协调（海棠区、吉阳区、天涯区、崖州区）；活动宣传物料设计及制作；现场互动环节策划及执行等项目相关内容。</w:t>
            </w:r>
          </w:p>
        </w:tc>
      </w:tr>
      <w:tr w14:paraId="324C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0E373B07">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F4CFDD4">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主题书市</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657C260">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1FC03CC0">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F8B7E03">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6F9D0F7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2D97BFB8">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在三亚最舒适的季节，走出户外。活动结合年轻人喜爱的元素，让阅读成为最“书适”的生活，打造整个读书季最具影响力的全民阅读活动。其中音乐、推介、营地、沙龙、展览、快闪为阅读季配套活动同步落地书市特别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书市场地布置及展台搭建；书店及文创商家招募；活动策划（音乐、推介、营地、沙龙、展览、快闪等）；公益捐书活动组织；趣味互动环节设计。邀请全市各大书店入驻展台、自拟活动。在书市之外，招募各类型文创商家入驻，并设置若干趣味互动，以及公益捐书等。</w:t>
            </w:r>
          </w:p>
        </w:tc>
      </w:tr>
      <w:tr w14:paraId="6AAC1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5FAAA7B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0FA7A976">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诗词歌赋音乐会</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5189665">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54342A1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9590610">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083518D6">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7B6B764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1.通过音乐和艺术等舞台表现形式，对古诗词改编的古风歌曲；非遗之音：崖州民歌、疍家民歌、军话童谣、黎族民歌等进行精彩演绎。</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2.古诗词改编歌曲演出策划；非遗音乐表演（崖州民歌、疍家民歌、军话童谣、黎族民歌等）；演出场地协调及布置；演出宣传及观众招募等项目相关内容。</w:t>
            </w:r>
          </w:p>
        </w:tc>
      </w:tr>
      <w:tr w14:paraId="52B40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14C6FAE3">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F68183A">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阅读马拉松</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0BA42AB">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205EB852">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26A22B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3D32E509">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4CED76F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1.按照全民阅读“七进”要求，推动阅读活动更加深入基层，15分钟阅读圈惠及更广泛人群。围绕不同主题在“领读人”的引导下朗读、分享，营造轻松、愉快、舒适的阅读氛围感。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2.活动主题设计及领读人招募；阅读圈场地协调（海棠区、吉阳区、天涯区、崖州区）；活动宣传及报名系统开发 ；阅读氛围布置（轻松、愉快、舒适的环境）。</w:t>
            </w:r>
          </w:p>
        </w:tc>
      </w:tr>
      <w:tr w14:paraId="3EC64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5DEFD1E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3819124F">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“史志三亚”主题图书展</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0AA276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7E1D2F61">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D6583E8">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7E00B027">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583A9E93">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1.展出三亚地方文献推荐书目及读本，在典籍里读懂三亚。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2.三亚地方文献书目整理及展品准备；展览场地布置及展台设计；宣传物料设计及制作等项目相关内容。</w:t>
            </w:r>
          </w:p>
        </w:tc>
      </w:tr>
      <w:tr w14:paraId="72868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7074656B">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095FF508">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“诗画三亚”主题作品展</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E910645">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7027C6F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C8D466E">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691988E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666BD3D5">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1.以美术、文学作品等形式征集模式整理出参展作品，分为青少年组、成人组等不同组别进行征集，以笔墨丹青绘就美好新三亚，用书画作品展示三亚城市发展变迁。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2.负责作品征集及</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 xml:space="preserve">；展览场地布置及展品陈列；宣传物料设计及制作等项目相关内容。 </w:t>
            </w:r>
          </w:p>
        </w:tc>
      </w:tr>
      <w:tr w14:paraId="73F70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70871AF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719374F">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“映像三亚”主题作品展</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4A15825">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585F09EF">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3ADDA2B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11833B40">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6E6704F1">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1.用镜头记录三亚城市发展，分为青少年组、成人组两个组别，面向社会广泛征集摄影作品参与</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并展出优秀作品80幅。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2.负责摄影作品征集及</w:t>
            </w:r>
            <w:r>
              <w:rPr>
                <w:rFonts w:hint="eastAsia" w:ascii="宋体" w:hAnsi="宋体" w:cs="宋体"/>
                <w:i w:val="0"/>
                <w:iCs w:val="0"/>
                <w:color w:val="000000"/>
                <w:kern w:val="0"/>
                <w:sz w:val="21"/>
                <w:szCs w:val="21"/>
                <w:u w:val="none"/>
                <w:lang w:val="en-US" w:eastAsia="zh-CN" w:bidi="ar"/>
              </w:rPr>
              <w:t>选树</w:t>
            </w:r>
            <w:r>
              <w:rPr>
                <w:rFonts w:hint="eastAsia" w:ascii="宋体" w:hAnsi="宋体" w:eastAsia="宋体" w:cs="宋体"/>
                <w:i w:val="0"/>
                <w:iCs w:val="0"/>
                <w:color w:val="000000"/>
                <w:kern w:val="0"/>
                <w:sz w:val="21"/>
                <w:szCs w:val="21"/>
                <w:u w:val="none"/>
                <w:lang w:val="en-US" w:eastAsia="zh-CN" w:bidi="ar"/>
              </w:rPr>
              <w:t xml:space="preserve">；展览场地布置及展品陈列；宣传物料设计及制作等项目相关内容。 </w:t>
            </w:r>
          </w:p>
        </w:tc>
      </w:tr>
      <w:tr w14:paraId="7392F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5DF2F37F">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5F699FD6">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朗读快闪</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2C770C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194055D5">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三亚市图书馆、各分馆、旅游景区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30216FE">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06B3590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0DCE88E2">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共读快闪中，带入三亚不同的风景，展示三亚勇担自贸港排头兵的时代风貌。每场阅读内容为有关三亚的诗词或古文节选，在“阅读点灯人”的引领下，共同朗读诗歌；快闪活动过程拍摄视频记录，并通过新媒体传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2.快闪活动策划及执行；三亚诗词及古文节选整理；视频拍摄及新媒体传播。</w:t>
            </w:r>
          </w:p>
        </w:tc>
      </w:tr>
      <w:tr w14:paraId="5A42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24F3131F">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48FB949D">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“鹿城寻迹”户外科普研学</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7E67224B">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713D2686">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6432B1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64B1474E">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6E41F77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丰富“鹿城寻迹”活动品牌内涵，以“跳进课本的旅行”为主题，打破时间和空间的隔断，自过去到现在，自天空到大海，将“万卷书”的课堂置于“万里路”中。在课本的“旅图”中，用文化滋养心灵，在旅途中收获成长，通过四场跨越历史，连通海陆空“三个未来产业”的读书季限定精品户外研学线路，面向全市亲子家庭，每场招募20—25人，由少年人带着“任务单”出发，按图索骥，个性发觉，共同发现构成多维、多面、多姿多彩的三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2.研学线路设计及任务单制作；亲子家庭招募及活动组织；研学场地协调及安全保障。</w:t>
            </w:r>
          </w:p>
        </w:tc>
      </w:tr>
      <w:tr w14:paraId="0C510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31AD0144">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5DB61034">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流动书房</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85A3123">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3B9D5DC0">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三亚城市公交线路</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F9C5BB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67D5BC0F">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4EA4498C">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选取途经景区、学区、高校的公交车、有轨电车和观光游船投放书袋，装有书袋的交通工具就是一个“移动书房”，书袋内的书除经典文学读物外，还将优选和三亚相关的历史、人文、旅游书籍投放（以二维码形式投放），让读者沉浸式阅读城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2.书袋设计及制作；书籍投放（经典文学及三亚相关书籍）；协调市内公交车、有轨电车、观光游船开展合作。 </w:t>
            </w:r>
          </w:p>
        </w:tc>
      </w:tr>
      <w:tr w14:paraId="0F986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7DBC23EE">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423F78A7">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名家分享会</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64AEF4EE">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2025年4-7月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5BC088ED">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三亚市辖区户外场地</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1444C9C">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264C332D">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49F9DC49">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1.邀请文化或旅游领域的知名作家，在三亚最美城市空间，与市民读者共阅美好。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2.邀请知名作家及活动策划；户外场地协调及布置；活动宣传及观众招募。</w:t>
            </w:r>
          </w:p>
        </w:tc>
      </w:tr>
      <w:tr w14:paraId="299ED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82" w:type="dxa"/>
            <w:tcBorders>
              <w:top w:val="single" w:color="000000" w:sz="4" w:space="0"/>
              <w:left w:val="single" w:color="000000" w:sz="8" w:space="0"/>
              <w:bottom w:val="single" w:color="000000" w:sz="4" w:space="0"/>
              <w:right w:val="single" w:color="000000" w:sz="4" w:space="0"/>
            </w:tcBorders>
            <w:noWrap w:val="0"/>
            <w:vAlign w:val="center"/>
          </w:tcPr>
          <w:p w14:paraId="6A4377D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7B89130B">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天涯文心交流会</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58149C95">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2025年5-7月</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14:paraId="19E26D65">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三亚某旅游酒店</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37A3F1B2">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14:paraId="7A5B2C1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w:t>
            </w:r>
          </w:p>
        </w:tc>
        <w:tc>
          <w:tcPr>
            <w:tcW w:w="8115" w:type="dxa"/>
            <w:tcBorders>
              <w:top w:val="single" w:color="000000" w:sz="4" w:space="0"/>
              <w:left w:val="single" w:color="000000" w:sz="4" w:space="0"/>
              <w:bottom w:val="single" w:color="000000" w:sz="4" w:space="0"/>
              <w:right w:val="single" w:color="000000" w:sz="8" w:space="0"/>
            </w:tcBorders>
            <w:noWrap w:val="0"/>
            <w:vAlign w:val="center"/>
          </w:tcPr>
          <w:p w14:paraId="0E13B051">
            <w:pPr>
              <w:keepNext w:val="0"/>
              <w:keepLines w:val="0"/>
              <w:widowControl/>
              <w:suppressLineNumbers w:val="0"/>
              <w:adjustRightInd w:val="0"/>
              <w:snapToGrid w:val="0"/>
              <w:spacing w:line="240" w:lineRule="exact"/>
              <w:jc w:val="left"/>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i w:val="0"/>
                <w:iCs w:val="0"/>
                <w:color w:val="000000"/>
                <w:kern w:val="0"/>
                <w:sz w:val="21"/>
                <w:szCs w:val="21"/>
                <w:u w:val="none"/>
                <w:lang w:val="en-US" w:eastAsia="zh-CN" w:bidi="ar"/>
              </w:rPr>
              <w:t>1.汇聚三亚本土文化专家和学者的力量，借助省内外相关领域著名专家的力量，探讨地方文化的发展与创新、拓展新的文化领域。通过搭建交流平台，激励文艺界深入生活、扎根人民，创作出更多有温度、有深度的优秀作品。同时，</w:t>
            </w:r>
            <w:r>
              <w:rPr>
                <w:rFonts w:hint="eastAsia" w:ascii="宋体" w:hAnsi="宋体" w:eastAsia="宋体" w:cs="宋体"/>
                <w:color w:val="000000"/>
                <w:kern w:val="0"/>
                <w:sz w:val="21"/>
                <w:szCs w:val="21"/>
                <w:lang w:val="en-US" w:eastAsia="zh-CN" w:bidi="ar"/>
              </w:rPr>
              <w:t>面向</w:t>
            </w:r>
            <w:r>
              <w:rPr>
                <w:rFonts w:hint="eastAsia" w:ascii="宋体" w:hAnsi="宋体" w:eastAsia="宋体" w:cs="宋体"/>
                <w:color w:val="000000"/>
                <w:kern w:val="0"/>
                <w:sz w:val="21"/>
                <w:szCs w:val="21"/>
                <w:lang w:eastAsia="zh-CN" w:bidi="ar"/>
              </w:rPr>
              <w:t>社会广泛征集三亚新时期的</w:t>
            </w:r>
            <w:r>
              <w:rPr>
                <w:rFonts w:hint="eastAsia" w:ascii="宋体" w:hAnsi="宋体" w:eastAsia="宋体" w:cs="宋体"/>
                <w:color w:val="000000"/>
                <w:kern w:val="0"/>
                <w:sz w:val="21"/>
                <w:szCs w:val="21"/>
                <w:lang w:val="en-US" w:eastAsia="zh-CN" w:bidi="ar"/>
              </w:rPr>
              <w:t>文化</w:t>
            </w:r>
            <w:r>
              <w:rPr>
                <w:rFonts w:hint="eastAsia" w:ascii="宋体" w:hAnsi="宋体" w:eastAsia="宋体" w:cs="宋体"/>
                <w:color w:val="000000"/>
                <w:kern w:val="0"/>
                <w:sz w:val="21"/>
                <w:szCs w:val="21"/>
                <w:lang w:eastAsia="zh-CN" w:bidi="ar"/>
              </w:rPr>
              <w:t>发展思路，集萃思想结晶，</w:t>
            </w:r>
            <w:r>
              <w:rPr>
                <w:rFonts w:hint="eastAsia" w:ascii="宋体" w:hAnsi="宋体" w:eastAsia="宋体" w:cs="宋体"/>
                <w:color w:val="000000"/>
                <w:kern w:val="0"/>
                <w:sz w:val="21"/>
                <w:szCs w:val="21"/>
                <w:lang w:val="en-US" w:eastAsia="zh-CN" w:bidi="ar"/>
              </w:rPr>
              <w:t>整合活动交流成果并</w:t>
            </w:r>
            <w:r>
              <w:rPr>
                <w:rFonts w:hint="eastAsia" w:ascii="宋体" w:hAnsi="宋体" w:eastAsia="宋体" w:cs="宋体"/>
                <w:color w:val="000000"/>
                <w:kern w:val="0"/>
                <w:sz w:val="21"/>
                <w:szCs w:val="21"/>
                <w:lang w:eastAsia="zh-CN" w:bidi="ar"/>
              </w:rPr>
              <w:t>结集出版。</w:t>
            </w:r>
          </w:p>
          <w:p w14:paraId="785B3B87">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2.活动策划与执行：活动议题设计及活动流程；活动场地协调及布置；本土文化专家及学者邀请；汇总活动成果结集出版（含编辑、审核、书号等相关费用）。</w:t>
            </w:r>
          </w:p>
        </w:tc>
      </w:tr>
      <w:tr w14:paraId="1B1B5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1" w:type="dxa"/>
            <w:gridSpan w:val="2"/>
            <w:tcBorders>
              <w:top w:val="single" w:color="000000" w:sz="4" w:space="0"/>
              <w:left w:val="single" w:color="000000" w:sz="8" w:space="0"/>
              <w:bottom w:val="single" w:color="000000" w:sz="8" w:space="0"/>
              <w:right w:val="single" w:color="000000" w:sz="4" w:space="0"/>
            </w:tcBorders>
            <w:noWrap w:val="0"/>
            <w:vAlign w:val="center"/>
          </w:tcPr>
          <w:p w14:paraId="729B7BBA">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170" w:type="dxa"/>
            <w:tcBorders>
              <w:top w:val="single" w:color="000000" w:sz="4" w:space="0"/>
              <w:left w:val="single" w:color="000000" w:sz="4" w:space="0"/>
              <w:bottom w:val="single" w:color="000000" w:sz="8" w:space="0"/>
              <w:right w:val="single" w:color="000000" w:sz="4" w:space="0"/>
            </w:tcBorders>
            <w:noWrap w:val="0"/>
            <w:vAlign w:val="center"/>
          </w:tcPr>
          <w:p w14:paraId="7679E240">
            <w:pPr>
              <w:adjustRightInd w:val="0"/>
              <w:snapToGrid w:val="0"/>
              <w:spacing w:line="240" w:lineRule="exact"/>
              <w:rPr>
                <w:rFonts w:hint="eastAsia" w:ascii="宋体" w:hAnsi="宋体" w:eastAsia="宋体" w:cs="宋体"/>
                <w:i w:val="0"/>
                <w:iCs w:val="0"/>
                <w:color w:val="000000"/>
                <w:sz w:val="21"/>
                <w:szCs w:val="21"/>
                <w:u w:val="none"/>
              </w:rPr>
            </w:pPr>
          </w:p>
        </w:tc>
        <w:tc>
          <w:tcPr>
            <w:tcW w:w="1162" w:type="dxa"/>
            <w:tcBorders>
              <w:top w:val="single" w:color="000000" w:sz="4" w:space="0"/>
              <w:left w:val="single" w:color="000000" w:sz="4" w:space="0"/>
              <w:bottom w:val="single" w:color="000000" w:sz="8" w:space="0"/>
              <w:right w:val="single" w:color="000000" w:sz="4" w:space="0"/>
            </w:tcBorders>
            <w:noWrap w:val="0"/>
            <w:vAlign w:val="center"/>
          </w:tcPr>
          <w:p w14:paraId="780104B9">
            <w:pPr>
              <w:adjustRightInd w:val="0"/>
              <w:snapToGrid w:val="0"/>
              <w:spacing w:line="240" w:lineRule="exact"/>
              <w:rPr>
                <w:rFonts w:hint="eastAsia" w:ascii="宋体" w:hAnsi="宋体" w:eastAsia="宋体" w:cs="宋体"/>
                <w:i w:val="0"/>
                <w:iCs w:val="0"/>
                <w:color w:val="000000"/>
                <w:sz w:val="21"/>
                <w:szCs w:val="21"/>
                <w:u w:val="none"/>
              </w:rPr>
            </w:pPr>
          </w:p>
        </w:tc>
        <w:tc>
          <w:tcPr>
            <w:tcW w:w="720" w:type="dxa"/>
            <w:tcBorders>
              <w:top w:val="single" w:color="000000" w:sz="4" w:space="0"/>
              <w:left w:val="single" w:color="000000" w:sz="4" w:space="0"/>
              <w:bottom w:val="single" w:color="000000" w:sz="8" w:space="0"/>
              <w:right w:val="single" w:color="000000" w:sz="4" w:space="0"/>
            </w:tcBorders>
            <w:noWrap w:val="0"/>
            <w:vAlign w:val="center"/>
          </w:tcPr>
          <w:p w14:paraId="483B4371">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60</w:t>
            </w:r>
          </w:p>
        </w:tc>
        <w:tc>
          <w:tcPr>
            <w:tcW w:w="908" w:type="dxa"/>
            <w:tcBorders>
              <w:top w:val="single" w:color="000000" w:sz="4" w:space="0"/>
              <w:left w:val="single" w:color="000000" w:sz="4" w:space="0"/>
              <w:bottom w:val="single" w:color="000000" w:sz="8" w:space="0"/>
              <w:right w:val="single" w:color="000000" w:sz="4" w:space="0"/>
            </w:tcBorders>
            <w:noWrap w:val="0"/>
            <w:vAlign w:val="center"/>
          </w:tcPr>
          <w:p w14:paraId="5BD92364">
            <w:pPr>
              <w:keepNext w:val="0"/>
              <w:keepLines w:val="0"/>
              <w:widowControl/>
              <w:suppressLineNumbers w:val="0"/>
              <w:adjustRightInd w:val="0"/>
              <w:snapToGrid w:val="0"/>
              <w:spacing w:line="24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场（项）</w:t>
            </w:r>
          </w:p>
        </w:tc>
        <w:tc>
          <w:tcPr>
            <w:tcW w:w="8115" w:type="dxa"/>
            <w:tcBorders>
              <w:top w:val="single" w:color="000000" w:sz="4" w:space="0"/>
              <w:left w:val="single" w:color="000000" w:sz="4" w:space="0"/>
              <w:bottom w:val="single" w:color="000000" w:sz="8" w:space="0"/>
              <w:right w:val="single" w:color="000000" w:sz="8" w:space="0"/>
            </w:tcBorders>
            <w:noWrap w:val="0"/>
            <w:vAlign w:val="center"/>
          </w:tcPr>
          <w:p w14:paraId="3AFBF7C6">
            <w:pPr>
              <w:keepNext w:val="0"/>
              <w:keepLines w:val="0"/>
              <w:widowControl/>
              <w:suppressLineNumbers w:val="0"/>
              <w:adjustRightInd w:val="0"/>
              <w:snapToGrid w:val="0"/>
              <w:spacing w:line="24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4项、56场次</w:t>
            </w:r>
          </w:p>
        </w:tc>
      </w:tr>
    </w:tbl>
    <w:p w14:paraId="63EF66AD">
      <w:pPr>
        <w:numPr>
          <w:ilvl w:val="0"/>
          <w:numId w:val="0"/>
        </w:numPr>
        <w:rPr>
          <w:rFonts w:hint="eastAsia" w:ascii="宋体" w:hAnsi="宋体" w:eastAsia="宋体" w:cs="宋体"/>
          <w:sz w:val="32"/>
          <w:szCs w:val="32"/>
          <w:lang w:val="en-US" w:eastAsia="zh-CN"/>
        </w:rPr>
      </w:pPr>
    </w:p>
    <w:p w14:paraId="5EEF7EEB">
      <w:pPr>
        <w:numPr>
          <w:ilvl w:val="0"/>
          <w:numId w:val="0"/>
        </w:numPr>
        <w:rPr>
          <w:rFonts w:hint="eastAsia" w:ascii="宋体" w:hAnsi="宋体" w:eastAsia="宋体" w:cs="宋体"/>
          <w:sz w:val="32"/>
          <w:szCs w:val="32"/>
          <w:lang w:val="en-US" w:eastAsia="zh-CN"/>
        </w:rPr>
      </w:pPr>
    </w:p>
    <w:p w14:paraId="5A225992">
      <w:pPr>
        <w:numPr>
          <w:ilvl w:val="-1"/>
          <w:numId w:val="0"/>
        </w:numPr>
        <w:ind w:leftChars="200" w:firstLine="0" w:firstLineChars="0"/>
        <w:rPr>
          <w:rFonts w:hint="eastAsia" w:ascii="宋体" w:hAnsi="宋体" w:eastAsia="宋体" w:cs="宋体"/>
          <w:sz w:val="32"/>
          <w:szCs w:val="32"/>
          <w:lang w:val="en-US" w:eastAsia="zh-CN"/>
        </w:rPr>
        <w:sectPr>
          <w:footerReference r:id="rId3" w:type="default"/>
          <w:footerReference r:id="rId4" w:type="even"/>
          <w:pgSz w:w="16838" w:h="11906" w:orient="landscape"/>
          <w:pgMar w:top="1134" w:right="1134" w:bottom="1134" w:left="1134" w:header="851" w:footer="1588" w:gutter="0"/>
          <w:cols w:space="720" w:num="1"/>
          <w:docGrid w:type="lines" w:linePitch="312" w:charSpace="0"/>
        </w:sectPr>
      </w:pPr>
    </w:p>
    <w:p w14:paraId="0A0D8096">
      <w:pPr>
        <w:numPr>
          <w:ilvl w:val="-1"/>
          <w:numId w:val="0"/>
        </w:numPr>
        <w:ind w:leftChars="200" w:firstLine="0" w:firstLineChars="0"/>
        <w:rPr>
          <w:rFonts w:hint="eastAsia" w:ascii="宋体" w:hAnsi="宋体" w:eastAsia="宋体" w:cs="宋体"/>
          <w:sz w:val="32"/>
          <w:szCs w:val="32"/>
          <w:lang w:val="en-US" w:eastAsia="zh-CN"/>
        </w:rPr>
      </w:pPr>
    </w:p>
    <w:p w14:paraId="104460EC">
      <w:pPr>
        <w:numPr>
          <w:ilvl w:val="0"/>
          <w:numId w:val="0"/>
        </w:numPr>
        <w:ind w:left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2.项目进度控制需求</w:t>
      </w:r>
    </w:p>
    <w:p w14:paraId="3E767505">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lang w:val="en-US" w:eastAsia="zh-CN"/>
        </w:rPr>
        <w:t>关键节点及控制</w:t>
      </w:r>
    </w:p>
    <w:tbl>
      <w:tblPr>
        <w:tblStyle w:val="5"/>
        <w:tblW w:w="9658"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1"/>
        <w:gridCol w:w="1282"/>
        <w:gridCol w:w="2048"/>
        <w:gridCol w:w="5667"/>
      </w:tblGrid>
      <w:tr w14:paraId="53B4D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 w:hRule="atLeast"/>
        </w:trPr>
        <w:tc>
          <w:tcPr>
            <w:tcW w:w="661"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2EB88572">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282"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3ADC94F0">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关键节点</w:t>
            </w:r>
          </w:p>
        </w:tc>
        <w:tc>
          <w:tcPr>
            <w:tcW w:w="2048"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7B4FFA74">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时间要求</w:t>
            </w:r>
          </w:p>
        </w:tc>
        <w:tc>
          <w:tcPr>
            <w:tcW w:w="5667" w:type="dxa"/>
            <w:tcBorders>
              <w:top w:val="single" w:color="000000" w:sz="8" w:space="0"/>
              <w:left w:val="single" w:color="000000" w:sz="4" w:space="0"/>
              <w:bottom w:val="single" w:color="000000" w:sz="4" w:space="0"/>
              <w:right w:val="single" w:color="000000" w:sz="8" w:space="0"/>
            </w:tcBorders>
            <w:shd w:val="clear" w:color="auto" w:fill="FFFFFF"/>
            <w:vAlign w:val="center"/>
          </w:tcPr>
          <w:p w14:paraId="55B17481">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控制需求</w:t>
            </w:r>
          </w:p>
        </w:tc>
      </w:tr>
      <w:tr w14:paraId="3F05E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C3EBA2E">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141A43">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活动筹备</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DE947">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2025年3月</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35E6BBE5">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完成活动整体策划，细化各项活动实施方案、场地、合作单位；落实项目经费指标；完成工作人员的招募与培训，建立高效沟通机制</w:t>
            </w:r>
          </w:p>
        </w:tc>
      </w:tr>
      <w:tr w14:paraId="351ED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5C51D3">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325EB">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 xml:space="preserve">“鹿城十佳阅读点灯人” </w:t>
            </w:r>
            <w:r>
              <w:rPr>
                <w:rFonts w:hint="eastAsia" w:ascii="宋体" w:hAnsi="宋体" w:cs="宋体"/>
                <w:i w:val="0"/>
                <w:iCs w:val="0"/>
                <w:color w:val="222222"/>
                <w:kern w:val="0"/>
                <w:sz w:val="21"/>
                <w:szCs w:val="21"/>
                <w:u w:val="none"/>
                <w:lang w:val="en-US" w:eastAsia="zh-CN" w:bidi="ar"/>
              </w:rPr>
              <w:t>选树</w:t>
            </w:r>
            <w:r>
              <w:rPr>
                <w:rFonts w:hint="eastAsia" w:ascii="宋体" w:hAnsi="宋体" w:eastAsia="宋体" w:cs="宋体"/>
                <w:i w:val="0"/>
                <w:iCs w:val="0"/>
                <w:color w:val="222222"/>
                <w:kern w:val="0"/>
                <w:sz w:val="21"/>
                <w:szCs w:val="21"/>
                <w:u w:val="none"/>
                <w:lang w:val="en-US" w:eastAsia="zh-CN" w:bidi="ar"/>
              </w:rPr>
              <w:t>活动</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A42FC5">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2025年3 - 4月</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1BC8E644">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3月完成各区（育才生态区）及各单位人员推荐、个人推荐，搭建线上投票平台并展示入围者信息；4 月结合投票与专家评审确定名单并发布</w:t>
            </w:r>
          </w:p>
        </w:tc>
      </w:tr>
      <w:tr w14:paraId="4A427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4742377">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4CD954">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活动启动仪式筹备</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819FE">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2025年4月1 -22日</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137F973D">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确定仪式流程、参与人员；完成场地布置、设备调试及活动准备；准备宣传预热资料，通过多渠道发布</w:t>
            </w:r>
          </w:p>
        </w:tc>
      </w:tr>
      <w:tr w14:paraId="50EE3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111BF3">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0DB8BD">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活动启动仪式举办</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A99899">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2025年4月23日</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4AF920DC">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按计划流程顺利举行；确保现场秩序、设备正常运行；做好相关活动宣传报道</w:t>
            </w:r>
          </w:p>
        </w:tc>
      </w:tr>
      <w:tr w14:paraId="3D914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4"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766281C9">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76EFD">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系列活动开展</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03C84">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2025年4—7月</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4B05EE39">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各项活动按计划时间和地点举办；保障活动质量，有效提升活动质量和效益；做好活动的现场管理和宣传推广</w:t>
            </w:r>
          </w:p>
        </w:tc>
      </w:tr>
      <w:tr w14:paraId="1426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1" w:hRule="atLeast"/>
        </w:trPr>
        <w:tc>
          <w:tcPr>
            <w:tcW w:w="661"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3191A03">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7F7863">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资源联动推广活动</w:t>
            </w:r>
          </w:p>
        </w:tc>
        <w:tc>
          <w:tcPr>
            <w:tcW w:w="2048" w:type="dxa"/>
            <w:tcBorders>
              <w:top w:val="single" w:color="000000" w:sz="4" w:space="0"/>
              <w:left w:val="single" w:color="000000" w:sz="4" w:space="0"/>
              <w:bottom w:val="nil"/>
              <w:right w:val="single" w:color="000000" w:sz="4" w:space="0"/>
            </w:tcBorders>
            <w:shd w:val="clear" w:color="auto" w:fill="FFFFFF"/>
            <w:vAlign w:val="center"/>
          </w:tcPr>
          <w:p w14:paraId="3BCD226A">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征集：2025年4月23日—5月20日</w:t>
            </w:r>
            <w:r>
              <w:rPr>
                <w:rFonts w:hint="eastAsia" w:ascii="宋体" w:hAnsi="宋体" w:eastAsia="宋体" w:cs="宋体"/>
                <w:i w:val="0"/>
                <w:iCs w:val="0"/>
                <w:color w:val="222222"/>
                <w:kern w:val="0"/>
                <w:sz w:val="21"/>
                <w:szCs w:val="21"/>
                <w:u w:val="none"/>
                <w:lang w:val="en-US" w:eastAsia="zh-CN" w:bidi="ar"/>
              </w:rPr>
              <w:br w:type="textWrapping"/>
            </w:r>
            <w:r>
              <w:rPr>
                <w:rFonts w:hint="eastAsia" w:ascii="宋体" w:hAnsi="宋体" w:eastAsia="宋体" w:cs="宋体"/>
                <w:i w:val="0"/>
                <w:iCs w:val="0"/>
                <w:color w:val="222222"/>
                <w:kern w:val="0"/>
                <w:sz w:val="21"/>
                <w:szCs w:val="21"/>
                <w:u w:val="none"/>
                <w:lang w:val="en-US" w:eastAsia="zh-CN" w:bidi="ar"/>
              </w:rPr>
              <w:t>推广：2025年6-7月</w:t>
            </w:r>
          </w:p>
        </w:tc>
        <w:tc>
          <w:tcPr>
            <w:tcW w:w="5667" w:type="dxa"/>
            <w:tcBorders>
              <w:top w:val="single" w:color="000000" w:sz="4" w:space="0"/>
              <w:left w:val="single" w:color="000000" w:sz="4" w:space="0"/>
              <w:bottom w:val="single" w:color="000000" w:sz="4" w:space="0"/>
              <w:right w:val="single" w:color="000000" w:sz="8" w:space="0"/>
            </w:tcBorders>
            <w:shd w:val="clear" w:color="auto" w:fill="FFFFFF"/>
            <w:vAlign w:val="center"/>
          </w:tcPr>
          <w:p w14:paraId="4C742D84">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4月23日-5月20日完成合作对象征集；6 -7月通过多种渠道推广，增强活动体验，持续扩大活动影响力</w:t>
            </w:r>
          </w:p>
        </w:tc>
      </w:tr>
      <w:tr w14:paraId="47B8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661"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143DAE42">
            <w:pPr>
              <w:keepNext w:val="0"/>
              <w:keepLines w:val="0"/>
              <w:pageBreakBefore w:val="0"/>
              <w:widowControl/>
              <w:suppressLineNumbers w:val="0"/>
              <w:kinsoku/>
              <w:wordWrap/>
              <w:overflowPunct/>
              <w:topLinePunct w:val="0"/>
              <w:autoSpaceDE/>
              <w:autoSpaceDN/>
              <w:bidi w:val="0"/>
              <w:adjustRightInd w:val="0"/>
              <w:snapToGrid w:val="0"/>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82" w:type="dxa"/>
            <w:tcBorders>
              <w:top w:val="single" w:color="000000" w:sz="4" w:space="0"/>
              <w:left w:val="single" w:color="000000" w:sz="4" w:space="0"/>
              <w:bottom w:val="single" w:color="000000" w:sz="8" w:space="0"/>
              <w:right w:val="single" w:color="000000" w:sz="4" w:space="0"/>
            </w:tcBorders>
            <w:shd w:val="clear" w:color="auto" w:fill="FFFFFF"/>
            <w:vAlign w:val="center"/>
          </w:tcPr>
          <w:p w14:paraId="75C688CD">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rPr>
            </w:pPr>
            <w:r>
              <w:rPr>
                <w:rFonts w:hint="eastAsia" w:ascii="宋体" w:hAnsi="宋体" w:eastAsia="宋体" w:cs="宋体"/>
                <w:i w:val="0"/>
                <w:iCs w:val="0"/>
                <w:color w:val="222222"/>
                <w:kern w:val="0"/>
                <w:sz w:val="21"/>
                <w:szCs w:val="21"/>
                <w:u w:val="none"/>
                <w:lang w:val="en-US" w:eastAsia="zh-CN" w:bidi="ar"/>
              </w:rPr>
              <w:t>活动总结与收尾</w:t>
            </w:r>
          </w:p>
        </w:tc>
        <w:tc>
          <w:tcPr>
            <w:tcW w:w="2048" w:type="dxa"/>
            <w:tcBorders>
              <w:top w:val="single" w:color="000000" w:sz="4" w:space="0"/>
              <w:left w:val="single" w:color="000000" w:sz="4" w:space="0"/>
              <w:bottom w:val="single" w:color="000000" w:sz="8" w:space="0"/>
              <w:right w:val="single" w:color="000000" w:sz="4" w:space="0"/>
            </w:tcBorders>
            <w:shd w:val="clear" w:color="auto" w:fill="FFFFFF"/>
            <w:vAlign w:val="center"/>
          </w:tcPr>
          <w:p w14:paraId="34ABBD50">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kern w:val="0"/>
                <w:sz w:val="21"/>
                <w:szCs w:val="21"/>
                <w:u w:val="none"/>
                <w:lang w:val="en-US" w:eastAsia="zh-CN" w:bidi="ar"/>
              </w:rPr>
            </w:pPr>
            <w:r>
              <w:rPr>
                <w:rFonts w:hint="eastAsia" w:ascii="宋体" w:hAnsi="宋体" w:eastAsia="宋体" w:cs="宋体"/>
                <w:i w:val="0"/>
                <w:iCs w:val="0"/>
                <w:color w:val="222222"/>
                <w:kern w:val="0"/>
                <w:sz w:val="21"/>
                <w:szCs w:val="21"/>
                <w:u w:val="none"/>
                <w:lang w:val="en-US" w:eastAsia="zh-CN" w:bidi="ar"/>
              </w:rPr>
              <w:t>2025年8月1—15日</w:t>
            </w:r>
          </w:p>
        </w:tc>
        <w:tc>
          <w:tcPr>
            <w:tcW w:w="5667" w:type="dxa"/>
            <w:tcBorders>
              <w:top w:val="single" w:color="000000" w:sz="4" w:space="0"/>
              <w:left w:val="single" w:color="000000" w:sz="4" w:space="0"/>
              <w:bottom w:val="single" w:color="000000" w:sz="8" w:space="0"/>
              <w:right w:val="single" w:color="000000" w:sz="8" w:space="0"/>
            </w:tcBorders>
            <w:shd w:val="clear" w:color="auto" w:fill="FFFFFF"/>
            <w:vAlign w:val="center"/>
          </w:tcPr>
          <w:p w14:paraId="220DDECF">
            <w:pPr>
              <w:keepNext w:val="0"/>
              <w:keepLines w:val="0"/>
              <w:pageBreakBefore w:val="0"/>
              <w:widowControl/>
              <w:suppressLineNumbers w:val="0"/>
              <w:kinsoku/>
              <w:wordWrap/>
              <w:overflowPunct/>
              <w:topLinePunct w:val="0"/>
              <w:autoSpaceDE/>
              <w:autoSpaceDN/>
              <w:bidi w:val="0"/>
              <w:adjustRightInd w:val="0"/>
              <w:snapToGrid w:val="0"/>
              <w:spacing w:line="300" w:lineRule="exact"/>
              <w:jc w:val="left"/>
              <w:textAlignment w:val="center"/>
              <w:rPr>
                <w:rFonts w:hint="eastAsia" w:ascii="宋体" w:hAnsi="宋体" w:eastAsia="宋体" w:cs="宋体"/>
                <w:i w:val="0"/>
                <w:iCs w:val="0"/>
                <w:color w:val="222222"/>
                <w:sz w:val="21"/>
                <w:szCs w:val="21"/>
                <w:u w:val="none"/>
                <w:lang w:val="en-US"/>
              </w:rPr>
            </w:pPr>
            <w:r>
              <w:rPr>
                <w:rFonts w:hint="eastAsia" w:ascii="宋体" w:hAnsi="宋体" w:eastAsia="宋体" w:cs="宋体"/>
                <w:i w:val="0"/>
                <w:iCs w:val="0"/>
                <w:color w:val="222222"/>
                <w:kern w:val="0"/>
                <w:sz w:val="21"/>
                <w:szCs w:val="21"/>
                <w:u w:val="none"/>
                <w:lang w:val="en-US" w:eastAsia="zh-CN" w:bidi="ar"/>
              </w:rPr>
              <w:t>收集活动全过程相关宣传报道资料；整理活动数据，评估活动效果；发布总结新闻稿，展示成果；完成物资清理、项目验收；收集反馈意见，为后续活动改进提供参考</w:t>
            </w:r>
          </w:p>
        </w:tc>
      </w:tr>
    </w:tbl>
    <w:p w14:paraId="751ECD47">
      <w:pPr>
        <w:rPr>
          <w:rFonts w:hint="eastAsia" w:ascii="宋体" w:hAnsi="宋体" w:eastAsia="宋体" w:cs="宋体"/>
          <w:lang w:val="en-US" w:eastAsia="zh-CN"/>
        </w:rPr>
      </w:pPr>
    </w:p>
    <w:p w14:paraId="3F72831E">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lang w:val="en-US" w:eastAsia="zh-CN"/>
        </w:rPr>
        <w:t xml:space="preserve"> 进度监控与调整机制</w:t>
      </w:r>
    </w:p>
    <w:p w14:paraId="2358A94D">
      <w:pPr>
        <w:pStyle w:val="3"/>
        <w:numPr>
          <w:ilvl w:val="0"/>
          <w:numId w:val="0"/>
        </w:numPr>
        <w:bidi w:val="0"/>
        <w:ind w:left="0" w:leftChars="0" w:firstLine="640" w:firstLineChars="20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sz w:val="32"/>
          <w:lang w:val="en-US" w:eastAsia="zh-CN"/>
        </w:rPr>
        <w:t>定期汇报：每周举行工作例会，各活动负责人汇报进展、问题与下周计划；每月提交书面报告，包括活动参与人数、宣传效果、费用使用等数据。</w:t>
      </w:r>
    </w:p>
    <w:p w14:paraId="7D91AD8B">
      <w:pPr>
        <w:pStyle w:val="3"/>
        <w:numPr>
          <w:ilvl w:val="0"/>
          <w:numId w:val="0"/>
        </w:numPr>
        <w:bidi w:val="0"/>
        <w:ind w:left="0" w:leftChars="0" w:firstLine="640" w:firstLineChars="20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sz w:val="32"/>
          <w:lang w:val="en-US" w:eastAsia="zh-CN"/>
        </w:rPr>
        <w:t>进度偏差评估：对比实际与计划进度，偏差超10%时启动评估，分析原因，如资源不足、外部因素干扰等。</w:t>
      </w:r>
    </w:p>
    <w:p w14:paraId="1D070EBB">
      <w:pPr>
        <w:pStyle w:val="3"/>
        <w:numPr>
          <w:ilvl w:val="0"/>
          <w:numId w:val="0"/>
        </w:numPr>
        <w:bidi w:val="0"/>
        <w:ind w:left="0" w:leftChars="0" w:firstLine="640" w:firstLineChars="20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c.</w:t>
      </w:r>
      <w:r>
        <w:rPr>
          <w:rFonts w:hint="eastAsia" w:ascii="宋体" w:hAnsi="宋体" w:eastAsia="宋体" w:cs="宋体"/>
          <w:sz w:val="32"/>
          <w:lang w:val="en-US" w:eastAsia="zh-CN"/>
        </w:rPr>
        <w:t>调整措施制定：根据评估结果，采取调配资源、优化流程、调整活动安排等措施，确保活动顺利推进。</w:t>
      </w:r>
    </w:p>
    <w:p w14:paraId="4EE59D7C">
      <w:pPr>
        <w:pStyle w:val="3"/>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kern w:val="2"/>
          <w:sz w:val="32"/>
          <w:szCs w:val="32"/>
          <w:lang w:val="en-US" w:eastAsia="zh-CN" w:bidi="ar-SA"/>
        </w:rPr>
        <w:t>d.</w:t>
      </w:r>
      <w:r>
        <w:rPr>
          <w:rFonts w:hint="eastAsia" w:ascii="宋体" w:hAnsi="宋体" w:eastAsia="宋体" w:cs="宋体"/>
          <w:sz w:val="32"/>
          <w:lang w:val="en-US" w:eastAsia="zh-CN"/>
        </w:rPr>
        <w:t>沟通协调：建立高效沟通渠道，及时传达调整信息，确保各方协同工作。</w:t>
      </w:r>
    </w:p>
    <w:p w14:paraId="558A01E2">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3.项目安全保障需求</w:t>
      </w:r>
    </w:p>
    <w:p w14:paraId="30E4FDBE">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lang w:val="en-US" w:eastAsia="zh-CN"/>
        </w:rPr>
        <w:t>活动场所消防安全措施</w:t>
      </w:r>
    </w:p>
    <w:p w14:paraId="49E044C8">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sz w:val="32"/>
          <w:lang w:val="en-US" w:eastAsia="zh-CN"/>
        </w:rPr>
        <w:t>施工与使用规范：活动现场设施搭建要严格执行施工消防安全规定，严禁使用易燃材料；活动期间，电器、器材等设备使用必须符合规范，杜绝火灾隐患。</w:t>
      </w:r>
    </w:p>
    <w:p w14:paraId="681F6837">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sz w:val="32"/>
          <w:lang w:val="en-US" w:eastAsia="zh-CN"/>
        </w:rPr>
        <w:t>消防器材配备：在活动现场各区域配备足够数量的灭火器等消防器材，确保关键时刻能够及时取用。</w:t>
      </w:r>
    </w:p>
    <w:p w14:paraId="7DD51294">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c.</w:t>
      </w:r>
      <w:r>
        <w:rPr>
          <w:rFonts w:hint="eastAsia" w:ascii="宋体" w:hAnsi="宋体" w:eastAsia="宋体" w:cs="宋体"/>
          <w:sz w:val="32"/>
          <w:lang w:val="en-US" w:eastAsia="zh-CN"/>
        </w:rPr>
        <w:t>消防教育与培训：对所有工作人员、志愿者进行消防知识教育，并开展消防器材使用和应急处理方面的专业培训，提高人员消防意识和应急能力。</w:t>
      </w:r>
    </w:p>
    <w:p w14:paraId="287256E3">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d.</w:t>
      </w:r>
      <w:r>
        <w:rPr>
          <w:rFonts w:hint="eastAsia" w:ascii="宋体" w:hAnsi="宋体" w:eastAsia="宋体" w:cs="宋体"/>
          <w:sz w:val="32"/>
          <w:lang w:val="en-US" w:eastAsia="zh-CN"/>
        </w:rPr>
        <w:t>现场管控：在现场易燃区域设置禁烟区，严禁人员在禁烟区吸烟，禁止场内乱扔烟头；组建场内消防安全小组，由承办单位主要领导负责，随时巡视核查火灾隐患，明确责任到人。</w:t>
      </w:r>
    </w:p>
    <w:p w14:paraId="1B6BF5F5">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e.</w:t>
      </w:r>
      <w:r>
        <w:rPr>
          <w:rFonts w:hint="eastAsia" w:ascii="宋体" w:hAnsi="宋体" w:eastAsia="宋体" w:cs="宋体"/>
          <w:sz w:val="32"/>
          <w:lang w:val="en-US" w:eastAsia="zh-CN"/>
        </w:rPr>
        <w:t>应急预案制定：制定完善的防火应急预案，包括火灾预警、应急处理、扑救办法、紧急疏散、火灾善后等环节。密切关注火灾多发天气，加强巡逻预防；发生火灾时，及时报警、疏散人员、扑救火灾，做好善后和调查工作。</w:t>
      </w:r>
    </w:p>
    <w:p w14:paraId="143D71BB">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lang w:val="en-US" w:eastAsia="zh-CN"/>
        </w:rPr>
        <w:t>设备设置情况和标识</w:t>
      </w:r>
    </w:p>
    <w:p w14:paraId="11A1FA11">
      <w:pPr>
        <w:pStyle w:val="3"/>
        <w:numPr>
          <w:ilvl w:val="0"/>
          <w:numId w:val="0"/>
        </w:numPr>
        <w:bidi w:val="0"/>
        <w:ind w:firstLine="640" w:firstLineChars="200"/>
        <w:rPr>
          <w:rFonts w:hint="eastAsia" w:ascii="宋体" w:hAnsi="宋体" w:eastAsia="宋体" w:cs="宋体"/>
          <w:sz w:val="32"/>
          <w:lang w:eastAsia="zh-CN"/>
        </w:rPr>
      </w:pPr>
      <w:r>
        <w:rPr>
          <w:rFonts w:hint="eastAsia" w:ascii="宋体" w:hAnsi="宋体" w:eastAsia="宋体" w:cs="宋体"/>
          <w:sz w:val="32"/>
          <w:lang w:eastAsia="zh-CN"/>
        </w:rPr>
        <w:t>场内设备、标识等按照规范要求进行配置，确保活动现场设施设备符合安全标准，各类标识清晰明确，为参与者提供便利和安全指引。</w:t>
      </w:r>
    </w:p>
    <w:p w14:paraId="718F1026">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C.</w:t>
      </w:r>
      <w:r>
        <w:rPr>
          <w:rFonts w:hint="eastAsia" w:ascii="宋体" w:hAnsi="宋体" w:eastAsia="宋体" w:cs="宋体"/>
          <w:lang w:val="en-US" w:eastAsia="zh-CN"/>
        </w:rPr>
        <w:t>交通组织管理措施及交通组织</w:t>
      </w:r>
    </w:p>
    <w:p w14:paraId="55A9A38D">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sz w:val="32"/>
          <w:lang w:val="en-US" w:eastAsia="zh-CN"/>
        </w:rPr>
        <w:t>交通缓冲区设置：活动现场预留交通缓冲区，用于消防、医疗、供电、公安等保障工作车辆停放，确保应急车辆能够及时到位。</w:t>
      </w:r>
    </w:p>
    <w:p w14:paraId="21C684C3">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sz w:val="32"/>
          <w:lang w:val="en-US" w:eastAsia="zh-CN"/>
        </w:rPr>
        <w:t>交通管控责任：交通动线指挥疏导由公安交管部门根据路线和路网交通流量实际情况进行指挥疏导，保障活动期间周边交通秩序顺畅。</w:t>
      </w:r>
    </w:p>
    <w:p w14:paraId="5D64B538">
      <w:pPr>
        <w:pStyle w:val="2"/>
        <w:numPr>
          <w:ilvl w:val="0"/>
          <w:numId w:val="0"/>
        </w:numPr>
        <w:bidi w:val="0"/>
        <w:ind w:left="0" w:leftChars="0" w:firstLine="640" w:firstLineChars="200"/>
        <w:rPr>
          <w:rFonts w:hint="eastAsia" w:ascii="宋体" w:hAnsi="宋体" w:eastAsia="宋体" w:cs="宋体"/>
          <w:lang w:val="en-US" w:eastAsia="zh-CN"/>
        </w:rPr>
      </w:pPr>
      <w:r>
        <w:rPr>
          <w:rFonts w:hint="eastAsia" w:ascii="宋体" w:hAnsi="宋体" w:eastAsia="宋体" w:cs="宋体"/>
          <w:kern w:val="2"/>
          <w:sz w:val="32"/>
          <w:szCs w:val="32"/>
          <w:lang w:val="en-US" w:eastAsia="zh-CN" w:bidi="ar-SA"/>
        </w:rPr>
        <w:t>D.</w:t>
      </w:r>
      <w:r>
        <w:rPr>
          <w:rFonts w:hint="eastAsia" w:ascii="宋体" w:hAnsi="宋体" w:eastAsia="宋体" w:cs="宋体"/>
          <w:lang w:val="en-US" w:eastAsia="zh-CN"/>
        </w:rPr>
        <w:t>现场秩序维护、人员疏导管理</w:t>
      </w:r>
    </w:p>
    <w:p w14:paraId="77526611">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sz w:val="32"/>
          <w:lang w:val="en-US" w:eastAsia="zh-CN"/>
        </w:rPr>
        <w:t>入场管理：活动区域为开放区域且不售票，演职人员、工作人员等凭工作证入场，做好人员进出管理。</w:t>
      </w:r>
    </w:p>
    <w:p w14:paraId="28DA4088">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sz w:val="32"/>
          <w:lang w:val="en-US" w:eastAsia="zh-CN"/>
        </w:rPr>
        <w:t>场内秩序维护：活动场内安保人员负责巡逻，定点安保人员密切观察周边动态，维护场内秩序，确保活动有序进行。</w:t>
      </w:r>
    </w:p>
    <w:p w14:paraId="50232BC9">
      <w:pPr>
        <w:pStyle w:val="2"/>
        <w:numPr>
          <w:ilvl w:val="0"/>
          <w:numId w:val="0"/>
        </w:numPr>
        <w:bidi w:val="0"/>
        <w:ind w:left="0" w:leftChars="0" w:firstLine="640" w:firstLineChars="200"/>
        <w:rPr>
          <w:rFonts w:hint="eastAsia" w:ascii="宋体" w:hAnsi="宋体" w:eastAsia="宋体" w:cs="宋体"/>
          <w:lang w:eastAsia="zh-CN"/>
        </w:rPr>
      </w:pPr>
      <w:r>
        <w:rPr>
          <w:rFonts w:hint="eastAsia" w:ascii="宋体" w:hAnsi="宋体" w:eastAsia="宋体" w:cs="宋体"/>
          <w:kern w:val="2"/>
          <w:sz w:val="32"/>
          <w:szCs w:val="32"/>
          <w:lang w:val="en-US" w:eastAsia="zh-CN" w:bidi="ar-SA"/>
        </w:rPr>
        <w:t>E.</w:t>
      </w:r>
      <w:r>
        <w:rPr>
          <w:rFonts w:hint="eastAsia" w:ascii="宋体" w:hAnsi="宋体" w:eastAsia="宋体" w:cs="宋体"/>
          <w:lang w:eastAsia="zh-CN"/>
        </w:rPr>
        <w:t>应对突发灾害性天气的措施</w:t>
      </w:r>
    </w:p>
    <w:p w14:paraId="48247A81">
      <w:pPr>
        <w:pStyle w:val="3"/>
        <w:numPr>
          <w:ilvl w:val="0"/>
          <w:numId w:val="0"/>
        </w:numPr>
        <w:bidi w:val="0"/>
        <w:ind w:firstLine="640" w:firstLineChars="200"/>
        <w:rPr>
          <w:rFonts w:hint="eastAsia" w:ascii="宋体" w:hAnsi="宋体" w:eastAsia="宋体" w:cs="宋体"/>
          <w:sz w:val="32"/>
          <w:lang w:val="en-US" w:eastAsia="zh-CN"/>
        </w:rPr>
      </w:pPr>
      <w:r>
        <w:rPr>
          <w:rFonts w:hint="eastAsia" w:ascii="宋体" w:hAnsi="宋体" w:eastAsia="宋体" w:cs="宋体"/>
          <w:sz w:val="32"/>
          <w:lang w:val="en-US" w:eastAsia="zh-CN"/>
        </w:rPr>
        <w:t>制定灾害天气应急预案，密切关注气象预报。在场内准备充足的防风、防雨器材，选定紧急避险场所和疏散路线。如提前收到</w:t>
      </w:r>
      <w:bookmarkStart w:id="0" w:name="_GoBack"/>
      <w:bookmarkEnd w:id="0"/>
      <w:r>
        <w:rPr>
          <w:rFonts w:hint="eastAsia" w:ascii="宋体" w:hAnsi="宋体" w:eastAsia="宋体" w:cs="宋体"/>
          <w:sz w:val="32"/>
          <w:lang w:val="en-US" w:eastAsia="zh-CN"/>
        </w:rPr>
        <w:t>台风、暴雨等灾害天气预警，及时终止后续演出并通知人员不要外出；若在活动过程中突发灾害天气，则立即中止活动，按应急预案进行紧急疏散、撤离。</w:t>
      </w:r>
    </w:p>
    <w:p w14:paraId="2B277B0B">
      <w:pPr>
        <w:pStyle w:val="2"/>
        <w:numPr>
          <w:ilvl w:val="0"/>
          <w:numId w:val="0"/>
        </w:numPr>
        <w:bidi w:val="0"/>
        <w:ind w:left="0" w:leftChars="0" w:firstLine="640" w:firstLineChars="200"/>
        <w:rPr>
          <w:rFonts w:hint="eastAsia" w:ascii="宋体" w:hAnsi="宋体" w:eastAsia="宋体" w:cs="宋体"/>
          <w:lang w:eastAsia="zh-CN"/>
        </w:rPr>
      </w:pPr>
      <w:r>
        <w:rPr>
          <w:rFonts w:hint="eastAsia" w:ascii="宋体" w:hAnsi="宋体" w:eastAsia="宋体" w:cs="宋体"/>
          <w:kern w:val="2"/>
          <w:sz w:val="32"/>
          <w:szCs w:val="32"/>
          <w:lang w:val="en-US" w:eastAsia="zh-CN" w:bidi="ar-SA"/>
        </w:rPr>
        <w:t>F.</w:t>
      </w:r>
      <w:r>
        <w:rPr>
          <w:rFonts w:hint="eastAsia" w:ascii="宋体" w:hAnsi="宋体" w:eastAsia="宋体" w:cs="宋体"/>
          <w:lang w:eastAsia="zh-CN"/>
        </w:rPr>
        <w:t>制定疫情防护及医疗保障预案：</w:t>
      </w:r>
    </w:p>
    <w:p w14:paraId="594AFA42">
      <w:pPr>
        <w:pStyle w:val="3"/>
        <w:numPr>
          <w:ilvl w:val="0"/>
          <w:numId w:val="0"/>
        </w:numPr>
        <w:bidi w:val="0"/>
        <w:ind w:firstLine="640" w:firstLineChars="200"/>
        <w:rPr>
          <w:rFonts w:hint="eastAsia" w:ascii="宋体" w:hAnsi="宋体" w:eastAsia="宋体" w:cs="宋体"/>
          <w:sz w:val="32"/>
          <w:lang w:eastAsia="zh-CN"/>
        </w:rPr>
      </w:pPr>
      <w:r>
        <w:rPr>
          <w:rFonts w:hint="eastAsia" w:ascii="宋体" w:hAnsi="宋体" w:eastAsia="宋体" w:cs="宋体"/>
          <w:sz w:val="32"/>
          <w:lang w:eastAsia="zh-CN"/>
        </w:rPr>
        <w:t>针对活动现场可能出现的疫情情况，制定疫情防护预案，包括人员健康监测、场地消毒、防疫物资配备等措施。同时，配备医疗保障力量，如在活动现场设置医务室，配备专业医护人员和必要的医疗设备、药品，为活动参与者提供及时的医疗救助服务。</w:t>
      </w:r>
    </w:p>
    <w:p w14:paraId="50362AAD">
      <w:pPr>
        <w:pStyle w:val="2"/>
        <w:numPr>
          <w:ilvl w:val="0"/>
          <w:numId w:val="0"/>
        </w:numPr>
        <w:bidi w:val="0"/>
        <w:ind w:left="0" w:leftChars="0" w:firstLine="640" w:firstLineChars="200"/>
        <w:rPr>
          <w:rFonts w:hint="eastAsia" w:ascii="宋体" w:hAnsi="宋体" w:eastAsia="宋体" w:cs="宋体"/>
          <w:lang w:eastAsia="zh-CN"/>
        </w:rPr>
      </w:pPr>
      <w:r>
        <w:rPr>
          <w:rFonts w:hint="eastAsia" w:ascii="宋体" w:hAnsi="宋体" w:eastAsia="宋体" w:cs="宋体"/>
          <w:kern w:val="2"/>
          <w:sz w:val="32"/>
          <w:szCs w:val="32"/>
          <w:lang w:val="en-US" w:eastAsia="zh-CN" w:bidi="ar-SA"/>
        </w:rPr>
        <w:t>G.</w:t>
      </w:r>
      <w:r>
        <w:rPr>
          <w:rFonts w:hint="eastAsia" w:ascii="宋体" w:hAnsi="宋体" w:eastAsia="宋体" w:cs="宋体"/>
          <w:lang w:eastAsia="zh-CN"/>
        </w:rPr>
        <w:t>突发事件应急预案</w:t>
      </w:r>
    </w:p>
    <w:p w14:paraId="590635B3">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a.</w:t>
      </w:r>
      <w:r>
        <w:rPr>
          <w:rFonts w:hint="eastAsia" w:ascii="宋体" w:hAnsi="宋体" w:eastAsia="宋体" w:cs="宋体"/>
          <w:sz w:val="32"/>
          <w:lang w:val="en-US" w:eastAsia="zh-CN"/>
        </w:rPr>
        <w:t>应急指挥部组建：互动应急指挥部由活动承办单位、承办公司项目负责人牵头，联合公安部门、消防部门等职能部门驻场负责人、现场工作人员、志愿者等主要负责人组建，统一指挥应急工作。</w:t>
      </w:r>
    </w:p>
    <w:p w14:paraId="5BE1F95D">
      <w:pPr>
        <w:pStyle w:val="3"/>
        <w:numPr>
          <w:ilvl w:val="0"/>
          <w:numId w:val="0"/>
        </w:numPr>
        <w:bidi w:val="0"/>
        <w:ind w:left="0" w:leftChars="0" w:firstLine="640" w:firstLineChars="0"/>
        <w:rPr>
          <w:rFonts w:hint="eastAsia" w:ascii="宋体" w:hAnsi="宋体" w:eastAsia="宋体" w:cs="宋体"/>
          <w:sz w:val="32"/>
          <w:lang w:val="en-US" w:eastAsia="zh-CN"/>
        </w:rPr>
      </w:pPr>
      <w:r>
        <w:rPr>
          <w:rFonts w:hint="eastAsia" w:ascii="宋体" w:hAnsi="宋体" w:eastAsia="宋体" w:cs="宋体"/>
          <w:kern w:val="2"/>
          <w:sz w:val="32"/>
          <w:szCs w:val="32"/>
          <w:lang w:val="en-US" w:eastAsia="zh-CN" w:bidi="ar-SA"/>
        </w:rPr>
        <w:t>b.</w:t>
      </w:r>
      <w:r>
        <w:rPr>
          <w:rFonts w:hint="eastAsia" w:ascii="宋体" w:hAnsi="宋体" w:eastAsia="宋体" w:cs="宋体"/>
          <w:sz w:val="32"/>
          <w:lang w:val="en-US" w:eastAsia="zh-CN"/>
        </w:rPr>
        <w:t>事故处置流程：明确各专业工作小组职责，包括事故处置、安全救护、后勤保障等。规定事故处置措施，如报警与接警、组织疏散引导、现场处置各类突发事件（火灾、暴力案件、意外事件、伤病、防疫安全事件等）。同时，做好事故预防和责任追究工作，避免事故发生，对相关责任人进行严肃处理。</w:t>
      </w:r>
    </w:p>
    <w:p w14:paraId="150CC1AA">
      <w:pPr>
        <w:pStyle w:val="2"/>
        <w:numPr>
          <w:ilvl w:val="0"/>
          <w:numId w:val="0"/>
        </w:numPr>
        <w:bidi w:val="0"/>
        <w:ind w:left="0" w:leftChars="0" w:firstLine="640" w:firstLineChars="200"/>
        <w:rPr>
          <w:rFonts w:hint="eastAsia" w:ascii="宋体" w:hAnsi="宋体" w:eastAsia="宋体" w:cs="宋体"/>
          <w:lang w:eastAsia="zh-CN"/>
        </w:rPr>
      </w:pPr>
      <w:r>
        <w:rPr>
          <w:rFonts w:hint="eastAsia" w:ascii="宋体" w:hAnsi="宋体" w:eastAsia="宋体" w:cs="宋体"/>
          <w:kern w:val="2"/>
          <w:sz w:val="32"/>
          <w:szCs w:val="32"/>
          <w:lang w:val="en-US" w:eastAsia="zh-CN" w:bidi="ar-SA"/>
        </w:rPr>
        <w:t>H.</w:t>
      </w:r>
      <w:r>
        <w:rPr>
          <w:rFonts w:hint="eastAsia" w:ascii="宋体" w:hAnsi="宋体" w:eastAsia="宋体" w:cs="宋体"/>
          <w:lang w:eastAsia="zh-CN"/>
        </w:rPr>
        <w:t>安全风险评估及票证管理：</w:t>
      </w:r>
    </w:p>
    <w:p w14:paraId="71B5B4B6">
      <w:pPr>
        <w:pStyle w:val="3"/>
        <w:numPr>
          <w:ilvl w:val="0"/>
          <w:numId w:val="0"/>
        </w:numPr>
        <w:bidi w:val="0"/>
        <w:ind w:firstLine="640" w:firstLineChars="200"/>
        <w:rPr>
          <w:rFonts w:hint="eastAsia" w:ascii="宋体" w:hAnsi="宋体" w:eastAsia="宋体" w:cs="宋体"/>
          <w:sz w:val="32"/>
          <w:lang w:eastAsia="zh-CN"/>
        </w:rPr>
      </w:pPr>
      <w:r>
        <w:rPr>
          <w:rFonts w:hint="eastAsia" w:ascii="宋体" w:hAnsi="宋体" w:eastAsia="宋体" w:cs="宋体"/>
          <w:sz w:val="32"/>
          <w:lang w:eastAsia="zh-CN"/>
        </w:rPr>
        <w:t>大型活动进行安全风险预测，若活动单日预计参加人数达到3万人，应当委托专业评估机构进行安全风险评估。安全风险评估机构需对安全事故的可能性、安全风险程度、风险防范和控制建议等内容进行全面评估。由于活动为不售票公益活动，此处票证管理主要针对工作人员证件等进行严格管理，统一印制并登记领取数量，确保人员身份可识别和活动现场管理有序。</w:t>
      </w:r>
    </w:p>
    <w:p w14:paraId="302B1BF4">
      <w:pPr>
        <w:pStyle w:val="2"/>
        <w:numPr>
          <w:ilvl w:val="0"/>
          <w:numId w:val="0"/>
        </w:numPr>
        <w:bidi w:val="0"/>
        <w:ind w:left="0" w:leftChars="0" w:firstLine="640" w:firstLineChars="200"/>
        <w:rPr>
          <w:rFonts w:hint="eastAsia" w:ascii="宋体" w:hAnsi="宋体" w:eastAsia="宋体" w:cs="宋体"/>
          <w:lang w:eastAsia="zh-CN"/>
        </w:rPr>
      </w:pPr>
      <w:r>
        <w:rPr>
          <w:rFonts w:hint="eastAsia" w:ascii="宋体" w:hAnsi="宋体" w:eastAsia="宋体" w:cs="宋体"/>
          <w:kern w:val="2"/>
          <w:sz w:val="32"/>
          <w:szCs w:val="32"/>
          <w:lang w:val="en-US" w:eastAsia="zh-CN" w:bidi="ar-SA"/>
        </w:rPr>
        <w:t>I.</w:t>
      </w:r>
      <w:r>
        <w:rPr>
          <w:rFonts w:hint="eastAsia" w:ascii="宋体" w:hAnsi="宋体" w:eastAsia="宋体" w:cs="宋体"/>
          <w:lang w:eastAsia="zh-CN"/>
        </w:rPr>
        <w:t>购买社会公众险</w:t>
      </w:r>
    </w:p>
    <w:p w14:paraId="2161FBBA">
      <w:pPr>
        <w:rPr>
          <w:rFonts w:hint="eastAsia" w:ascii="宋体" w:hAnsi="宋体" w:eastAsia="宋体" w:cs="宋体"/>
          <w:sz w:val="32"/>
          <w:lang w:eastAsia="zh-CN"/>
        </w:rPr>
      </w:pPr>
      <w:r>
        <w:rPr>
          <w:rFonts w:hint="eastAsia" w:ascii="宋体" w:hAnsi="宋体" w:eastAsia="宋体" w:cs="宋体"/>
          <w:sz w:val="32"/>
          <w:lang w:eastAsia="zh-CN"/>
        </w:rPr>
        <w:t>为降低活动期间可能出现的意外事故对公众造成的损失风险，</w:t>
      </w:r>
      <w:r>
        <w:rPr>
          <w:rFonts w:hint="eastAsia" w:ascii="宋体" w:hAnsi="宋体" w:eastAsia="宋体" w:cs="宋体"/>
          <w:sz w:val="32"/>
          <w:lang w:val="en-US" w:eastAsia="zh-CN"/>
        </w:rPr>
        <w:t>需要</w:t>
      </w:r>
      <w:r>
        <w:rPr>
          <w:rFonts w:hint="eastAsia" w:ascii="宋体" w:hAnsi="宋体" w:eastAsia="宋体" w:cs="宋体"/>
          <w:sz w:val="32"/>
          <w:lang w:eastAsia="zh-CN"/>
        </w:rPr>
        <w:t>购买社会公众险。保险范围应涵盖活动现场可能发生的各类意外事件导致的人员伤亡和财产损失，保障参与者的合法权益。</w:t>
      </w:r>
    </w:p>
    <w:p w14:paraId="61A3B738">
      <w:pPr>
        <w:numPr>
          <w:ilvl w:val="0"/>
          <w:numId w:val="3"/>
        </w:numPr>
        <w:rPr>
          <w:rFonts w:hint="eastAsia" w:ascii="宋体" w:hAnsi="宋体" w:cs="宋体"/>
          <w:sz w:val="32"/>
          <w:lang w:val="en-US" w:eastAsia="zh-CN"/>
        </w:rPr>
      </w:pPr>
      <w:r>
        <w:rPr>
          <w:rFonts w:hint="eastAsia" w:ascii="宋体" w:hAnsi="宋体" w:cs="宋体"/>
          <w:sz w:val="32"/>
          <w:lang w:val="en-US" w:eastAsia="zh-CN"/>
        </w:rPr>
        <w:t>服务期：合同签订之日起至活动全部结束为止。</w:t>
      </w:r>
    </w:p>
    <w:p w14:paraId="3D35B607">
      <w:pPr>
        <w:numPr>
          <w:ilvl w:val="0"/>
          <w:numId w:val="3"/>
        </w:numPr>
        <w:rPr>
          <w:rFonts w:hint="default" w:ascii="宋体" w:hAnsi="宋体" w:cs="宋体"/>
          <w:sz w:val="32"/>
          <w:lang w:val="en-US" w:eastAsia="zh-CN"/>
        </w:rPr>
      </w:pPr>
      <w:r>
        <w:rPr>
          <w:rFonts w:hint="eastAsia" w:ascii="宋体" w:hAnsi="宋体" w:cs="宋体"/>
          <w:sz w:val="32"/>
          <w:lang w:val="en-US" w:eastAsia="zh-CN"/>
        </w:rPr>
        <w:t>服务地点：具体以签订合同为准。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6B831">
    <w:pPr>
      <w:pStyle w:val="4"/>
      <w:framePr w:wrap="around" w:vAnchor="text" w:hAnchor="margin" w:xAlign="outside" w:y="1"/>
      <w:rPr>
        <w:rStyle w:val="7"/>
        <w:rFonts w:hint="eastAsia" w:ascii="宋体" w:hAnsi="宋体"/>
        <w:sz w:val="28"/>
        <w:szCs w:val="28"/>
      </w:rPr>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29</w:t>
    </w:r>
    <w:r>
      <w:rPr>
        <w:rFonts w:ascii="宋体" w:hAnsi="宋体"/>
        <w:sz w:val="28"/>
        <w:szCs w:val="28"/>
      </w:rPr>
      <w:fldChar w:fldCharType="end"/>
    </w:r>
    <w:r>
      <w:rPr>
        <w:rStyle w:val="7"/>
        <w:rFonts w:hint="eastAsia" w:ascii="宋体" w:hAnsi="宋体"/>
        <w:sz w:val="28"/>
        <w:szCs w:val="28"/>
      </w:rPr>
      <w:t xml:space="preserve"> — </w:t>
    </w:r>
  </w:p>
  <w:p w14:paraId="47CA49A3">
    <w:pPr>
      <w:pStyle w:val="4"/>
      <w:ind w:right="360" w:firstLine="360"/>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4F53C">
    <w:pPr>
      <w:pStyle w:val="4"/>
      <w:framePr w:wrap="around" w:vAnchor="text" w:hAnchor="margin" w:xAlign="outside" w:y="1"/>
      <w:rPr>
        <w:rStyle w:val="7"/>
        <w:rFonts w:ascii="宋体" w:hAnsi="宋体"/>
        <w:sz w:val="28"/>
        <w:szCs w:val="28"/>
      </w:rPr>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28</w:t>
    </w:r>
    <w:r>
      <w:rPr>
        <w:rFonts w:ascii="宋体" w:hAnsi="宋体"/>
        <w:sz w:val="28"/>
        <w:szCs w:val="28"/>
      </w:rPr>
      <w:fldChar w:fldCharType="end"/>
    </w:r>
    <w:r>
      <w:rPr>
        <w:rStyle w:val="7"/>
        <w:rFonts w:hint="eastAsia" w:ascii="宋体" w:hAnsi="宋体"/>
        <w:sz w:val="28"/>
        <w:szCs w:val="28"/>
      </w:rPr>
      <w:t xml:space="preserve"> —</w:t>
    </w:r>
  </w:p>
  <w:p w14:paraId="0FBA022F">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7CAEC"/>
    <w:multiLevelType w:val="singleLevel"/>
    <w:tmpl w:val="A4B7CAEC"/>
    <w:lvl w:ilvl="0" w:tentative="0">
      <w:start w:val="4"/>
      <w:numFmt w:val="decimal"/>
      <w:lvlText w:val="%1."/>
      <w:lvlJc w:val="left"/>
      <w:pPr>
        <w:tabs>
          <w:tab w:val="left" w:pos="312"/>
        </w:tabs>
      </w:pPr>
    </w:lvl>
  </w:abstractNum>
  <w:abstractNum w:abstractNumId="1">
    <w:nsid w:val="CAC9FF98"/>
    <w:multiLevelType w:val="singleLevel"/>
    <w:tmpl w:val="CAC9FF98"/>
    <w:lvl w:ilvl="0" w:tentative="0">
      <w:start w:val="1"/>
      <w:numFmt w:val="decimal"/>
      <w:pStyle w:val="2"/>
      <w:lvlText w:val="(%1)"/>
      <w:lvlJc w:val="left"/>
      <w:pPr>
        <w:tabs>
          <w:tab w:val="left" w:pos="0"/>
        </w:tabs>
        <w:ind w:left="0" w:firstLine="0"/>
      </w:pPr>
      <w:rPr>
        <w:rFonts w:hint="default"/>
      </w:rPr>
    </w:lvl>
  </w:abstractNum>
  <w:abstractNum w:abstractNumId="2">
    <w:nsid w:val="152FEDF5"/>
    <w:multiLevelType w:val="singleLevel"/>
    <w:tmpl w:val="152FEDF5"/>
    <w:lvl w:ilvl="0" w:tentative="0">
      <w:start w:val="1"/>
      <w:numFmt w:val="decimal"/>
      <w:pStyle w:val="3"/>
      <w:suff w:val="nothing"/>
      <w:lvlText w:val="%1."/>
      <w:lvlJc w:val="left"/>
      <w:pPr>
        <w:tabs>
          <w:tab w:val="left" w:pos="0"/>
        </w:tabs>
        <w:ind w:left="0" w:firstLine="397"/>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E09AD"/>
    <w:rsid w:val="0C0C730C"/>
    <w:rsid w:val="16B24A4B"/>
    <w:rsid w:val="1B4477E1"/>
    <w:rsid w:val="57513CED"/>
    <w:rsid w:val="5E0F7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numPr>
        <w:ilvl w:val="0"/>
        <w:numId w:val="1"/>
      </w:numPr>
      <w:adjustRightInd w:val="0"/>
      <w:snapToGrid w:val="0"/>
      <w:spacing w:beforeLines="0" w:beforeAutospacing="0" w:afterLines="0" w:afterAutospacing="0" w:line="578" w:lineRule="exact"/>
      <w:outlineLvl w:val="2"/>
    </w:pPr>
    <w:rPr>
      <w:rFonts w:ascii="Calibri" w:hAnsi="Calibri" w:eastAsia="仿宋_GB2312"/>
      <w:sz w:val="32"/>
      <w:szCs w:val="32"/>
    </w:rPr>
  </w:style>
  <w:style w:type="paragraph" w:styleId="3">
    <w:name w:val="heading 4"/>
    <w:basedOn w:val="1"/>
    <w:next w:val="1"/>
    <w:unhideWhenUsed/>
    <w:qFormat/>
    <w:uiPriority w:val="0"/>
    <w:pPr>
      <w:keepNext w:val="0"/>
      <w:keepLines w:val="0"/>
      <w:numPr>
        <w:ilvl w:val="0"/>
        <w:numId w:val="2"/>
      </w:numPr>
      <w:spacing w:beforeLines="0" w:beforeAutospacing="0" w:afterLines="0" w:afterAutospacing="0" w:line="578" w:lineRule="exact"/>
      <w:ind w:firstLine="880" w:firstLineChars="200"/>
      <w:outlineLvl w:val="3"/>
    </w:pPr>
    <w:rPr>
      <w:rFonts w:ascii="Times New Roman" w:hAnsi="Times New Roman"/>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5785</Words>
  <Characters>6035</Characters>
  <Lines>0</Lines>
  <Paragraphs>0</Paragraphs>
  <TotalTime>4</TotalTime>
  <ScaleCrop>false</ScaleCrop>
  <LinksUpToDate>false</LinksUpToDate>
  <CharactersWithSpaces>6058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2025-03-20T02:51:00Z</dcterms:created>
  <dc:creator>Administrator</dc:creator>
  <cp:lastModifiedBy>WPS_1670294638</cp:lastModifiedBy>
  <dcterms:modified xsi:type="dcterms:W3CDTF">2025-03-20T07:21:15Z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eyJoZGlkIjoiZjgwMjM0NTY5NWE3YmJmMTY2YWFiMGU1YmE1MGYyODIiLCJ1c2VySWQiOiIxNDQ2NTQzNjM3In0=</vt:lpwstr>
  </property>
  <property fmtid="{D5CDD505-2E9C-101B-9397-08002B2CF9AE}" pid="4" name="ICV">
    <vt:lpwstr>59B404CAFAF8498E983592F97970FF5B_12</vt:lpwstr>
  </property>
</Properties>
</file>