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E5B9">
      <w:pPr>
        <w:pStyle w:val="4"/>
        <w:spacing w:afterLines="0"/>
        <w:rPr>
          <w:color w:val="auto"/>
        </w:rPr>
      </w:pPr>
      <w:r>
        <w:rPr>
          <w:rFonts w:hint="eastAsia"/>
          <w:color w:val="auto"/>
        </w:rPr>
        <w:t>合同条款</w:t>
      </w:r>
    </w:p>
    <w:p w14:paraId="1B3225DC">
      <w:pPr>
        <w:snapToGrid w:val="0"/>
        <w:spacing w:line="360" w:lineRule="auto"/>
        <w:jc w:val="center"/>
        <w:rPr>
          <w:rFonts w:ascii="宋体" w:hAnsi="宋体"/>
          <w:b/>
          <w:color w:val="auto"/>
          <w:sz w:val="24"/>
        </w:rPr>
      </w:pPr>
    </w:p>
    <w:p w14:paraId="6B9F7DD1">
      <w:pPr>
        <w:snapToGrid w:val="0"/>
        <w:spacing w:line="360" w:lineRule="auto"/>
        <w:jc w:val="center"/>
        <w:rPr>
          <w:rFonts w:ascii="宋体" w:hAnsi="宋体" w:cs="宋体"/>
          <w:b/>
          <w:bCs/>
          <w:color w:val="auto"/>
          <w:sz w:val="36"/>
          <w:szCs w:val="36"/>
        </w:rPr>
      </w:pPr>
      <w:r>
        <w:rPr>
          <w:rFonts w:hint="eastAsia" w:ascii="宋体" w:hAnsi="宋体"/>
          <w:b/>
          <w:color w:val="auto"/>
          <w:sz w:val="24"/>
        </w:rPr>
        <w:t>注：本合同仅为合同的参考文本，合同签订双方可根据项目的具体要求进行修订，但不得背离本次采购的实质性内容。</w:t>
      </w:r>
    </w:p>
    <w:p w14:paraId="34D9560A">
      <w:pPr>
        <w:snapToGrid w:val="0"/>
        <w:spacing w:before="19" w:line="360" w:lineRule="auto"/>
        <w:jc w:val="center"/>
        <w:rPr>
          <w:rFonts w:ascii="宋体" w:hAnsi="宋体" w:cs="宋体"/>
          <w:b/>
          <w:bCs/>
          <w:color w:val="auto"/>
          <w:sz w:val="36"/>
          <w:szCs w:val="36"/>
        </w:rPr>
      </w:pPr>
    </w:p>
    <w:p w14:paraId="466B0DCD">
      <w:pPr>
        <w:spacing w:line="360" w:lineRule="auto"/>
        <w:ind w:firstLine="480" w:firstLineChars="200"/>
        <w:jc w:val="left"/>
        <w:rPr>
          <w:rFonts w:ascii="宋体" w:hAnsi="宋体" w:cs="仿宋"/>
          <w:color w:val="auto"/>
          <w:sz w:val="24"/>
          <w:u w:val="single"/>
        </w:rPr>
      </w:pPr>
      <w:r>
        <w:rPr>
          <w:rFonts w:hint="eastAsia" w:ascii="宋体" w:hAnsi="宋体" w:cs="仿宋"/>
          <w:bCs/>
          <w:color w:val="auto"/>
          <w:sz w:val="24"/>
        </w:rPr>
        <w:t>甲方（采购人）：</w:t>
      </w:r>
      <w:r>
        <w:rPr>
          <w:rFonts w:hint="eastAsia" w:ascii="宋体" w:hAnsi="宋体" w:cs="仿宋"/>
          <w:bCs/>
          <w:color w:val="auto"/>
          <w:sz w:val="24"/>
          <w:u w:val="single"/>
        </w:rPr>
        <w:t xml:space="preserve">                                       </w:t>
      </w:r>
    </w:p>
    <w:p w14:paraId="4AFC913D">
      <w:pPr>
        <w:spacing w:line="360" w:lineRule="auto"/>
        <w:ind w:firstLine="480" w:firstLineChars="200"/>
        <w:jc w:val="left"/>
        <w:rPr>
          <w:rFonts w:ascii="宋体" w:hAnsi="宋体" w:cs="仿宋"/>
          <w:bCs/>
          <w:color w:val="auto"/>
          <w:sz w:val="24"/>
          <w:u w:val="single"/>
        </w:rPr>
      </w:pPr>
      <w:r>
        <w:rPr>
          <w:rFonts w:hint="eastAsia" w:ascii="宋体" w:hAnsi="宋体" w:cs="仿宋"/>
          <w:bCs/>
          <w:color w:val="auto"/>
          <w:sz w:val="24"/>
        </w:rPr>
        <w:t>乙方（成交供应商）：</w:t>
      </w:r>
      <w:r>
        <w:rPr>
          <w:rFonts w:hint="eastAsia" w:ascii="宋体" w:hAnsi="宋体" w:cs="仿宋"/>
          <w:bCs/>
          <w:color w:val="auto"/>
          <w:sz w:val="24"/>
          <w:u w:val="single"/>
        </w:rPr>
        <w:t xml:space="preserve">                                   </w:t>
      </w:r>
    </w:p>
    <w:p w14:paraId="7FDAADC5">
      <w:pPr>
        <w:spacing w:line="360" w:lineRule="auto"/>
        <w:jc w:val="center"/>
        <w:rPr>
          <w:rFonts w:ascii="宋体" w:hAnsi="宋体"/>
          <w:b/>
          <w:color w:val="auto"/>
          <w:sz w:val="32"/>
          <w:szCs w:val="32"/>
        </w:rPr>
      </w:pPr>
      <w:r>
        <w:rPr>
          <w:rFonts w:hint="eastAsia" w:ascii="宋体" w:hAnsi="宋体"/>
          <w:b/>
          <w:color w:val="auto"/>
          <w:sz w:val="32"/>
          <w:szCs w:val="32"/>
        </w:rPr>
        <w:t>合同专用条款</w:t>
      </w:r>
    </w:p>
    <w:p w14:paraId="3400BC4B">
      <w:pPr>
        <w:spacing w:line="360" w:lineRule="auto"/>
        <w:jc w:val="center"/>
        <w:rPr>
          <w:rFonts w:ascii="宋体" w:hAnsi="宋体"/>
          <w:b/>
          <w:color w:val="auto"/>
          <w:sz w:val="32"/>
          <w:szCs w:val="32"/>
        </w:rPr>
      </w:pPr>
    </w:p>
    <w:p w14:paraId="1E4D44C0">
      <w:pPr>
        <w:spacing w:line="360" w:lineRule="auto"/>
        <w:ind w:firstLine="480" w:firstLineChars="200"/>
        <w:rPr>
          <w:rFonts w:ascii="宋体" w:hAnsi="宋体" w:cs="宋体"/>
          <w:color w:val="auto"/>
          <w:sz w:val="24"/>
        </w:rPr>
      </w:pPr>
      <w:r>
        <w:rPr>
          <w:rFonts w:hint="eastAsia" w:ascii="宋体" w:hAnsi="宋体" w:cs="宋体"/>
          <w:color w:val="auto"/>
          <w:sz w:val="24"/>
          <w:u w:val="single"/>
        </w:rPr>
        <w:t xml:space="preserve">  （采购人名称）   </w:t>
      </w:r>
      <w:r>
        <w:rPr>
          <w:rFonts w:hint="eastAsia" w:ascii="宋体" w:hAnsi="宋体" w:cs="宋体"/>
          <w:color w:val="auto"/>
          <w:sz w:val="24"/>
        </w:rPr>
        <w:t xml:space="preserve">以 </w:t>
      </w:r>
      <w:r>
        <w:rPr>
          <w:rFonts w:hint="eastAsia" w:ascii="宋体" w:hAnsi="宋体" w:cs="宋体"/>
          <w:color w:val="auto"/>
          <w:sz w:val="24"/>
          <w:u w:val="single"/>
        </w:rPr>
        <w:t>竞争性磋商方式</w:t>
      </w:r>
      <w:r>
        <w:rPr>
          <w:rFonts w:hint="eastAsia" w:ascii="宋体" w:hAnsi="宋体" w:cs="宋体"/>
          <w:color w:val="auto"/>
          <w:sz w:val="24"/>
        </w:rPr>
        <w:t>对</w:t>
      </w:r>
      <w:r>
        <w:rPr>
          <w:rFonts w:hint="eastAsia" w:ascii="宋体" w:hAnsi="宋体" w:cs="宋体"/>
          <w:color w:val="auto"/>
          <w:sz w:val="24"/>
          <w:u w:val="single"/>
        </w:rPr>
        <w:t>（同前页项目名称）</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）进行了采购，</w:t>
      </w:r>
      <w:r>
        <w:rPr>
          <w:rFonts w:hint="eastAsia" w:ascii="宋体" w:hAnsi="宋体" w:cs="宋体"/>
          <w:color w:val="auto"/>
          <w:sz w:val="24"/>
          <w:u w:val="single"/>
        </w:rPr>
        <w:t xml:space="preserve">   （中标供应商名称）</w:t>
      </w:r>
      <w:r>
        <w:rPr>
          <w:rFonts w:hint="eastAsia" w:ascii="宋体" w:hAnsi="宋体" w:cs="宋体"/>
          <w:color w:val="auto"/>
          <w:sz w:val="24"/>
        </w:rPr>
        <w:t>为该项目中标供应商。</w:t>
      </w:r>
    </w:p>
    <w:p w14:paraId="0B2E6BA3">
      <w:pPr>
        <w:spacing w:line="360" w:lineRule="auto"/>
        <w:ind w:firstLine="480" w:firstLineChars="200"/>
        <w:rPr>
          <w:rFonts w:ascii="宋体" w:hAnsi="宋体" w:cs="宋体"/>
          <w:color w:val="auto"/>
          <w:sz w:val="24"/>
        </w:rPr>
      </w:pPr>
      <w:r>
        <w:rPr>
          <w:rFonts w:hint="eastAsia" w:ascii="宋体" w:hAnsi="宋体" w:cs="宋体"/>
          <w:color w:val="auto"/>
          <w:sz w:val="24"/>
          <w:u w:val="single"/>
        </w:rPr>
        <w:t xml:space="preserve">（采购人名称）  </w:t>
      </w:r>
      <w:r>
        <w:rPr>
          <w:rFonts w:hint="eastAsia" w:ascii="宋体" w:hAnsi="宋体" w:cs="宋体"/>
          <w:color w:val="auto"/>
          <w:sz w:val="24"/>
          <w:lang w:val="zh-CN"/>
        </w:rPr>
        <w:t>(以下简称：甲方)</w:t>
      </w:r>
      <w:r>
        <w:rPr>
          <w:rFonts w:hint="eastAsia" w:ascii="宋体" w:hAnsi="宋体" w:cs="宋体"/>
          <w:color w:val="auto"/>
          <w:sz w:val="24"/>
        </w:rPr>
        <w:t xml:space="preserve">和 </w:t>
      </w:r>
      <w:r>
        <w:rPr>
          <w:rFonts w:hint="eastAsia" w:ascii="宋体" w:hAnsi="宋体" w:cs="宋体"/>
          <w:color w:val="auto"/>
          <w:sz w:val="24"/>
          <w:u w:val="single"/>
        </w:rPr>
        <w:t xml:space="preserve"> （中标供应商名称）   </w:t>
      </w:r>
      <w:r>
        <w:rPr>
          <w:rFonts w:hint="eastAsia" w:ascii="宋体" w:hAnsi="宋体" w:cs="宋体"/>
          <w:color w:val="auto"/>
          <w:sz w:val="24"/>
          <w:lang w:val="zh-CN"/>
        </w:rPr>
        <w:t>(以下简称：乙方)</w:t>
      </w:r>
      <w:r>
        <w:rPr>
          <w:rFonts w:hint="eastAsia" w:ascii="宋体" w:hAnsi="宋体" w:cs="宋体"/>
          <w:color w:val="auto"/>
          <w:sz w:val="24"/>
        </w:rPr>
        <w:t>根据《中华人民共和国民法典》、</w:t>
      </w:r>
      <w:r>
        <w:rPr>
          <w:rFonts w:hint="eastAsia" w:ascii="宋体" w:hAnsi="宋体" w:cs="宋体"/>
          <w:color w:val="auto"/>
          <w:sz w:val="24"/>
          <w:lang w:val="zh-CN"/>
        </w:rPr>
        <w:t>《中华人民共和国政府采购法》等相</w:t>
      </w:r>
      <w:r>
        <w:rPr>
          <w:rFonts w:hint="eastAsia" w:ascii="宋体" w:hAnsi="宋体" w:cs="宋体"/>
          <w:color w:val="auto"/>
          <w:sz w:val="24"/>
        </w:rPr>
        <w:t>关法律法规，遵循平等、自愿、公平和诚实信用原则，同意按照下面的条款和条件订立本政府采购合同，共同信守。</w:t>
      </w:r>
    </w:p>
    <w:p w14:paraId="2AD29316">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一、政府采购合同文件</w:t>
      </w:r>
    </w:p>
    <w:p w14:paraId="29A7FBF1">
      <w:pPr>
        <w:spacing w:line="360" w:lineRule="auto"/>
        <w:jc w:val="left"/>
        <w:rPr>
          <w:rFonts w:ascii="宋体" w:hAnsi="宋体" w:cs="宋体"/>
          <w:color w:val="auto"/>
          <w:sz w:val="24"/>
        </w:rPr>
      </w:pPr>
      <w:r>
        <w:rPr>
          <w:rFonts w:hint="eastAsia" w:ascii="宋体" w:hAnsi="宋体" w:cs="宋体"/>
          <w:color w:val="auto"/>
          <w:sz w:val="24"/>
        </w:rPr>
        <w:t xml:space="preserve">    本政府采购合同所附下列文件是构成本政府采购合同不可分割的部分：</w:t>
      </w:r>
    </w:p>
    <w:p w14:paraId="388FDE91">
      <w:pPr>
        <w:spacing w:line="360" w:lineRule="auto"/>
        <w:ind w:firstLine="480" w:firstLineChars="200"/>
        <w:jc w:val="left"/>
        <w:rPr>
          <w:rFonts w:ascii="宋体" w:hAnsi="宋体" w:cs="宋体"/>
          <w:color w:val="auto"/>
          <w:sz w:val="24"/>
        </w:rPr>
      </w:pPr>
      <w:r>
        <w:rPr>
          <w:rFonts w:hint="eastAsia" w:ascii="宋体" w:hAnsi="宋体" w:cs="宋体"/>
          <w:color w:val="auto"/>
          <w:sz w:val="24"/>
        </w:rPr>
        <w:t>1.竞争性磋商文件文件（含澄清或者修改文件）；</w:t>
      </w:r>
    </w:p>
    <w:p w14:paraId="49FAD3EE">
      <w:pPr>
        <w:spacing w:line="360" w:lineRule="auto"/>
        <w:ind w:firstLine="480" w:firstLineChars="200"/>
        <w:jc w:val="left"/>
        <w:rPr>
          <w:rFonts w:ascii="宋体" w:hAnsi="宋体" w:cs="宋体"/>
          <w:color w:val="auto"/>
          <w:sz w:val="24"/>
        </w:rPr>
      </w:pPr>
      <w:r>
        <w:rPr>
          <w:rFonts w:hint="eastAsia" w:ascii="宋体" w:hAnsi="宋体" w:cs="宋体"/>
          <w:color w:val="auto"/>
          <w:sz w:val="24"/>
        </w:rPr>
        <w:t>2.竞争性磋商文件的更正公告、变更公告；</w:t>
      </w:r>
    </w:p>
    <w:p w14:paraId="4A5F8E73">
      <w:pPr>
        <w:spacing w:line="360" w:lineRule="auto"/>
        <w:ind w:firstLine="480" w:firstLineChars="200"/>
        <w:jc w:val="left"/>
        <w:rPr>
          <w:rFonts w:ascii="宋体" w:hAnsi="宋体" w:cs="宋体"/>
          <w:color w:val="auto"/>
          <w:sz w:val="24"/>
        </w:rPr>
      </w:pPr>
      <w:r>
        <w:rPr>
          <w:rFonts w:hint="eastAsia" w:ascii="宋体" w:hAnsi="宋体" w:cs="宋体"/>
          <w:color w:val="auto"/>
          <w:sz w:val="24"/>
        </w:rPr>
        <w:t>3.乙方提交的响应文件（含澄清或者说明文件）；</w:t>
      </w:r>
    </w:p>
    <w:p w14:paraId="1286FA5A">
      <w:pPr>
        <w:spacing w:line="360" w:lineRule="auto"/>
        <w:ind w:firstLine="480" w:firstLineChars="200"/>
        <w:jc w:val="left"/>
        <w:rPr>
          <w:rFonts w:ascii="宋体" w:hAnsi="宋体" w:cs="宋体"/>
          <w:color w:val="auto"/>
          <w:sz w:val="24"/>
        </w:rPr>
      </w:pPr>
      <w:r>
        <w:rPr>
          <w:rFonts w:hint="eastAsia" w:ascii="宋体" w:hAnsi="宋体" w:cs="宋体"/>
          <w:color w:val="auto"/>
          <w:sz w:val="24"/>
        </w:rPr>
        <w:t>4.政府采购合同条款；</w:t>
      </w:r>
    </w:p>
    <w:p w14:paraId="12C937AA">
      <w:pPr>
        <w:spacing w:line="360" w:lineRule="auto"/>
        <w:ind w:firstLine="480" w:firstLineChars="200"/>
        <w:jc w:val="left"/>
        <w:rPr>
          <w:rFonts w:ascii="宋体" w:hAnsi="宋体" w:cs="宋体"/>
          <w:color w:val="auto"/>
          <w:sz w:val="24"/>
        </w:rPr>
      </w:pPr>
      <w:r>
        <w:rPr>
          <w:rFonts w:hint="eastAsia" w:ascii="宋体" w:hAnsi="宋体" w:cs="宋体"/>
          <w:color w:val="auto"/>
          <w:sz w:val="24"/>
        </w:rPr>
        <w:t>5.成交通知书；</w:t>
      </w:r>
    </w:p>
    <w:p w14:paraId="4FE84781">
      <w:pPr>
        <w:spacing w:line="360" w:lineRule="auto"/>
        <w:ind w:firstLine="480" w:firstLineChars="200"/>
        <w:jc w:val="left"/>
        <w:rPr>
          <w:rFonts w:ascii="宋体" w:hAnsi="宋体" w:cs="宋体"/>
          <w:color w:val="auto"/>
          <w:sz w:val="24"/>
        </w:rPr>
      </w:pPr>
      <w:r>
        <w:rPr>
          <w:rFonts w:hint="eastAsia" w:ascii="宋体" w:hAnsi="宋体" w:cs="宋体"/>
          <w:color w:val="auto"/>
          <w:sz w:val="24"/>
        </w:rPr>
        <w:t>6.政府采购合同的其它附件。</w:t>
      </w:r>
    </w:p>
    <w:p w14:paraId="222DBEC0">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二、政府采购合同范围和条件</w:t>
      </w:r>
    </w:p>
    <w:p w14:paraId="00AFF05D">
      <w:pPr>
        <w:spacing w:line="360" w:lineRule="auto"/>
        <w:jc w:val="left"/>
        <w:rPr>
          <w:rFonts w:ascii="宋体" w:hAnsi="宋体" w:cs="宋体"/>
          <w:color w:val="auto"/>
          <w:sz w:val="24"/>
        </w:rPr>
      </w:pPr>
      <w:r>
        <w:rPr>
          <w:rFonts w:hint="eastAsia" w:ascii="宋体" w:hAnsi="宋体" w:cs="宋体"/>
          <w:color w:val="auto"/>
          <w:sz w:val="24"/>
        </w:rPr>
        <w:t xml:space="preserve">    本政府采购合同的范围和条件与上述政府采购合同文件的规定相一致。</w:t>
      </w:r>
    </w:p>
    <w:p w14:paraId="2054C6C6">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三、政府采购合同标的</w:t>
      </w:r>
    </w:p>
    <w:p w14:paraId="0C7E7826">
      <w:pPr>
        <w:spacing w:line="360" w:lineRule="auto"/>
        <w:jc w:val="left"/>
        <w:rPr>
          <w:rFonts w:ascii="宋体" w:hAnsi="宋体" w:cs="宋体"/>
          <w:color w:val="auto"/>
          <w:sz w:val="24"/>
        </w:rPr>
      </w:pPr>
      <w:r>
        <w:rPr>
          <w:rFonts w:hint="eastAsia" w:ascii="宋体" w:hAnsi="宋体" w:cs="宋体"/>
          <w:color w:val="auto"/>
          <w:sz w:val="24"/>
        </w:rPr>
        <w:t xml:space="preserve">    本政府采购合同的标的为政府采购合同货物清单(同响应文件中的开标一览表/分项报价明细表)中所列货物及相关服务。</w:t>
      </w:r>
    </w:p>
    <w:tbl>
      <w:tblPr>
        <w:tblStyle w:val="9"/>
        <w:tblW w:w="8464" w:type="dxa"/>
        <w:jc w:val="center"/>
        <w:tblLayout w:type="fixed"/>
        <w:tblCellMar>
          <w:top w:w="0" w:type="dxa"/>
          <w:left w:w="108" w:type="dxa"/>
          <w:bottom w:w="0" w:type="dxa"/>
          <w:right w:w="108" w:type="dxa"/>
        </w:tblCellMar>
      </w:tblPr>
      <w:tblGrid>
        <w:gridCol w:w="750"/>
        <w:gridCol w:w="1243"/>
        <w:gridCol w:w="1818"/>
        <w:gridCol w:w="1416"/>
        <w:gridCol w:w="975"/>
        <w:gridCol w:w="1518"/>
        <w:gridCol w:w="744"/>
      </w:tblGrid>
      <w:tr w14:paraId="6590CEC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747862DA">
            <w:pPr>
              <w:spacing w:line="360" w:lineRule="auto"/>
              <w:jc w:val="center"/>
              <w:rPr>
                <w:rFonts w:ascii="宋体" w:hAnsi="宋体" w:cs="宋体"/>
                <w:b/>
                <w:bCs/>
                <w:color w:val="auto"/>
                <w:sz w:val="24"/>
              </w:rPr>
            </w:pPr>
            <w:r>
              <w:rPr>
                <w:rFonts w:hint="eastAsia" w:ascii="宋体" w:hAnsi="宋体" w:cs="宋体"/>
                <w:b/>
                <w:bCs/>
                <w:color w:val="auto"/>
                <w:sz w:val="24"/>
              </w:rPr>
              <w:t>序号</w:t>
            </w:r>
          </w:p>
        </w:tc>
        <w:tc>
          <w:tcPr>
            <w:tcW w:w="1243" w:type="dxa"/>
            <w:tcBorders>
              <w:top w:val="single" w:color="auto" w:sz="4" w:space="0"/>
              <w:left w:val="single" w:color="auto" w:sz="4" w:space="0"/>
              <w:bottom w:val="single" w:color="auto" w:sz="4" w:space="0"/>
              <w:right w:val="single" w:color="auto" w:sz="4" w:space="0"/>
            </w:tcBorders>
            <w:vAlign w:val="center"/>
          </w:tcPr>
          <w:p w14:paraId="228EBA3E">
            <w:pPr>
              <w:spacing w:line="360" w:lineRule="auto"/>
              <w:jc w:val="center"/>
              <w:rPr>
                <w:rFonts w:ascii="宋体" w:hAnsi="宋体" w:cs="宋体"/>
                <w:b/>
                <w:bCs/>
                <w:color w:val="auto"/>
                <w:sz w:val="24"/>
              </w:rPr>
            </w:pPr>
            <w:r>
              <w:rPr>
                <w:rFonts w:hint="eastAsia" w:ascii="宋体" w:hAnsi="宋体" w:cs="宋体"/>
                <w:b/>
                <w:bCs/>
                <w:color w:val="auto"/>
                <w:sz w:val="24"/>
              </w:rPr>
              <w:t>服务名称</w:t>
            </w:r>
          </w:p>
        </w:tc>
        <w:tc>
          <w:tcPr>
            <w:tcW w:w="1818" w:type="dxa"/>
            <w:tcBorders>
              <w:top w:val="single" w:color="auto" w:sz="4" w:space="0"/>
              <w:left w:val="single" w:color="auto" w:sz="4" w:space="0"/>
              <w:bottom w:val="single" w:color="auto" w:sz="4" w:space="0"/>
              <w:right w:val="single" w:color="auto" w:sz="4" w:space="0"/>
            </w:tcBorders>
            <w:vAlign w:val="center"/>
          </w:tcPr>
          <w:p w14:paraId="2207B7B0">
            <w:pPr>
              <w:spacing w:line="360" w:lineRule="auto"/>
              <w:jc w:val="center"/>
              <w:rPr>
                <w:rFonts w:ascii="宋体" w:hAnsi="宋体" w:cs="宋体"/>
                <w:b/>
                <w:bCs/>
                <w:color w:val="auto"/>
                <w:sz w:val="24"/>
              </w:rPr>
            </w:pPr>
            <w:r>
              <w:rPr>
                <w:rFonts w:hint="eastAsia" w:ascii="宋体" w:hAnsi="宋体" w:cs="宋体"/>
                <w:b/>
                <w:bCs/>
                <w:color w:val="auto"/>
                <w:sz w:val="24"/>
              </w:rPr>
              <w:t>或服务要求</w:t>
            </w:r>
          </w:p>
        </w:tc>
        <w:tc>
          <w:tcPr>
            <w:tcW w:w="1416" w:type="dxa"/>
            <w:tcBorders>
              <w:top w:val="single" w:color="auto" w:sz="4" w:space="0"/>
              <w:left w:val="single" w:color="auto" w:sz="4" w:space="0"/>
              <w:bottom w:val="single" w:color="auto" w:sz="4" w:space="0"/>
              <w:right w:val="single" w:color="auto" w:sz="4" w:space="0"/>
            </w:tcBorders>
            <w:vAlign w:val="center"/>
          </w:tcPr>
          <w:p w14:paraId="08B10240">
            <w:pPr>
              <w:spacing w:line="360" w:lineRule="auto"/>
              <w:jc w:val="center"/>
              <w:rPr>
                <w:rFonts w:ascii="宋体" w:hAnsi="宋体" w:cs="宋体"/>
                <w:b/>
                <w:bCs/>
                <w:color w:val="auto"/>
                <w:sz w:val="24"/>
              </w:rPr>
            </w:pPr>
            <w:r>
              <w:rPr>
                <w:rFonts w:hint="eastAsia" w:ascii="宋体" w:hAnsi="宋体" w:cs="宋体"/>
                <w:b/>
                <w:bCs/>
                <w:color w:val="auto"/>
                <w:sz w:val="24"/>
              </w:rPr>
              <w:t>数量/单位</w:t>
            </w:r>
          </w:p>
        </w:tc>
        <w:tc>
          <w:tcPr>
            <w:tcW w:w="975" w:type="dxa"/>
            <w:tcBorders>
              <w:top w:val="single" w:color="auto" w:sz="4" w:space="0"/>
              <w:left w:val="single" w:color="auto" w:sz="4" w:space="0"/>
              <w:bottom w:val="single" w:color="auto" w:sz="4" w:space="0"/>
              <w:right w:val="single" w:color="auto" w:sz="4" w:space="0"/>
            </w:tcBorders>
            <w:vAlign w:val="center"/>
          </w:tcPr>
          <w:p w14:paraId="1F00C5EE">
            <w:pPr>
              <w:spacing w:line="360" w:lineRule="auto"/>
              <w:jc w:val="center"/>
              <w:rPr>
                <w:rFonts w:ascii="宋体" w:hAnsi="宋体" w:cs="宋体"/>
                <w:b/>
                <w:bCs/>
                <w:color w:val="auto"/>
                <w:sz w:val="24"/>
              </w:rPr>
            </w:pPr>
            <w:r>
              <w:rPr>
                <w:rFonts w:hint="eastAsia" w:ascii="宋体" w:hAnsi="宋体" w:cs="宋体"/>
                <w:b/>
                <w:bCs/>
                <w:color w:val="auto"/>
                <w:sz w:val="24"/>
              </w:rPr>
              <w:t>单价</w:t>
            </w:r>
          </w:p>
          <w:p w14:paraId="511C3C62">
            <w:pPr>
              <w:spacing w:line="360" w:lineRule="auto"/>
              <w:jc w:val="center"/>
              <w:rPr>
                <w:rFonts w:ascii="宋体" w:hAnsi="宋体" w:cs="宋体"/>
                <w:b/>
                <w:bCs/>
                <w:color w:val="auto"/>
                <w:sz w:val="24"/>
              </w:rPr>
            </w:pPr>
            <w:r>
              <w:rPr>
                <w:rFonts w:hint="eastAsia" w:ascii="宋体" w:hAnsi="宋体" w:cs="宋体"/>
                <w:b/>
                <w:bCs/>
                <w:color w:val="auto"/>
                <w:sz w:val="24"/>
              </w:rPr>
              <w:t>（元）</w:t>
            </w:r>
          </w:p>
        </w:tc>
        <w:tc>
          <w:tcPr>
            <w:tcW w:w="1518" w:type="dxa"/>
            <w:tcBorders>
              <w:top w:val="single" w:color="auto" w:sz="4" w:space="0"/>
              <w:left w:val="single" w:color="auto" w:sz="4" w:space="0"/>
              <w:bottom w:val="single" w:color="auto" w:sz="4" w:space="0"/>
              <w:right w:val="single" w:color="auto" w:sz="4" w:space="0"/>
            </w:tcBorders>
            <w:vAlign w:val="center"/>
          </w:tcPr>
          <w:p w14:paraId="3B8C4C99">
            <w:pPr>
              <w:spacing w:line="360" w:lineRule="auto"/>
              <w:jc w:val="center"/>
              <w:rPr>
                <w:rFonts w:ascii="宋体" w:hAnsi="宋体" w:cs="宋体"/>
                <w:b/>
                <w:bCs/>
                <w:color w:val="auto"/>
                <w:sz w:val="24"/>
              </w:rPr>
            </w:pPr>
            <w:r>
              <w:rPr>
                <w:rFonts w:hint="eastAsia" w:ascii="宋体" w:hAnsi="宋体" w:cs="宋体"/>
                <w:b/>
                <w:bCs/>
                <w:color w:val="auto"/>
                <w:sz w:val="24"/>
              </w:rPr>
              <w:t>单项总价</w:t>
            </w:r>
          </w:p>
          <w:p w14:paraId="0EE4D9C9">
            <w:pPr>
              <w:spacing w:line="360" w:lineRule="auto"/>
              <w:jc w:val="center"/>
              <w:rPr>
                <w:rFonts w:ascii="宋体" w:hAnsi="宋体" w:cs="宋体"/>
                <w:b/>
                <w:bCs/>
                <w:color w:val="auto"/>
                <w:sz w:val="24"/>
              </w:rPr>
            </w:pPr>
            <w:r>
              <w:rPr>
                <w:rFonts w:hint="eastAsia" w:ascii="宋体" w:hAnsi="宋体" w:cs="宋体"/>
                <w:b/>
                <w:bCs/>
                <w:color w:val="auto"/>
                <w:sz w:val="24"/>
              </w:rPr>
              <w:t>(元)</w:t>
            </w:r>
          </w:p>
        </w:tc>
        <w:tc>
          <w:tcPr>
            <w:tcW w:w="744" w:type="dxa"/>
            <w:tcBorders>
              <w:top w:val="single" w:color="auto" w:sz="4" w:space="0"/>
              <w:left w:val="single" w:color="auto" w:sz="4" w:space="0"/>
              <w:bottom w:val="single" w:color="auto" w:sz="4" w:space="0"/>
              <w:right w:val="single" w:color="auto" w:sz="4" w:space="0"/>
            </w:tcBorders>
            <w:vAlign w:val="center"/>
          </w:tcPr>
          <w:p w14:paraId="07E2B2CD">
            <w:pPr>
              <w:spacing w:line="360" w:lineRule="auto"/>
              <w:jc w:val="center"/>
              <w:rPr>
                <w:rFonts w:ascii="宋体" w:hAnsi="宋体" w:cs="宋体"/>
                <w:b/>
                <w:bCs/>
                <w:color w:val="auto"/>
                <w:sz w:val="24"/>
              </w:rPr>
            </w:pPr>
            <w:r>
              <w:rPr>
                <w:rFonts w:hint="eastAsia" w:ascii="宋体" w:hAnsi="宋体" w:cs="宋体"/>
                <w:b/>
                <w:bCs/>
                <w:color w:val="auto"/>
                <w:sz w:val="24"/>
              </w:rPr>
              <w:t>备注</w:t>
            </w:r>
          </w:p>
        </w:tc>
      </w:tr>
      <w:tr w14:paraId="46DBA7EE">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30BCDA9">
            <w:pPr>
              <w:spacing w:line="360" w:lineRule="auto"/>
              <w:jc w:val="left"/>
              <w:rPr>
                <w:rFonts w:ascii="宋体" w:hAnsi="宋体" w:cs="宋体"/>
                <w:color w:val="auto"/>
                <w:sz w:val="28"/>
                <w:szCs w:val="28"/>
              </w:rPr>
            </w:pPr>
          </w:p>
        </w:tc>
        <w:tc>
          <w:tcPr>
            <w:tcW w:w="1243" w:type="dxa"/>
            <w:tcBorders>
              <w:top w:val="single" w:color="auto" w:sz="4" w:space="0"/>
              <w:left w:val="single" w:color="auto" w:sz="4" w:space="0"/>
              <w:bottom w:val="single" w:color="auto" w:sz="4" w:space="0"/>
              <w:right w:val="single" w:color="auto" w:sz="4" w:space="0"/>
            </w:tcBorders>
            <w:shd w:val="clear" w:color="auto" w:fill="FFFFFF"/>
            <w:vAlign w:val="center"/>
          </w:tcPr>
          <w:p w14:paraId="4253082A">
            <w:pPr>
              <w:spacing w:line="360" w:lineRule="auto"/>
              <w:jc w:val="left"/>
              <w:rPr>
                <w:rFonts w:ascii="宋体" w:hAnsi="宋体" w:cs="宋体"/>
                <w:color w:val="auto"/>
                <w:sz w:val="28"/>
                <w:szCs w:val="28"/>
              </w:rPr>
            </w:pPr>
          </w:p>
        </w:tc>
        <w:tc>
          <w:tcPr>
            <w:tcW w:w="1818" w:type="dxa"/>
            <w:tcBorders>
              <w:top w:val="single" w:color="auto" w:sz="4" w:space="0"/>
              <w:left w:val="single" w:color="auto" w:sz="4" w:space="0"/>
              <w:bottom w:val="single" w:color="auto" w:sz="4" w:space="0"/>
              <w:right w:val="single" w:color="auto" w:sz="4" w:space="0"/>
            </w:tcBorders>
            <w:shd w:val="clear" w:color="auto" w:fill="FFFFFF"/>
            <w:vAlign w:val="center"/>
          </w:tcPr>
          <w:p w14:paraId="5DE55675">
            <w:pPr>
              <w:spacing w:line="360" w:lineRule="auto"/>
              <w:jc w:val="left"/>
              <w:rPr>
                <w:rFonts w:ascii="宋体" w:hAnsi="宋体" w:cs="宋体"/>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vAlign w:val="center"/>
          </w:tcPr>
          <w:p w14:paraId="3A7DB801">
            <w:pPr>
              <w:spacing w:line="360" w:lineRule="auto"/>
              <w:jc w:val="left"/>
              <w:rPr>
                <w:rFonts w:ascii="宋体" w:hAnsi="宋体" w:cs="宋体"/>
                <w:color w:val="auto"/>
                <w:sz w:val="28"/>
                <w:szCs w:val="28"/>
              </w:rPr>
            </w:pP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14:paraId="4536D7F6">
            <w:pPr>
              <w:spacing w:line="360" w:lineRule="auto"/>
              <w:jc w:val="left"/>
              <w:rPr>
                <w:rFonts w:ascii="宋体" w:hAnsi="宋体" w:cs="宋体"/>
                <w:color w:val="auto"/>
                <w:sz w:val="28"/>
                <w:szCs w:val="28"/>
              </w:rPr>
            </w:pPr>
          </w:p>
        </w:tc>
        <w:tc>
          <w:tcPr>
            <w:tcW w:w="1518" w:type="dxa"/>
            <w:tcBorders>
              <w:top w:val="single" w:color="auto" w:sz="4" w:space="0"/>
              <w:left w:val="single" w:color="auto" w:sz="4" w:space="0"/>
              <w:bottom w:val="single" w:color="auto" w:sz="4" w:space="0"/>
              <w:right w:val="single" w:color="auto" w:sz="4" w:space="0"/>
            </w:tcBorders>
            <w:shd w:val="clear" w:color="auto" w:fill="FFFFFF"/>
            <w:vAlign w:val="center"/>
          </w:tcPr>
          <w:p w14:paraId="4587316B">
            <w:pPr>
              <w:spacing w:line="360" w:lineRule="auto"/>
              <w:jc w:val="left"/>
              <w:rPr>
                <w:rFonts w:ascii="宋体" w:hAnsi="宋体" w:cs="宋体"/>
                <w:color w:val="auto"/>
                <w:sz w:val="28"/>
                <w:szCs w:val="28"/>
              </w:rPr>
            </w:pPr>
          </w:p>
        </w:tc>
        <w:tc>
          <w:tcPr>
            <w:tcW w:w="744" w:type="dxa"/>
            <w:tcBorders>
              <w:top w:val="single" w:color="auto" w:sz="4" w:space="0"/>
              <w:left w:val="single" w:color="auto" w:sz="4" w:space="0"/>
              <w:bottom w:val="single" w:color="auto" w:sz="4" w:space="0"/>
              <w:right w:val="single" w:color="auto" w:sz="4" w:space="0"/>
            </w:tcBorders>
            <w:shd w:val="clear" w:color="auto" w:fill="FFFFFF"/>
            <w:vAlign w:val="center"/>
          </w:tcPr>
          <w:p w14:paraId="44C46F4E">
            <w:pPr>
              <w:spacing w:line="360" w:lineRule="auto"/>
              <w:jc w:val="left"/>
              <w:rPr>
                <w:rFonts w:ascii="宋体" w:hAnsi="宋体" w:cs="宋体"/>
                <w:color w:val="auto"/>
                <w:sz w:val="28"/>
                <w:szCs w:val="28"/>
              </w:rPr>
            </w:pPr>
          </w:p>
        </w:tc>
      </w:tr>
      <w:tr w14:paraId="32ECAED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F425DE8">
            <w:pPr>
              <w:spacing w:line="360" w:lineRule="auto"/>
              <w:jc w:val="left"/>
              <w:rPr>
                <w:rFonts w:ascii="宋体" w:hAnsi="宋体" w:cs="宋体"/>
                <w:color w:val="auto"/>
                <w:sz w:val="28"/>
                <w:szCs w:val="28"/>
              </w:rPr>
            </w:pPr>
          </w:p>
        </w:tc>
        <w:tc>
          <w:tcPr>
            <w:tcW w:w="1243" w:type="dxa"/>
            <w:tcBorders>
              <w:top w:val="single" w:color="auto" w:sz="4" w:space="0"/>
              <w:left w:val="single" w:color="auto" w:sz="4" w:space="0"/>
              <w:bottom w:val="single" w:color="auto" w:sz="4" w:space="0"/>
              <w:right w:val="single" w:color="auto" w:sz="4" w:space="0"/>
            </w:tcBorders>
            <w:shd w:val="clear" w:color="auto" w:fill="FFFFFF"/>
            <w:vAlign w:val="center"/>
          </w:tcPr>
          <w:p w14:paraId="400E36CF">
            <w:pPr>
              <w:spacing w:line="360" w:lineRule="auto"/>
              <w:jc w:val="left"/>
              <w:rPr>
                <w:rFonts w:ascii="宋体" w:hAnsi="宋体" w:cs="宋体"/>
                <w:color w:val="auto"/>
                <w:sz w:val="28"/>
                <w:szCs w:val="28"/>
              </w:rPr>
            </w:pPr>
          </w:p>
        </w:tc>
        <w:tc>
          <w:tcPr>
            <w:tcW w:w="1818" w:type="dxa"/>
            <w:tcBorders>
              <w:top w:val="single" w:color="auto" w:sz="4" w:space="0"/>
              <w:left w:val="single" w:color="auto" w:sz="4" w:space="0"/>
              <w:bottom w:val="single" w:color="auto" w:sz="4" w:space="0"/>
              <w:right w:val="single" w:color="auto" w:sz="4" w:space="0"/>
            </w:tcBorders>
            <w:shd w:val="clear" w:color="auto" w:fill="FFFFFF"/>
            <w:vAlign w:val="center"/>
          </w:tcPr>
          <w:p w14:paraId="2B4862E5">
            <w:pPr>
              <w:spacing w:line="360" w:lineRule="auto"/>
              <w:jc w:val="left"/>
              <w:rPr>
                <w:rFonts w:ascii="宋体" w:hAnsi="宋体" w:cs="宋体"/>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vAlign w:val="center"/>
          </w:tcPr>
          <w:p w14:paraId="4ACB4B5A">
            <w:pPr>
              <w:spacing w:line="360" w:lineRule="auto"/>
              <w:jc w:val="left"/>
              <w:rPr>
                <w:rFonts w:ascii="宋体" w:hAnsi="宋体" w:cs="宋体"/>
                <w:color w:val="auto"/>
                <w:sz w:val="28"/>
                <w:szCs w:val="28"/>
              </w:rPr>
            </w:pP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14:paraId="559C527D">
            <w:pPr>
              <w:spacing w:line="360" w:lineRule="auto"/>
              <w:jc w:val="left"/>
              <w:rPr>
                <w:rFonts w:ascii="宋体" w:hAnsi="宋体" w:cs="宋体"/>
                <w:color w:val="auto"/>
                <w:sz w:val="28"/>
                <w:szCs w:val="28"/>
              </w:rPr>
            </w:pPr>
          </w:p>
        </w:tc>
        <w:tc>
          <w:tcPr>
            <w:tcW w:w="1518" w:type="dxa"/>
            <w:tcBorders>
              <w:top w:val="single" w:color="auto" w:sz="4" w:space="0"/>
              <w:left w:val="single" w:color="auto" w:sz="4" w:space="0"/>
              <w:bottom w:val="single" w:color="auto" w:sz="4" w:space="0"/>
              <w:right w:val="single" w:color="auto" w:sz="4" w:space="0"/>
            </w:tcBorders>
            <w:shd w:val="clear" w:color="auto" w:fill="FFFFFF"/>
            <w:vAlign w:val="center"/>
          </w:tcPr>
          <w:p w14:paraId="2A262DE4">
            <w:pPr>
              <w:spacing w:line="360" w:lineRule="auto"/>
              <w:jc w:val="left"/>
              <w:rPr>
                <w:rFonts w:ascii="宋体" w:hAnsi="宋体" w:cs="宋体"/>
                <w:color w:val="auto"/>
                <w:sz w:val="28"/>
                <w:szCs w:val="28"/>
              </w:rPr>
            </w:pPr>
          </w:p>
        </w:tc>
        <w:tc>
          <w:tcPr>
            <w:tcW w:w="744" w:type="dxa"/>
            <w:tcBorders>
              <w:top w:val="single" w:color="auto" w:sz="4" w:space="0"/>
              <w:left w:val="single" w:color="auto" w:sz="4" w:space="0"/>
              <w:bottom w:val="single" w:color="auto" w:sz="4" w:space="0"/>
              <w:right w:val="single" w:color="auto" w:sz="4" w:space="0"/>
            </w:tcBorders>
            <w:shd w:val="clear" w:color="auto" w:fill="FFFFFF"/>
            <w:vAlign w:val="center"/>
          </w:tcPr>
          <w:p w14:paraId="55C4326A">
            <w:pPr>
              <w:spacing w:line="360" w:lineRule="auto"/>
              <w:jc w:val="left"/>
              <w:rPr>
                <w:rFonts w:ascii="宋体" w:hAnsi="宋体" w:cs="宋体"/>
                <w:color w:val="auto"/>
                <w:sz w:val="28"/>
                <w:szCs w:val="28"/>
              </w:rPr>
            </w:pPr>
          </w:p>
        </w:tc>
      </w:tr>
      <w:tr w14:paraId="4B8D2FA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1326C34">
            <w:pPr>
              <w:spacing w:line="360" w:lineRule="auto"/>
              <w:jc w:val="left"/>
              <w:rPr>
                <w:rFonts w:ascii="宋体" w:hAnsi="宋体" w:cs="宋体"/>
                <w:color w:val="auto"/>
                <w:sz w:val="28"/>
                <w:szCs w:val="28"/>
              </w:rPr>
            </w:pPr>
          </w:p>
        </w:tc>
        <w:tc>
          <w:tcPr>
            <w:tcW w:w="1243" w:type="dxa"/>
            <w:tcBorders>
              <w:top w:val="single" w:color="auto" w:sz="4" w:space="0"/>
              <w:left w:val="single" w:color="auto" w:sz="4" w:space="0"/>
              <w:bottom w:val="single" w:color="auto" w:sz="4" w:space="0"/>
              <w:right w:val="single" w:color="auto" w:sz="4" w:space="0"/>
            </w:tcBorders>
            <w:shd w:val="clear" w:color="auto" w:fill="FFFFFF"/>
            <w:vAlign w:val="center"/>
          </w:tcPr>
          <w:p w14:paraId="6ADF562D">
            <w:pPr>
              <w:spacing w:line="360" w:lineRule="auto"/>
              <w:jc w:val="left"/>
              <w:rPr>
                <w:rFonts w:ascii="宋体" w:hAnsi="宋体" w:cs="宋体"/>
                <w:color w:val="auto"/>
                <w:sz w:val="28"/>
                <w:szCs w:val="28"/>
              </w:rPr>
            </w:pPr>
          </w:p>
        </w:tc>
        <w:tc>
          <w:tcPr>
            <w:tcW w:w="1818" w:type="dxa"/>
            <w:tcBorders>
              <w:top w:val="single" w:color="auto" w:sz="4" w:space="0"/>
              <w:left w:val="single" w:color="auto" w:sz="4" w:space="0"/>
              <w:bottom w:val="single" w:color="auto" w:sz="4" w:space="0"/>
              <w:right w:val="single" w:color="auto" w:sz="4" w:space="0"/>
            </w:tcBorders>
            <w:shd w:val="clear" w:color="auto" w:fill="FFFFFF"/>
            <w:vAlign w:val="center"/>
          </w:tcPr>
          <w:p w14:paraId="567C5C1E">
            <w:pPr>
              <w:spacing w:line="360" w:lineRule="auto"/>
              <w:jc w:val="left"/>
              <w:rPr>
                <w:rFonts w:ascii="宋体" w:hAnsi="宋体" w:cs="宋体"/>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vAlign w:val="center"/>
          </w:tcPr>
          <w:p w14:paraId="44C93AC9">
            <w:pPr>
              <w:spacing w:line="360" w:lineRule="auto"/>
              <w:jc w:val="left"/>
              <w:rPr>
                <w:rFonts w:ascii="宋体" w:hAnsi="宋体" w:cs="宋体"/>
                <w:color w:val="auto"/>
                <w:sz w:val="28"/>
                <w:szCs w:val="28"/>
              </w:rPr>
            </w:pP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14:paraId="7940965C">
            <w:pPr>
              <w:spacing w:line="360" w:lineRule="auto"/>
              <w:jc w:val="left"/>
              <w:rPr>
                <w:rFonts w:ascii="宋体" w:hAnsi="宋体" w:cs="宋体"/>
                <w:color w:val="auto"/>
                <w:sz w:val="28"/>
                <w:szCs w:val="28"/>
              </w:rPr>
            </w:pPr>
          </w:p>
        </w:tc>
        <w:tc>
          <w:tcPr>
            <w:tcW w:w="1518" w:type="dxa"/>
            <w:tcBorders>
              <w:top w:val="single" w:color="auto" w:sz="4" w:space="0"/>
              <w:left w:val="single" w:color="auto" w:sz="4" w:space="0"/>
              <w:bottom w:val="single" w:color="auto" w:sz="4" w:space="0"/>
              <w:right w:val="single" w:color="auto" w:sz="4" w:space="0"/>
            </w:tcBorders>
            <w:shd w:val="clear" w:color="auto" w:fill="FFFFFF"/>
            <w:vAlign w:val="center"/>
          </w:tcPr>
          <w:p w14:paraId="6A71B05E">
            <w:pPr>
              <w:spacing w:line="360" w:lineRule="auto"/>
              <w:jc w:val="left"/>
              <w:rPr>
                <w:rFonts w:ascii="宋体" w:hAnsi="宋体" w:cs="宋体"/>
                <w:color w:val="auto"/>
                <w:sz w:val="28"/>
                <w:szCs w:val="28"/>
              </w:rPr>
            </w:pPr>
          </w:p>
        </w:tc>
        <w:tc>
          <w:tcPr>
            <w:tcW w:w="744" w:type="dxa"/>
            <w:tcBorders>
              <w:top w:val="single" w:color="auto" w:sz="4" w:space="0"/>
              <w:left w:val="single" w:color="auto" w:sz="4" w:space="0"/>
              <w:bottom w:val="single" w:color="auto" w:sz="4" w:space="0"/>
              <w:right w:val="single" w:color="auto" w:sz="4" w:space="0"/>
            </w:tcBorders>
            <w:shd w:val="clear" w:color="auto" w:fill="FFFFFF"/>
            <w:vAlign w:val="center"/>
          </w:tcPr>
          <w:p w14:paraId="6D5955E4">
            <w:pPr>
              <w:spacing w:line="360" w:lineRule="auto"/>
              <w:jc w:val="left"/>
              <w:rPr>
                <w:rFonts w:ascii="宋体" w:hAnsi="宋体" w:cs="宋体"/>
                <w:color w:val="auto"/>
                <w:sz w:val="28"/>
                <w:szCs w:val="28"/>
              </w:rPr>
            </w:pPr>
          </w:p>
        </w:tc>
      </w:tr>
      <w:tr w14:paraId="17C5360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B5B4272">
            <w:pPr>
              <w:spacing w:line="360" w:lineRule="auto"/>
              <w:jc w:val="left"/>
              <w:rPr>
                <w:rFonts w:ascii="宋体" w:hAnsi="宋体" w:cs="宋体"/>
                <w:color w:val="auto"/>
                <w:sz w:val="28"/>
                <w:szCs w:val="28"/>
              </w:rPr>
            </w:pPr>
          </w:p>
        </w:tc>
        <w:tc>
          <w:tcPr>
            <w:tcW w:w="1243" w:type="dxa"/>
            <w:tcBorders>
              <w:top w:val="single" w:color="auto" w:sz="4" w:space="0"/>
              <w:left w:val="single" w:color="auto" w:sz="4" w:space="0"/>
              <w:bottom w:val="single" w:color="auto" w:sz="4" w:space="0"/>
              <w:right w:val="single" w:color="auto" w:sz="4" w:space="0"/>
            </w:tcBorders>
            <w:shd w:val="clear" w:color="auto" w:fill="FFFFFF"/>
            <w:vAlign w:val="center"/>
          </w:tcPr>
          <w:p w14:paraId="0E0CFD2A">
            <w:pPr>
              <w:spacing w:line="360" w:lineRule="auto"/>
              <w:jc w:val="left"/>
              <w:rPr>
                <w:rFonts w:ascii="宋体" w:hAnsi="宋体" w:cs="宋体"/>
                <w:color w:val="auto"/>
                <w:sz w:val="28"/>
                <w:szCs w:val="28"/>
              </w:rPr>
            </w:pPr>
          </w:p>
        </w:tc>
        <w:tc>
          <w:tcPr>
            <w:tcW w:w="1818" w:type="dxa"/>
            <w:tcBorders>
              <w:top w:val="single" w:color="auto" w:sz="4" w:space="0"/>
              <w:left w:val="single" w:color="auto" w:sz="4" w:space="0"/>
              <w:bottom w:val="single" w:color="auto" w:sz="4" w:space="0"/>
              <w:right w:val="single" w:color="auto" w:sz="4" w:space="0"/>
            </w:tcBorders>
            <w:shd w:val="clear" w:color="auto" w:fill="FFFFFF"/>
            <w:vAlign w:val="center"/>
          </w:tcPr>
          <w:p w14:paraId="0ADD8F2A">
            <w:pPr>
              <w:spacing w:line="360" w:lineRule="auto"/>
              <w:jc w:val="left"/>
              <w:rPr>
                <w:rFonts w:ascii="宋体" w:hAnsi="宋体" w:cs="宋体"/>
                <w:color w:val="auto"/>
                <w:sz w:val="28"/>
                <w:szCs w:val="28"/>
              </w:rPr>
            </w:pPr>
          </w:p>
        </w:tc>
        <w:tc>
          <w:tcPr>
            <w:tcW w:w="1416" w:type="dxa"/>
            <w:tcBorders>
              <w:top w:val="single" w:color="auto" w:sz="4" w:space="0"/>
              <w:left w:val="single" w:color="auto" w:sz="4" w:space="0"/>
              <w:bottom w:val="single" w:color="auto" w:sz="4" w:space="0"/>
              <w:right w:val="single" w:color="auto" w:sz="4" w:space="0"/>
            </w:tcBorders>
            <w:shd w:val="clear" w:color="auto" w:fill="FFFFFF"/>
            <w:vAlign w:val="center"/>
          </w:tcPr>
          <w:p w14:paraId="6BEEDEE1">
            <w:pPr>
              <w:spacing w:line="360" w:lineRule="auto"/>
              <w:jc w:val="left"/>
              <w:rPr>
                <w:rFonts w:ascii="宋体" w:hAnsi="宋体" w:cs="宋体"/>
                <w:color w:val="auto"/>
                <w:sz w:val="28"/>
                <w:szCs w:val="28"/>
              </w:rPr>
            </w:pP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14:paraId="00749DC7">
            <w:pPr>
              <w:spacing w:line="360" w:lineRule="auto"/>
              <w:jc w:val="left"/>
              <w:rPr>
                <w:rFonts w:ascii="宋体" w:hAnsi="宋体" w:cs="宋体"/>
                <w:color w:val="auto"/>
                <w:sz w:val="28"/>
                <w:szCs w:val="28"/>
              </w:rPr>
            </w:pPr>
          </w:p>
        </w:tc>
        <w:tc>
          <w:tcPr>
            <w:tcW w:w="1518" w:type="dxa"/>
            <w:tcBorders>
              <w:top w:val="single" w:color="auto" w:sz="4" w:space="0"/>
              <w:left w:val="single" w:color="auto" w:sz="4" w:space="0"/>
              <w:bottom w:val="single" w:color="auto" w:sz="4" w:space="0"/>
              <w:right w:val="single" w:color="auto" w:sz="4" w:space="0"/>
            </w:tcBorders>
            <w:shd w:val="clear" w:color="auto" w:fill="FFFFFF"/>
            <w:vAlign w:val="center"/>
          </w:tcPr>
          <w:p w14:paraId="7936C9AF">
            <w:pPr>
              <w:spacing w:line="360" w:lineRule="auto"/>
              <w:jc w:val="left"/>
              <w:rPr>
                <w:rFonts w:ascii="宋体" w:hAnsi="宋体" w:cs="宋体"/>
                <w:color w:val="auto"/>
                <w:sz w:val="28"/>
                <w:szCs w:val="28"/>
              </w:rPr>
            </w:pPr>
          </w:p>
        </w:tc>
        <w:tc>
          <w:tcPr>
            <w:tcW w:w="744" w:type="dxa"/>
            <w:tcBorders>
              <w:top w:val="single" w:color="auto" w:sz="4" w:space="0"/>
              <w:left w:val="single" w:color="auto" w:sz="4" w:space="0"/>
              <w:bottom w:val="single" w:color="auto" w:sz="4" w:space="0"/>
              <w:right w:val="single" w:color="auto" w:sz="4" w:space="0"/>
            </w:tcBorders>
            <w:shd w:val="clear" w:color="auto" w:fill="FFFFFF"/>
            <w:vAlign w:val="center"/>
          </w:tcPr>
          <w:p w14:paraId="69FBDDE7">
            <w:pPr>
              <w:spacing w:line="360" w:lineRule="auto"/>
              <w:jc w:val="left"/>
              <w:rPr>
                <w:rFonts w:ascii="宋体" w:hAnsi="宋体" w:cs="宋体"/>
                <w:color w:val="auto"/>
                <w:sz w:val="28"/>
                <w:szCs w:val="28"/>
              </w:rPr>
            </w:pPr>
          </w:p>
        </w:tc>
      </w:tr>
      <w:tr w14:paraId="5494E9E0">
        <w:tblPrEx>
          <w:tblCellMar>
            <w:top w:w="0" w:type="dxa"/>
            <w:left w:w="108" w:type="dxa"/>
            <w:bottom w:w="0" w:type="dxa"/>
            <w:right w:w="108" w:type="dxa"/>
          </w:tblCellMar>
        </w:tblPrEx>
        <w:trPr>
          <w:trHeight w:val="521" w:hRule="atLeast"/>
          <w:jc w:val="center"/>
        </w:trPr>
        <w:tc>
          <w:tcPr>
            <w:tcW w:w="62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E7B8E17">
            <w:pPr>
              <w:spacing w:line="360" w:lineRule="auto"/>
              <w:jc w:val="center"/>
              <w:rPr>
                <w:rFonts w:ascii="宋体" w:hAnsi="宋体" w:cs="宋体"/>
                <w:color w:val="auto"/>
                <w:sz w:val="28"/>
                <w:szCs w:val="28"/>
              </w:rPr>
            </w:pPr>
            <w:r>
              <w:rPr>
                <w:rFonts w:hint="eastAsia" w:ascii="宋体" w:hAnsi="宋体" w:cs="宋体"/>
                <w:color w:val="auto"/>
                <w:sz w:val="28"/>
                <w:szCs w:val="28"/>
              </w:rPr>
              <w:t>总       价</w:t>
            </w:r>
          </w:p>
        </w:tc>
        <w:tc>
          <w:tcPr>
            <w:tcW w:w="1518" w:type="dxa"/>
            <w:tcBorders>
              <w:top w:val="single" w:color="auto" w:sz="4" w:space="0"/>
              <w:left w:val="single" w:color="auto" w:sz="4" w:space="0"/>
              <w:bottom w:val="single" w:color="auto" w:sz="4" w:space="0"/>
              <w:right w:val="single" w:color="auto" w:sz="4" w:space="0"/>
            </w:tcBorders>
            <w:shd w:val="clear" w:color="auto" w:fill="FFFFFF"/>
            <w:vAlign w:val="center"/>
          </w:tcPr>
          <w:p w14:paraId="2D259194">
            <w:pPr>
              <w:spacing w:line="360" w:lineRule="auto"/>
              <w:jc w:val="left"/>
              <w:rPr>
                <w:rFonts w:ascii="宋体" w:hAnsi="宋体" w:cs="宋体"/>
                <w:color w:val="auto"/>
                <w:sz w:val="28"/>
                <w:szCs w:val="28"/>
              </w:rPr>
            </w:pPr>
          </w:p>
        </w:tc>
        <w:tc>
          <w:tcPr>
            <w:tcW w:w="744" w:type="dxa"/>
            <w:tcBorders>
              <w:top w:val="single" w:color="auto" w:sz="4" w:space="0"/>
              <w:left w:val="single" w:color="auto" w:sz="4" w:space="0"/>
              <w:bottom w:val="single" w:color="auto" w:sz="4" w:space="0"/>
              <w:right w:val="single" w:color="auto" w:sz="4" w:space="0"/>
            </w:tcBorders>
            <w:shd w:val="clear" w:color="auto" w:fill="FFFFFF"/>
            <w:vAlign w:val="center"/>
          </w:tcPr>
          <w:p w14:paraId="06A366BC">
            <w:pPr>
              <w:spacing w:line="360" w:lineRule="auto"/>
              <w:jc w:val="left"/>
              <w:rPr>
                <w:rFonts w:ascii="宋体" w:hAnsi="宋体" w:cs="宋体"/>
                <w:color w:val="auto"/>
                <w:sz w:val="28"/>
                <w:szCs w:val="28"/>
              </w:rPr>
            </w:pPr>
          </w:p>
        </w:tc>
      </w:tr>
    </w:tbl>
    <w:p w14:paraId="4C0D3F10">
      <w:pPr>
        <w:spacing w:beforeLines="50" w:line="360" w:lineRule="auto"/>
        <w:ind w:firstLine="422" w:firstLineChars="200"/>
        <w:jc w:val="left"/>
        <w:rPr>
          <w:rFonts w:ascii="宋体" w:hAnsi="宋体" w:cs="宋体"/>
          <w:b/>
          <w:color w:val="auto"/>
          <w:szCs w:val="21"/>
        </w:rPr>
      </w:pPr>
      <w:r>
        <w:rPr>
          <w:rFonts w:hint="eastAsia" w:ascii="宋体" w:hAnsi="宋体" w:cs="宋体"/>
          <w:b/>
          <w:color w:val="auto"/>
          <w:szCs w:val="21"/>
        </w:rPr>
        <w:t>注：此表须备注核心产品。</w:t>
      </w:r>
    </w:p>
    <w:p w14:paraId="4521C1C8">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四、政府采购合同金额</w:t>
      </w:r>
    </w:p>
    <w:p w14:paraId="017ADCEC">
      <w:pPr>
        <w:spacing w:line="360" w:lineRule="auto"/>
        <w:jc w:val="left"/>
        <w:rPr>
          <w:rFonts w:ascii="宋体" w:hAnsi="宋体" w:cs="宋体"/>
          <w:b/>
          <w:color w:val="auto"/>
          <w:sz w:val="24"/>
        </w:rPr>
      </w:pPr>
      <w:r>
        <w:rPr>
          <w:rFonts w:hint="eastAsia" w:ascii="宋体" w:hAnsi="宋体" w:cs="宋体"/>
          <w:color w:val="auto"/>
          <w:sz w:val="24"/>
        </w:rPr>
        <w:t xml:space="preserve">    根据上述政府采购合同文件要求，政府采购合同的总金额为人民币</w:t>
      </w:r>
      <w:r>
        <w:rPr>
          <w:rFonts w:hint="eastAsia" w:ascii="宋体" w:hAnsi="宋体" w:cs="宋体"/>
          <w:color w:val="auto"/>
          <w:sz w:val="24"/>
          <w:u w:val="single"/>
        </w:rPr>
        <w:t xml:space="preserve">(大写)              </w:t>
      </w:r>
      <w:r>
        <w:rPr>
          <w:rFonts w:hint="eastAsia" w:ascii="宋体" w:hAnsi="宋体" w:cs="宋体"/>
          <w:color w:val="auto"/>
          <w:sz w:val="24"/>
        </w:rPr>
        <w:t>，小写：</w:t>
      </w:r>
      <w:r>
        <w:rPr>
          <w:rFonts w:hint="eastAsia" w:ascii="宋体" w:hAnsi="宋体" w:cs="宋体"/>
          <w:color w:val="auto"/>
          <w:sz w:val="24"/>
          <w:u w:val="single"/>
        </w:rPr>
        <w:t xml:space="preserve">           </w:t>
      </w:r>
      <w:r>
        <w:rPr>
          <w:rFonts w:hint="eastAsia" w:ascii="宋体" w:hAnsi="宋体" w:cs="宋体"/>
          <w:color w:val="auto"/>
          <w:sz w:val="24"/>
        </w:rPr>
        <w:t xml:space="preserve">元。 </w:t>
      </w:r>
    </w:p>
    <w:p w14:paraId="58DE799F">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五、付款方式</w:t>
      </w:r>
    </w:p>
    <w:p w14:paraId="19E695FB">
      <w:pPr>
        <w:keepNext w:val="0"/>
        <w:keepLines w:val="0"/>
        <w:pageBreakBefore w:val="0"/>
        <w:numPr>
          <w:ilvl w:val="0"/>
          <w:numId w:val="2"/>
        </w:numPr>
        <w:tabs>
          <w:tab w:val="left" w:pos="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项目合同签订后，将支付合同总金额的</w:t>
      </w: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0%作为预付款</w:t>
      </w:r>
      <w:r>
        <w:rPr>
          <w:rFonts w:hint="eastAsia" w:ascii="宋体" w:hAnsi="宋体" w:cs="宋体"/>
          <w:color w:val="auto"/>
          <w:sz w:val="24"/>
          <w:szCs w:val="24"/>
          <w:lang w:eastAsia="zh-CN"/>
        </w:rPr>
        <w:t>；</w:t>
      </w:r>
    </w:p>
    <w:p w14:paraId="6B891D64">
      <w:pPr>
        <w:keepNext w:val="0"/>
        <w:keepLines w:val="0"/>
        <w:pageBreakBefore w:val="0"/>
        <w:numPr>
          <w:ilvl w:val="0"/>
          <w:numId w:val="2"/>
        </w:numPr>
        <w:tabs>
          <w:tab w:val="left" w:pos="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验收合格后，</w:t>
      </w:r>
      <w:r>
        <w:rPr>
          <w:rFonts w:hint="eastAsia" w:ascii="宋体" w:hAnsi="宋体" w:eastAsia="宋体" w:cs="宋体"/>
          <w:color w:val="auto"/>
          <w:sz w:val="24"/>
          <w:szCs w:val="24"/>
          <w:lang w:eastAsia="zh-CN"/>
        </w:rPr>
        <w:t>支付</w:t>
      </w:r>
      <w:r>
        <w:rPr>
          <w:rFonts w:hint="eastAsia" w:ascii="宋体" w:hAnsi="宋体" w:eastAsia="宋体" w:cs="宋体"/>
          <w:color w:val="auto"/>
          <w:sz w:val="24"/>
          <w:szCs w:val="24"/>
        </w:rPr>
        <w:t>合同总金额的</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0%</w:t>
      </w:r>
      <w:r>
        <w:rPr>
          <w:rFonts w:hint="eastAsia" w:ascii="宋体" w:hAnsi="宋体" w:cs="宋体"/>
          <w:color w:val="auto"/>
          <w:sz w:val="24"/>
          <w:szCs w:val="24"/>
          <w:lang w:eastAsia="zh-CN"/>
        </w:rPr>
        <w:t>；</w:t>
      </w:r>
    </w:p>
    <w:p w14:paraId="7A455ADF">
      <w:pPr>
        <w:keepNext w:val="0"/>
        <w:keepLines w:val="0"/>
        <w:pageBreakBefore w:val="0"/>
        <w:numPr>
          <w:ilvl w:val="0"/>
          <w:numId w:val="2"/>
        </w:numPr>
        <w:tabs>
          <w:tab w:val="left" w:pos="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项目审计工作完成后再付剩余的30%</w:t>
      </w:r>
      <w:r>
        <w:rPr>
          <w:rFonts w:hint="eastAsia" w:ascii="宋体" w:hAnsi="宋体" w:cs="宋体"/>
          <w:color w:val="auto"/>
          <w:sz w:val="24"/>
          <w:szCs w:val="24"/>
          <w:lang w:val="en-US" w:eastAsia="zh-CN"/>
        </w:rPr>
        <w:t>.</w:t>
      </w:r>
    </w:p>
    <w:p w14:paraId="3908FCC1">
      <w:pPr>
        <w:pStyle w:val="2"/>
        <w:rPr>
          <w:rFonts w:hint="default" w:eastAsia="宋体"/>
          <w:color w:val="auto"/>
          <w:lang w:val="en-US" w:eastAsia="zh-CN"/>
        </w:rPr>
      </w:pPr>
      <w:r>
        <w:rPr>
          <w:rFonts w:hint="eastAsia"/>
          <w:color w:val="auto"/>
          <w:lang w:val="en-US" w:eastAsia="zh-CN"/>
        </w:rPr>
        <w:t xml:space="preserve">  </w:t>
      </w:r>
    </w:p>
    <w:p w14:paraId="6D099E35">
      <w:pPr>
        <w:spacing w:before="1" w:line="360" w:lineRule="auto"/>
        <w:ind w:left="107"/>
        <w:jc w:val="left"/>
        <w:rPr>
          <w:b/>
          <w:color w:val="auto"/>
          <w:sz w:val="28"/>
        </w:rPr>
      </w:pPr>
      <w:r>
        <w:rPr>
          <w:b/>
          <w:color w:val="auto"/>
          <w:sz w:val="28"/>
        </w:rPr>
        <w:t>六、服务期限及地点</w:t>
      </w:r>
    </w:p>
    <w:p w14:paraId="718CE210">
      <w:pPr>
        <w:pStyle w:val="12"/>
        <w:tabs>
          <w:tab w:val="left" w:pos="896"/>
        </w:tabs>
        <w:spacing w:line="360" w:lineRule="auto"/>
        <w:ind w:firstLine="476"/>
        <w:jc w:val="left"/>
        <w:rPr>
          <w:rFonts w:asciiTheme="minorEastAsia" w:hAnsiTheme="minorEastAsia" w:eastAsiaTheme="minorEastAsia"/>
          <w:color w:val="auto"/>
          <w:spacing w:val="-1"/>
          <w:sz w:val="24"/>
        </w:rPr>
      </w:pPr>
      <w:r>
        <w:rPr>
          <w:rFonts w:hint="eastAsia" w:asciiTheme="minorEastAsia" w:hAnsiTheme="minorEastAsia" w:eastAsiaTheme="minorEastAsia"/>
          <w:color w:val="auto"/>
          <w:spacing w:val="-1"/>
          <w:sz w:val="24"/>
        </w:rPr>
        <w:t>1.服务时间</w:t>
      </w:r>
      <w:r>
        <w:rPr>
          <w:rFonts w:asciiTheme="minorEastAsia" w:hAnsiTheme="minorEastAsia" w:eastAsiaTheme="minorEastAsia"/>
          <w:color w:val="auto"/>
          <w:spacing w:val="-1"/>
          <w:sz w:val="24"/>
        </w:rPr>
        <w:t>：</w:t>
      </w:r>
      <w:r>
        <w:rPr>
          <w:rFonts w:hint="eastAsia" w:ascii="宋体" w:hAnsi="宋体" w:cs="宋体" w:eastAsiaTheme="minorEastAsia"/>
          <w:bCs/>
          <w:color w:val="auto"/>
          <w:sz w:val="24"/>
          <w:lang w:val="en-US" w:eastAsia="zh-CN"/>
        </w:rPr>
        <w:t xml:space="preserve">              </w:t>
      </w:r>
    </w:p>
    <w:p w14:paraId="5E95A149">
      <w:pPr>
        <w:tabs>
          <w:tab w:val="left" w:pos="896"/>
        </w:tabs>
        <w:spacing w:line="360" w:lineRule="auto"/>
        <w:ind w:firstLine="418" w:firstLineChars="176"/>
        <w:jc w:val="left"/>
        <w:rPr>
          <w:rFonts w:eastAsiaTheme="minorEastAsia"/>
          <w:color w:val="auto"/>
          <w:sz w:val="29"/>
        </w:rPr>
      </w:pPr>
      <w:r>
        <w:rPr>
          <w:rFonts w:asciiTheme="minorEastAsia" w:hAnsiTheme="minorEastAsia" w:eastAsiaTheme="minorEastAsia"/>
          <w:color w:val="auto"/>
          <w:spacing w:val="-1"/>
          <w:sz w:val="24"/>
        </w:rPr>
        <w:t>2</w:t>
      </w:r>
      <w:r>
        <w:rPr>
          <w:rFonts w:hint="eastAsia" w:asciiTheme="minorEastAsia" w:hAnsiTheme="minorEastAsia" w:eastAsiaTheme="minorEastAsia"/>
          <w:color w:val="auto"/>
          <w:spacing w:val="-1"/>
          <w:sz w:val="24"/>
        </w:rPr>
        <w:t>.服务地点</w:t>
      </w:r>
      <w:r>
        <w:rPr>
          <w:rFonts w:asciiTheme="minorEastAsia" w:hAnsiTheme="minorEastAsia" w:eastAsiaTheme="minorEastAsia"/>
          <w:color w:val="auto"/>
          <w:spacing w:val="-1"/>
          <w:sz w:val="24"/>
        </w:rPr>
        <w:t>：</w:t>
      </w:r>
      <w:r>
        <w:rPr>
          <w:rFonts w:hint="eastAsia" w:asciiTheme="minorEastAsia" w:hAnsiTheme="minorEastAsia" w:eastAsiaTheme="minorEastAsia"/>
          <w:color w:val="auto"/>
          <w:spacing w:val="-1"/>
          <w:sz w:val="24"/>
        </w:rPr>
        <w:t>三亚市图书馆</w:t>
      </w:r>
    </w:p>
    <w:p w14:paraId="281669BE">
      <w:pPr>
        <w:spacing w:line="360" w:lineRule="auto"/>
        <w:ind w:left="107"/>
        <w:jc w:val="left"/>
        <w:rPr>
          <w:rFonts w:asciiTheme="minorEastAsia" w:hAnsiTheme="minorEastAsia" w:eastAsiaTheme="minorEastAsia"/>
          <w:b/>
          <w:color w:val="auto"/>
          <w:sz w:val="24"/>
        </w:rPr>
      </w:pPr>
      <w:r>
        <w:rPr>
          <w:b/>
          <w:color w:val="auto"/>
          <w:sz w:val="28"/>
        </w:rPr>
        <w:t>七、验收要求</w:t>
      </w:r>
    </w:p>
    <w:p w14:paraId="2ABF69D5">
      <w:pPr>
        <w:spacing w:line="360" w:lineRule="auto"/>
        <w:ind w:right="42" w:firstLine="468" w:firstLineChars="200"/>
        <w:rPr>
          <w:rFonts w:asciiTheme="minorEastAsia" w:hAnsiTheme="minorEastAsia" w:eastAsiaTheme="minorEastAsia"/>
          <w:color w:val="auto"/>
          <w:sz w:val="24"/>
        </w:rPr>
      </w:pPr>
      <w:bookmarkStart w:id="0" w:name="每月底由采购人对投标人的服务质量进行检查与考评，如不合格，采购人有权要求限期整改"/>
      <w:bookmarkEnd w:id="0"/>
      <w:r>
        <w:rPr>
          <w:rFonts w:asciiTheme="minorEastAsia" w:hAnsiTheme="minorEastAsia" w:eastAsiaTheme="minorEastAsia"/>
          <w:color w:val="auto"/>
          <w:spacing w:val="-3"/>
          <w:sz w:val="24"/>
        </w:rPr>
        <w:t>采购人</w:t>
      </w:r>
      <w:r>
        <w:rPr>
          <w:rFonts w:hint="eastAsia" w:asciiTheme="minorEastAsia" w:hAnsiTheme="minorEastAsia" w:eastAsiaTheme="minorEastAsia"/>
          <w:color w:val="auto"/>
          <w:spacing w:val="-3"/>
          <w:sz w:val="24"/>
          <w:lang w:eastAsia="zh-CN"/>
        </w:rPr>
        <w:t>将</w:t>
      </w:r>
      <w:r>
        <w:rPr>
          <w:rFonts w:asciiTheme="minorEastAsia" w:hAnsiTheme="minorEastAsia" w:eastAsiaTheme="minorEastAsia"/>
          <w:color w:val="auto"/>
          <w:spacing w:val="-3"/>
          <w:sz w:val="24"/>
        </w:rPr>
        <w:t>对投标人的服务质量进行检查与考评，如不合格，采购人有权要求限期整改，整改后如不能达到要求，采购人有权拒付</w:t>
      </w:r>
      <w:r>
        <w:rPr>
          <w:rFonts w:hint="eastAsia" w:asciiTheme="minorEastAsia" w:hAnsiTheme="minorEastAsia" w:eastAsiaTheme="minorEastAsia"/>
          <w:color w:val="auto"/>
          <w:spacing w:val="-3"/>
          <w:sz w:val="24"/>
          <w:lang w:eastAsia="zh-CN"/>
        </w:rPr>
        <w:t>相关款项</w:t>
      </w:r>
      <w:r>
        <w:rPr>
          <w:rFonts w:asciiTheme="minorEastAsia" w:hAnsiTheme="minorEastAsia" w:eastAsiaTheme="minorEastAsia"/>
          <w:color w:val="auto"/>
          <w:spacing w:val="-3"/>
          <w:sz w:val="24"/>
        </w:rPr>
        <w:t>，</w:t>
      </w:r>
      <w:r>
        <w:rPr>
          <w:rFonts w:hint="eastAsia" w:asciiTheme="minorEastAsia" w:hAnsiTheme="minorEastAsia" w:eastAsiaTheme="minorEastAsia"/>
          <w:color w:val="auto"/>
          <w:spacing w:val="-3"/>
          <w:sz w:val="24"/>
        </w:rPr>
        <w:t>如</w:t>
      </w:r>
      <w:r>
        <w:rPr>
          <w:rFonts w:hint="eastAsia" w:asciiTheme="minorEastAsia" w:hAnsiTheme="minorEastAsia" w:eastAsiaTheme="minorEastAsia"/>
          <w:color w:val="auto"/>
          <w:spacing w:val="-3"/>
          <w:sz w:val="24"/>
          <w:lang w:eastAsia="zh-CN"/>
        </w:rPr>
        <w:t>整改</w:t>
      </w:r>
      <w:r>
        <w:rPr>
          <w:rFonts w:hint="eastAsia" w:asciiTheme="minorEastAsia" w:hAnsiTheme="minorEastAsia" w:eastAsiaTheme="minorEastAsia"/>
          <w:color w:val="auto"/>
          <w:spacing w:val="-3"/>
          <w:sz w:val="24"/>
        </w:rPr>
        <w:t>不合格，</w:t>
      </w:r>
      <w:r>
        <w:rPr>
          <w:rFonts w:asciiTheme="minorEastAsia" w:hAnsiTheme="minorEastAsia" w:eastAsiaTheme="minorEastAsia"/>
          <w:color w:val="auto"/>
          <w:spacing w:val="-3"/>
          <w:sz w:val="24"/>
        </w:rPr>
        <w:t>采购人</w:t>
      </w:r>
      <w:r>
        <w:rPr>
          <w:rFonts w:hint="eastAsia" w:asciiTheme="minorEastAsia" w:hAnsiTheme="minorEastAsia" w:eastAsiaTheme="minorEastAsia"/>
          <w:color w:val="auto"/>
          <w:spacing w:val="-3"/>
          <w:sz w:val="24"/>
        </w:rPr>
        <w:t>有权终止合同。</w:t>
      </w:r>
    </w:p>
    <w:p w14:paraId="4123E7A5">
      <w:pPr>
        <w:pStyle w:val="5"/>
        <w:spacing w:before="118"/>
        <w:ind w:left="107"/>
        <w:rPr>
          <w:color w:val="auto"/>
        </w:rPr>
      </w:pPr>
      <w:bookmarkStart w:id="1" w:name="八、违约责任"/>
      <w:bookmarkEnd w:id="1"/>
      <w:r>
        <w:rPr>
          <w:color w:val="auto"/>
        </w:rPr>
        <w:t>八、违约责任</w:t>
      </w:r>
    </w:p>
    <w:p w14:paraId="287D763E">
      <w:pPr>
        <w:pStyle w:val="12"/>
        <w:numPr>
          <w:ilvl w:val="0"/>
          <w:numId w:val="3"/>
        </w:numPr>
        <w:spacing w:before="42"/>
        <w:ind w:left="107" w:firstLine="460" w:firstLineChars="0"/>
        <w:jc w:val="left"/>
        <w:rPr>
          <w:rFonts w:asciiTheme="minorEastAsia" w:hAnsiTheme="minorEastAsia" w:eastAsiaTheme="minorEastAsia"/>
          <w:color w:val="auto"/>
          <w:sz w:val="24"/>
        </w:rPr>
      </w:pPr>
      <w:r>
        <w:rPr>
          <w:rFonts w:asciiTheme="minorEastAsia" w:hAnsiTheme="minorEastAsia" w:eastAsiaTheme="minorEastAsia"/>
          <w:color w:val="auto"/>
          <w:spacing w:val="-3"/>
          <w:sz w:val="24"/>
        </w:rPr>
        <w:t>如需方验收不符合服务目录或达不到国家标准，供方无条件退回已提供</w:t>
      </w:r>
      <w:bookmarkStart w:id="2" w:name="_bookmark22"/>
      <w:bookmarkEnd w:id="2"/>
      <w:r>
        <w:rPr>
          <w:rFonts w:asciiTheme="minorEastAsia" w:hAnsiTheme="minorEastAsia" w:eastAsiaTheme="minorEastAsia"/>
          <w:color w:val="auto"/>
          <w:sz w:val="24"/>
        </w:rPr>
        <w:t xml:space="preserve">服务并偿付合同款 </w:t>
      </w:r>
      <w:r>
        <w:rPr>
          <w:rFonts w:asciiTheme="minorEastAsia" w:hAnsiTheme="minorEastAsia" w:eastAsiaTheme="minorEastAsia"/>
          <w:color w:val="auto"/>
          <w:sz w:val="24"/>
          <w:u w:val="single"/>
        </w:rPr>
        <w:t>0.3</w:t>
      </w:r>
      <w:r>
        <w:rPr>
          <w:rFonts w:asciiTheme="minorEastAsia" w:hAnsiTheme="minorEastAsia" w:eastAsiaTheme="minorEastAsia"/>
          <w:color w:val="auto"/>
          <w:sz w:val="24"/>
        </w:rPr>
        <w:t>%的违约金。</w:t>
      </w:r>
    </w:p>
    <w:p w14:paraId="45B82E5B">
      <w:pPr>
        <w:pStyle w:val="12"/>
        <w:numPr>
          <w:ilvl w:val="0"/>
          <w:numId w:val="3"/>
        </w:numPr>
        <w:spacing w:before="186" w:line="364" w:lineRule="auto"/>
        <w:ind w:left="108" w:right="-52" w:firstLine="460" w:firstLineChars="0"/>
        <w:rPr>
          <w:rFonts w:asciiTheme="minorEastAsia" w:hAnsiTheme="minorEastAsia" w:eastAsiaTheme="minorEastAsia"/>
          <w:b/>
          <w:color w:val="auto"/>
          <w:sz w:val="24"/>
        </w:rPr>
      </w:pPr>
      <w:r>
        <w:rPr>
          <w:rFonts w:asciiTheme="minorEastAsia" w:hAnsiTheme="minorEastAsia" w:eastAsiaTheme="minorEastAsia"/>
          <w:color w:val="auto"/>
          <w:spacing w:val="-3"/>
          <w:sz w:val="24"/>
        </w:rPr>
        <w:t>如供方不能按期提供服务或需方无正当理由中途拒收服务的，向对方偿</w:t>
      </w:r>
      <w:r>
        <w:rPr>
          <w:rFonts w:asciiTheme="minorEastAsia" w:hAnsiTheme="minorEastAsia" w:eastAsiaTheme="minorEastAsia"/>
          <w:color w:val="auto"/>
          <w:spacing w:val="-7"/>
          <w:sz w:val="24"/>
        </w:rPr>
        <w:t xml:space="preserve">付不能提供服务或中途拒收服务的服务总额每日 </w:t>
      </w:r>
      <w:r>
        <w:rPr>
          <w:rFonts w:asciiTheme="minorEastAsia" w:hAnsiTheme="minorEastAsia" w:eastAsiaTheme="minorEastAsia"/>
          <w:color w:val="auto"/>
          <w:sz w:val="24"/>
          <w:u w:val="single"/>
        </w:rPr>
        <w:t>0.3</w:t>
      </w:r>
      <w:r>
        <w:rPr>
          <w:rFonts w:asciiTheme="minorEastAsia" w:hAnsiTheme="minorEastAsia" w:eastAsiaTheme="minorEastAsia"/>
          <w:color w:val="auto"/>
          <w:spacing w:val="-1"/>
          <w:sz w:val="24"/>
        </w:rPr>
        <w:t>%的违约金。</w:t>
      </w:r>
    </w:p>
    <w:p w14:paraId="311B9A2E">
      <w:pPr>
        <w:tabs>
          <w:tab w:val="left" w:pos="939"/>
        </w:tabs>
        <w:spacing w:before="159" w:line="348" w:lineRule="auto"/>
        <w:ind w:right="5348"/>
        <w:jc w:val="left"/>
        <w:rPr>
          <w:b/>
          <w:color w:val="auto"/>
          <w:sz w:val="28"/>
        </w:rPr>
      </w:pPr>
      <w:r>
        <w:rPr>
          <w:rFonts w:hint="eastAsia"/>
          <w:b/>
          <w:color w:val="auto"/>
          <w:spacing w:val="-3"/>
          <w:sz w:val="28"/>
        </w:rPr>
        <w:t>九</w:t>
      </w:r>
      <w:r>
        <w:rPr>
          <w:b/>
          <w:color w:val="auto"/>
          <w:spacing w:val="-3"/>
          <w:sz w:val="28"/>
        </w:rPr>
        <w:t>、其他</w:t>
      </w:r>
    </w:p>
    <w:p w14:paraId="71AB8073">
      <w:pPr>
        <w:spacing w:line="360" w:lineRule="auto"/>
        <w:ind w:firstLine="480" w:firstLineChars="200"/>
        <w:jc w:val="left"/>
        <w:rPr>
          <w:color w:val="auto"/>
          <w:sz w:val="24"/>
        </w:rPr>
      </w:pPr>
      <w:bookmarkStart w:id="3" w:name="本合同未尽事宜，双方可以增加条款或补充协议的形式加以补充，但增加或补充协议的条款"/>
      <w:bookmarkEnd w:id="3"/>
      <w:r>
        <w:rPr>
          <w:color w:val="auto"/>
          <w:sz w:val="24"/>
        </w:rPr>
        <w:t>本合同未尽事宜，双方可以增加条款或补充协议的形式加以补充，但增加或补充协议的条款不得对招标文件和响应文件约定的内容作实质性修改。补充协议与本合同具有相同的法律效力。</w:t>
      </w:r>
    </w:p>
    <w:p w14:paraId="3ED65F1F">
      <w:pPr>
        <w:tabs>
          <w:tab w:val="left" w:pos="1980"/>
        </w:tabs>
        <w:snapToGrid w:val="0"/>
        <w:spacing w:before="19" w:line="500" w:lineRule="exact"/>
        <w:rPr>
          <w:rFonts w:ascii="宋体" w:hAnsi="宋体" w:cs="宋体"/>
          <w:b/>
          <w:color w:val="auto"/>
          <w:sz w:val="28"/>
          <w:szCs w:val="28"/>
        </w:rPr>
      </w:pPr>
      <w:bookmarkStart w:id="4" w:name="十一、政府采购合同生效"/>
      <w:bookmarkEnd w:id="4"/>
      <w:r>
        <w:rPr>
          <w:rFonts w:hint="eastAsia" w:ascii="宋体" w:hAnsi="宋体" w:cs="宋体"/>
          <w:b/>
          <w:color w:val="auto"/>
          <w:sz w:val="28"/>
          <w:szCs w:val="28"/>
        </w:rPr>
        <w:t>十、合同纠纷处理</w:t>
      </w:r>
    </w:p>
    <w:p w14:paraId="4C837954">
      <w:pPr>
        <w:tabs>
          <w:tab w:val="left" w:pos="1980"/>
        </w:tabs>
        <w:snapToGrid w:val="0"/>
        <w:spacing w:before="19" w:line="500" w:lineRule="exact"/>
        <w:ind w:firstLine="470" w:firstLineChars="196"/>
        <w:rPr>
          <w:rFonts w:ascii="宋体" w:hAnsi="宋体" w:cs="宋体"/>
          <w:color w:val="auto"/>
          <w:sz w:val="24"/>
        </w:rPr>
      </w:pPr>
      <w:r>
        <w:rPr>
          <w:rFonts w:hint="eastAsia" w:ascii="宋体" w:hAnsi="宋体" w:cs="宋体"/>
          <w:color w:val="auto"/>
          <w:sz w:val="24"/>
        </w:rPr>
        <w:t>本合同履行过程中发生的任何争议，甲乙双方当事人均可通过和解或者调解解决；不愿和解、调解或者和解、调解不成的，可以选择下列第</w:t>
      </w:r>
      <w:r>
        <w:rPr>
          <w:rFonts w:hint="eastAsia" w:ascii="宋体" w:hAnsi="宋体" w:cs="宋体"/>
          <w:color w:val="auto"/>
          <w:sz w:val="24"/>
          <w:u w:val="single"/>
        </w:rPr>
        <w:t xml:space="preserve">    </w:t>
      </w:r>
      <w:r>
        <w:rPr>
          <w:rFonts w:hint="eastAsia" w:ascii="宋体" w:hAnsi="宋体" w:cs="宋体"/>
          <w:color w:val="auto"/>
          <w:sz w:val="24"/>
        </w:rPr>
        <w:t>种方式解决：</w:t>
      </w:r>
    </w:p>
    <w:p w14:paraId="59A97147">
      <w:pPr>
        <w:numPr>
          <w:ilvl w:val="0"/>
          <w:numId w:val="4"/>
        </w:numPr>
        <w:spacing w:line="360" w:lineRule="auto"/>
        <w:ind w:firstLine="480" w:firstLineChars="200"/>
        <w:jc w:val="left"/>
        <w:rPr>
          <w:rFonts w:ascii="宋体" w:hAnsi="宋体" w:cs="宋体"/>
          <w:color w:val="auto"/>
          <w:sz w:val="24"/>
        </w:rPr>
      </w:pPr>
      <w:r>
        <w:rPr>
          <w:rFonts w:hint="eastAsia" w:ascii="宋体" w:hAnsi="宋体" w:cs="宋体"/>
          <w:color w:val="auto"/>
          <w:sz w:val="24"/>
        </w:rPr>
        <w:t>将争议提交</w:t>
      </w:r>
      <w:r>
        <w:rPr>
          <w:rFonts w:hint="eastAsia" w:ascii="宋体" w:hAnsi="宋体" w:cs="宋体"/>
          <w:color w:val="auto"/>
          <w:sz w:val="24"/>
          <w:u w:val="single"/>
        </w:rPr>
        <w:t xml:space="preserve">              </w:t>
      </w:r>
      <w:r>
        <w:rPr>
          <w:rFonts w:hint="eastAsia" w:ascii="宋体" w:hAnsi="宋体" w:cs="宋体"/>
          <w:color w:val="auto"/>
          <w:sz w:val="24"/>
        </w:rPr>
        <w:t>仲裁委员会依申请仲裁时其现行有效的仲裁规则裁决；</w:t>
      </w:r>
    </w:p>
    <w:p w14:paraId="581CCDCA">
      <w:pPr>
        <w:tabs>
          <w:tab w:val="left" w:pos="1980"/>
        </w:tabs>
        <w:snapToGrid w:val="0"/>
        <w:spacing w:before="19" w:line="500" w:lineRule="exact"/>
        <w:ind w:firstLine="470" w:firstLineChars="196"/>
        <w:rPr>
          <w:rFonts w:ascii="宋体" w:hAnsi="宋体" w:cs="宋体"/>
          <w:color w:val="auto"/>
          <w:sz w:val="24"/>
          <w:shd w:val="clear" w:color="auto" w:fill="FFFFFF"/>
        </w:rPr>
      </w:pPr>
      <w:r>
        <w:rPr>
          <w:rFonts w:hint="eastAsia" w:ascii="宋体" w:hAnsi="宋体" w:cs="宋体"/>
          <w:color w:val="auto"/>
          <w:sz w:val="24"/>
        </w:rPr>
        <w:t>（2）向</w:t>
      </w:r>
      <w:r>
        <w:rPr>
          <w:rFonts w:hint="eastAsia" w:ascii="宋体" w:hAnsi="宋体" w:cs="宋体"/>
          <w:color w:val="auto"/>
          <w:sz w:val="24"/>
          <w:u w:val="single"/>
        </w:rPr>
        <w:t xml:space="preserve">   （被告住所地、合同履行地、合同签订地、原告住所地、标的物所在地等与争议有实际联系的地点中选出的人民法院名称）    </w:t>
      </w:r>
      <w:r>
        <w:rPr>
          <w:rFonts w:hint="eastAsia" w:ascii="宋体" w:hAnsi="宋体" w:cs="宋体"/>
          <w:color w:val="auto"/>
          <w:sz w:val="24"/>
        </w:rPr>
        <w:t>人民法院起诉</w:t>
      </w:r>
      <w:r>
        <w:rPr>
          <w:rFonts w:hint="eastAsia" w:ascii="宋体" w:hAnsi="宋体" w:cs="宋体"/>
          <w:color w:val="auto"/>
          <w:sz w:val="24"/>
          <w:shd w:val="clear" w:color="auto" w:fill="FFFFFF"/>
        </w:rPr>
        <w:t>。</w:t>
      </w:r>
    </w:p>
    <w:p w14:paraId="3DC5FEDA">
      <w:pPr>
        <w:spacing w:beforeLines="50" w:line="360" w:lineRule="auto"/>
        <w:ind w:firstLine="562" w:firstLineChars="200"/>
        <w:jc w:val="left"/>
        <w:rPr>
          <w:rFonts w:ascii="宋体" w:hAnsi="宋体" w:cs="宋体"/>
          <w:b/>
          <w:color w:val="auto"/>
          <w:sz w:val="28"/>
          <w:szCs w:val="28"/>
        </w:rPr>
      </w:pPr>
      <w:r>
        <w:rPr>
          <w:rFonts w:hint="eastAsia" w:ascii="宋体" w:hAnsi="宋体" w:cs="宋体"/>
          <w:b/>
          <w:color w:val="auto"/>
          <w:sz w:val="28"/>
          <w:szCs w:val="28"/>
        </w:rPr>
        <w:t>十一、政府采购合同生效</w:t>
      </w:r>
    </w:p>
    <w:p w14:paraId="1B1EB5CC">
      <w:pPr>
        <w:spacing w:beforeLines="50" w:line="360" w:lineRule="auto"/>
        <w:ind w:firstLine="480" w:firstLineChars="200"/>
        <w:jc w:val="left"/>
        <w:rPr>
          <w:rFonts w:ascii="宋体" w:hAnsi="宋体" w:cs="宋体"/>
          <w:color w:val="auto"/>
          <w:sz w:val="24"/>
        </w:rPr>
      </w:pPr>
      <w:r>
        <w:rPr>
          <w:rFonts w:hint="eastAsia" w:ascii="宋体" w:hAnsi="宋体" w:cs="宋体"/>
          <w:color w:val="auto"/>
          <w:sz w:val="24"/>
        </w:rPr>
        <w:t>本政府采购合同经甲乙双方授权代表签字盖章后生效。</w:t>
      </w:r>
    </w:p>
    <w:p w14:paraId="05C3016F">
      <w:pPr>
        <w:spacing w:beforeLines="50" w:line="360" w:lineRule="auto"/>
        <w:ind w:firstLine="480" w:firstLineChars="200"/>
        <w:jc w:val="left"/>
        <w:rPr>
          <w:rFonts w:ascii="宋体" w:hAnsi="宋体" w:cs="宋体"/>
          <w:color w:val="auto"/>
          <w:sz w:val="24"/>
        </w:rPr>
      </w:pPr>
      <w:r>
        <w:rPr>
          <w:rFonts w:hint="eastAsia" w:ascii="宋体" w:hAnsi="宋体" w:cs="宋体"/>
          <w:color w:val="auto"/>
          <w:sz w:val="24"/>
        </w:rPr>
        <w:t>本合同共三份：甲方一份、乙方一份、招标代理机构一份。</w:t>
      </w:r>
    </w:p>
    <w:p w14:paraId="28FBAFC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rPr>
      </w:pPr>
      <w:r>
        <w:rPr>
          <w:rFonts w:hint="eastAsia" w:ascii="宋体" w:hAnsi="宋体" w:cs="宋体"/>
          <w:b/>
          <w:color w:val="auto"/>
          <w:sz w:val="24"/>
        </w:rPr>
        <w:t>甲方：</w:t>
      </w:r>
      <w:r>
        <w:rPr>
          <w:rFonts w:hint="eastAsia" w:ascii="宋体" w:hAnsi="宋体" w:cs="宋体"/>
          <w:b/>
          <w:color w:val="auto"/>
          <w:sz w:val="24"/>
          <w:u w:val="single"/>
        </w:rPr>
        <w:t xml:space="preserve">                   （盖章）</w:t>
      </w:r>
      <w:r>
        <w:rPr>
          <w:rFonts w:hint="eastAsia" w:ascii="宋体" w:hAnsi="宋体" w:cs="宋体"/>
          <w:b/>
          <w:color w:val="auto"/>
          <w:sz w:val="24"/>
        </w:rPr>
        <w:t xml:space="preserve">      乙方：</w:t>
      </w:r>
      <w:r>
        <w:rPr>
          <w:rFonts w:hint="eastAsia" w:ascii="宋体" w:hAnsi="宋体" w:cs="宋体"/>
          <w:b/>
          <w:color w:val="auto"/>
          <w:sz w:val="24"/>
          <w:u w:val="single"/>
        </w:rPr>
        <w:t xml:space="preserve">                  （盖章）</w:t>
      </w:r>
    </w:p>
    <w:p w14:paraId="1CF173A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096563F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u w:val="single"/>
        </w:rPr>
      </w:pPr>
      <w:r>
        <w:rPr>
          <w:rFonts w:hint="eastAsia" w:ascii="宋体" w:hAnsi="宋体" w:cs="宋体"/>
          <w:color w:val="auto"/>
          <w:sz w:val="24"/>
        </w:rPr>
        <w:t>法定（或授权）代表人：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法定（或授权）代表人：</w:t>
      </w:r>
      <w:r>
        <w:rPr>
          <w:rFonts w:hint="eastAsia" w:ascii="宋体" w:hAnsi="宋体" w:cs="宋体"/>
          <w:color w:val="auto"/>
          <w:sz w:val="24"/>
          <w:u w:val="single"/>
        </w:rPr>
        <w:t xml:space="preserve">            </w:t>
      </w:r>
    </w:p>
    <w:p w14:paraId="29633F8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u w:val="single"/>
        </w:rPr>
      </w:pPr>
      <w:r>
        <w:rPr>
          <w:rFonts w:hint="eastAsia" w:ascii="宋体" w:hAnsi="宋体" w:cs="宋体"/>
          <w:color w:val="auto"/>
          <w:sz w:val="24"/>
        </w:rPr>
        <w:t>开户行：</w:t>
      </w:r>
      <w:r>
        <w:rPr>
          <w:rFonts w:hint="eastAsia" w:ascii="宋体" w:hAnsi="宋体" w:cs="宋体"/>
          <w:color w:val="auto"/>
          <w:sz w:val="24"/>
          <w:u w:val="single"/>
        </w:rPr>
        <w:t xml:space="preserve">                          </w:t>
      </w:r>
      <w:r>
        <w:rPr>
          <w:rFonts w:hint="eastAsia" w:ascii="宋体" w:hAnsi="宋体" w:cs="宋体"/>
          <w:color w:val="auto"/>
          <w:sz w:val="24"/>
        </w:rPr>
        <w:t xml:space="preserve">     开户行：</w:t>
      </w:r>
      <w:r>
        <w:rPr>
          <w:rFonts w:hint="eastAsia" w:ascii="宋体" w:hAnsi="宋体" w:cs="宋体"/>
          <w:color w:val="auto"/>
          <w:sz w:val="24"/>
          <w:u w:val="single"/>
        </w:rPr>
        <w:t xml:space="preserve">                          </w:t>
      </w:r>
    </w:p>
    <w:p w14:paraId="3D3E32F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rPr>
      </w:pPr>
      <w:r>
        <w:rPr>
          <w:rFonts w:hint="eastAsia" w:ascii="宋体" w:hAnsi="宋体" w:cs="宋体"/>
          <w:color w:val="auto"/>
          <w:sz w:val="24"/>
        </w:rPr>
        <w:t>户名：</w:t>
      </w:r>
      <w:r>
        <w:rPr>
          <w:rFonts w:hint="eastAsia" w:ascii="宋体" w:hAnsi="宋体" w:cs="宋体"/>
          <w:color w:val="auto"/>
          <w:sz w:val="24"/>
          <w:u w:val="single"/>
        </w:rPr>
        <w:t xml:space="preserve">                            </w:t>
      </w:r>
      <w:r>
        <w:rPr>
          <w:rFonts w:hint="eastAsia" w:ascii="宋体" w:hAnsi="宋体" w:cs="宋体"/>
          <w:color w:val="auto"/>
          <w:sz w:val="24"/>
        </w:rPr>
        <w:t xml:space="preserve">     户名：</w:t>
      </w:r>
      <w:r>
        <w:rPr>
          <w:rFonts w:hint="eastAsia" w:ascii="宋体" w:hAnsi="宋体" w:cs="宋体"/>
          <w:color w:val="auto"/>
          <w:sz w:val="24"/>
          <w:u w:val="single"/>
        </w:rPr>
        <w:t xml:space="preserve">                            </w:t>
      </w:r>
    </w:p>
    <w:p w14:paraId="2D2269B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cs="宋体"/>
          <w:color w:val="auto"/>
          <w:sz w:val="24"/>
        </w:rPr>
      </w:pPr>
      <w:r>
        <w:rPr>
          <w:rFonts w:hint="eastAsia" w:ascii="宋体" w:hAnsi="宋体" w:cs="宋体"/>
          <w:color w:val="auto"/>
          <w:sz w:val="24"/>
        </w:rPr>
        <w:t>帐号：</w:t>
      </w:r>
      <w:r>
        <w:rPr>
          <w:rFonts w:hint="eastAsia" w:ascii="宋体" w:hAnsi="宋体" w:cs="宋体"/>
          <w:color w:val="auto"/>
          <w:sz w:val="24"/>
          <w:u w:val="single"/>
        </w:rPr>
        <w:t xml:space="preserve">                            </w:t>
      </w:r>
      <w:r>
        <w:rPr>
          <w:rFonts w:hint="eastAsia" w:ascii="宋体" w:hAnsi="宋体" w:cs="宋体"/>
          <w:color w:val="auto"/>
          <w:sz w:val="24"/>
        </w:rPr>
        <w:t xml:space="preserve">     帐号：</w:t>
      </w:r>
      <w:r>
        <w:rPr>
          <w:rFonts w:hint="eastAsia" w:ascii="宋体" w:hAnsi="宋体" w:cs="宋体"/>
          <w:color w:val="auto"/>
          <w:sz w:val="24"/>
          <w:u w:val="single"/>
        </w:rPr>
        <w:t xml:space="preserve">                 </w:t>
      </w:r>
      <w:bookmarkStart w:id="5" w:name="_GoBack"/>
      <w:bookmarkEnd w:id="5"/>
      <w:r>
        <w:rPr>
          <w:rFonts w:hint="eastAsia" w:ascii="宋体" w:hAnsi="宋体" w:cs="宋体"/>
          <w:color w:val="auto"/>
          <w:sz w:val="24"/>
          <w:u w:val="single"/>
        </w:rPr>
        <w:t xml:space="preserve">           </w:t>
      </w:r>
    </w:p>
    <w:p w14:paraId="2B9C5D5F">
      <w:pPr>
        <w:snapToGrid w:val="0"/>
        <w:spacing w:before="19" w:line="500" w:lineRule="exact"/>
        <w:ind w:firstLine="470" w:firstLineChars="196"/>
        <w:rPr>
          <w:rFonts w:ascii="宋体" w:hAnsi="宋体" w:cs="宋体"/>
          <w:b/>
          <w:color w:val="auto"/>
          <w:sz w:val="24"/>
          <w:szCs w:val="22"/>
        </w:rPr>
      </w:pP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 xml:space="preserve">日                   </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34B1377D">
      <w:pPr>
        <w:snapToGrid w:val="0"/>
        <w:spacing w:before="19" w:line="500" w:lineRule="exact"/>
        <w:ind w:firstLine="472" w:firstLineChars="196"/>
        <w:rPr>
          <w:rFonts w:ascii="宋体" w:hAnsi="宋体" w:cs="宋体"/>
          <w:b/>
          <w:color w:val="auto"/>
          <w:sz w:val="24"/>
          <w:szCs w:val="22"/>
        </w:rPr>
      </w:pPr>
    </w:p>
    <w:p w14:paraId="55B1C84E">
      <w:pPr>
        <w:snapToGrid w:val="0"/>
        <w:spacing w:before="19" w:line="500" w:lineRule="exact"/>
        <w:rPr>
          <w:rFonts w:ascii="宋体" w:hAnsi="宋体"/>
          <w:b/>
          <w:color w:val="auto"/>
          <w:sz w:val="28"/>
          <w:u w:val="single"/>
        </w:rPr>
      </w:pPr>
      <w:r>
        <w:rPr>
          <w:rFonts w:hint="eastAsia" w:ascii="宋体" w:hAnsi="宋体"/>
          <w:b/>
          <w:color w:val="auto"/>
          <w:sz w:val="28"/>
        </w:rPr>
        <w:t>招标代理机构：</w:t>
      </w:r>
      <w:r>
        <w:rPr>
          <w:rFonts w:hint="eastAsia" w:ascii="宋体" w:hAnsi="宋体"/>
          <w:b/>
          <w:color w:val="auto"/>
          <w:sz w:val="28"/>
          <w:u w:val="single"/>
        </w:rPr>
        <w:t>海南海政招标有限公司（盖章）</w:t>
      </w:r>
    </w:p>
    <w:p w14:paraId="5A3A6312">
      <w:pPr>
        <w:snapToGrid w:val="0"/>
        <w:spacing w:before="19" w:line="500" w:lineRule="exact"/>
        <w:rPr>
          <w:rFonts w:ascii="宋体" w:hAnsi="宋体"/>
          <w:color w:val="auto"/>
          <w:sz w:val="28"/>
          <w:u w:val="single"/>
        </w:rPr>
      </w:pPr>
      <w:r>
        <w:rPr>
          <w:rFonts w:hint="eastAsia" w:ascii="宋体" w:hAnsi="宋体"/>
          <w:color w:val="auto"/>
          <w:sz w:val="28"/>
        </w:rPr>
        <w:t>经办人：</w:t>
      </w:r>
      <w:r>
        <w:rPr>
          <w:rFonts w:hint="eastAsia" w:ascii="宋体" w:hAnsi="宋体"/>
          <w:color w:val="auto"/>
          <w:sz w:val="28"/>
          <w:u w:val="single"/>
        </w:rPr>
        <w:t xml:space="preserve">       </w:t>
      </w:r>
    </w:p>
    <w:p w14:paraId="2387F5AB">
      <w:pPr>
        <w:snapToGrid w:val="0"/>
        <w:spacing w:before="19" w:line="500" w:lineRule="exact"/>
        <w:rPr>
          <w:rFonts w:ascii="宋体" w:hAnsi="宋体"/>
          <w:color w:val="auto"/>
          <w:sz w:val="28"/>
        </w:rPr>
      </w:pPr>
    </w:p>
    <w:p w14:paraId="08CC454C">
      <w:pPr>
        <w:rPr>
          <w:rFonts w:ascii="宋体" w:hAnsi="宋体"/>
          <w:color w:val="auto"/>
          <w:sz w:val="28"/>
        </w:rPr>
      </w:pPr>
      <w:r>
        <w:rPr>
          <w:rFonts w:hint="eastAsia" w:ascii="宋体" w:hAnsi="宋体"/>
          <w:color w:val="auto"/>
          <w:sz w:val="28"/>
          <w:u w:val="single"/>
        </w:rPr>
        <w:t xml:space="preserve">       </w:t>
      </w:r>
      <w:r>
        <w:rPr>
          <w:rFonts w:hint="eastAsia" w:ascii="宋体" w:hAnsi="宋体"/>
          <w:color w:val="auto"/>
          <w:sz w:val="28"/>
        </w:rPr>
        <w:t>年</w:t>
      </w:r>
      <w:r>
        <w:rPr>
          <w:rFonts w:hint="eastAsia" w:ascii="宋体" w:hAnsi="宋体"/>
          <w:color w:val="auto"/>
          <w:sz w:val="28"/>
          <w:u w:val="single"/>
        </w:rPr>
        <w:t xml:space="preserve">   </w:t>
      </w:r>
      <w:r>
        <w:rPr>
          <w:rFonts w:hint="eastAsia" w:ascii="宋体" w:hAnsi="宋体"/>
          <w:color w:val="auto"/>
          <w:sz w:val="28"/>
        </w:rPr>
        <w:t>月</w:t>
      </w:r>
      <w:r>
        <w:rPr>
          <w:rFonts w:hint="eastAsia" w:ascii="宋体" w:hAnsi="宋体"/>
          <w:color w:val="auto"/>
          <w:sz w:val="28"/>
          <w:u w:val="single"/>
        </w:rPr>
        <w:t xml:space="preserve">    </w:t>
      </w:r>
      <w:r>
        <w:rPr>
          <w:rFonts w:hint="eastAsia" w:ascii="宋体" w:hAnsi="宋体"/>
          <w:color w:val="auto"/>
          <w:sz w:val="28"/>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FA366">
    <w:pPr>
      <w:pStyle w:val="7"/>
      <w:framePr w:wrap="around" w:vAnchor="text" w:hAnchor="page" w:x="5938" w:y="40"/>
      <w:rPr>
        <w:rStyle w:val="11"/>
      </w:rPr>
    </w:pPr>
    <w:r>
      <w:fldChar w:fldCharType="begin"/>
    </w:r>
    <w:r>
      <w:rPr>
        <w:rStyle w:val="11"/>
      </w:rPr>
      <w:instrText xml:space="preserve">PAGE  </w:instrText>
    </w:r>
    <w:r>
      <w:fldChar w:fldCharType="separate"/>
    </w:r>
    <w:r>
      <w:rPr>
        <w:rStyle w:val="11"/>
      </w:rPr>
      <w:t>46</w:t>
    </w:r>
    <w:r>
      <w:fldChar w:fldCharType="end"/>
    </w:r>
  </w:p>
  <w:p w14:paraId="5F5FA949">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00000010"/>
    <w:multiLevelType w:val="multilevel"/>
    <w:tmpl w:val="00000010"/>
    <w:lvl w:ilvl="0" w:tentative="0">
      <w:start w:val="1"/>
      <w:numFmt w:val="chineseCountingThousand"/>
      <w:suff w:val="nothing"/>
      <w:lvlText w:val="第%1章"/>
      <w:lvlJc w:val="left"/>
      <w:pPr>
        <w:ind w:left="0" w:firstLine="0"/>
      </w:pPr>
      <w:rPr>
        <w:rFonts w:hint="eastAsia" w:ascii="FangSong_GB2312" w:eastAsia="FangSong_GB2312"/>
        <w:sz w:val="44"/>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5"/>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74C28B35"/>
    <w:multiLevelType w:val="multilevel"/>
    <w:tmpl w:val="74C28B35"/>
    <w:lvl w:ilvl="0" w:tentative="0">
      <w:start w:val="1"/>
      <w:numFmt w:val="decimal"/>
      <w:lvlText w:val="%1."/>
      <w:lvlJc w:val="left"/>
      <w:pPr>
        <w:ind w:left="950" w:hanging="284"/>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1940" w:hanging="284"/>
      </w:pPr>
      <w:rPr>
        <w:rFonts w:hint="default"/>
        <w:lang w:val="zh-CN" w:eastAsia="zh-CN" w:bidi="zh-CN"/>
      </w:rPr>
    </w:lvl>
    <w:lvl w:ilvl="2" w:tentative="0">
      <w:start w:val="0"/>
      <w:numFmt w:val="bullet"/>
      <w:lvlText w:val="•"/>
      <w:lvlJc w:val="left"/>
      <w:pPr>
        <w:ind w:left="2921" w:hanging="284"/>
      </w:pPr>
      <w:rPr>
        <w:rFonts w:hint="default"/>
        <w:lang w:val="zh-CN" w:eastAsia="zh-CN" w:bidi="zh-CN"/>
      </w:rPr>
    </w:lvl>
    <w:lvl w:ilvl="3" w:tentative="0">
      <w:start w:val="0"/>
      <w:numFmt w:val="bullet"/>
      <w:lvlText w:val="•"/>
      <w:lvlJc w:val="left"/>
      <w:pPr>
        <w:ind w:left="3902" w:hanging="284"/>
      </w:pPr>
      <w:rPr>
        <w:rFonts w:hint="default"/>
        <w:lang w:val="zh-CN" w:eastAsia="zh-CN" w:bidi="zh-CN"/>
      </w:rPr>
    </w:lvl>
    <w:lvl w:ilvl="4" w:tentative="0">
      <w:start w:val="0"/>
      <w:numFmt w:val="bullet"/>
      <w:lvlText w:val="•"/>
      <w:lvlJc w:val="left"/>
      <w:pPr>
        <w:ind w:left="4882" w:hanging="284"/>
      </w:pPr>
      <w:rPr>
        <w:rFonts w:hint="default"/>
        <w:lang w:val="zh-CN" w:eastAsia="zh-CN" w:bidi="zh-CN"/>
      </w:rPr>
    </w:lvl>
    <w:lvl w:ilvl="5" w:tentative="0">
      <w:start w:val="0"/>
      <w:numFmt w:val="bullet"/>
      <w:lvlText w:val="•"/>
      <w:lvlJc w:val="left"/>
      <w:pPr>
        <w:ind w:left="5863" w:hanging="284"/>
      </w:pPr>
      <w:rPr>
        <w:rFonts w:hint="default"/>
        <w:lang w:val="zh-CN" w:eastAsia="zh-CN" w:bidi="zh-CN"/>
      </w:rPr>
    </w:lvl>
    <w:lvl w:ilvl="6" w:tentative="0">
      <w:start w:val="0"/>
      <w:numFmt w:val="bullet"/>
      <w:lvlText w:val="•"/>
      <w:lvlJc w:val="left"/>
      <w:pPr>
        <w:ind w:left="6844" w:hanging="284"/>
      </w:pPr>
      <w:rPr>
        <w:rFonts w:hint="default"/>
        <w:lang w:val="zh-CN" w:eastAsia="zh-CN" w:bidi="zh-CN"/>
      </w:rPr>
    </w:lvl>
    <w:lvl w:ilvl="7" w:tentative="0">
      <w:start w:val="0"/>
      <w:numFmt w:val="bullet"/>
      <w:lvlText w:val="•"/>
      <w:lvlJc w:val="left"/>
      <w:pPr>
        <w:ind w:left="7824" w:hanging="284"/>
      </w:pPr>
      <w:rPr>
        <w:rFonts w:hint="default"/>
        <w:lang w:val="zh-CN" w:eastAsia="zh-CN" w:bidi="zh-CN"/>
      </w:rPr>
    </w:lvl>
    <w:lvl w:ilvl="8" w:tentative="0">
      <w:start w:val="0"/>
      <w:numFmt w:val="bullet"/>
      <w:lvlText w:val="•"/>
      <w:lvlJc w:val="left"/>
      <w:pPr>
        <w:ind w:left="8805" w:hanging="284"/>
      </w:pPr>
      <w:rPr>
        <w:rFonts w:hint="default"/>
        <w:lang w:val="zh-CN" w:eastAsia="zh-CN" w:bidi="zh-CN"/>
      </w:rPr>
    </w:lvl>
  </w:abstractNum>
  <w:abstractNum w:abstractNumId="3">
    <w:nsid w:val="7A9439C6"/>
    <w:multiLevelType w:val="singleLevel"/>
    <w:tmpl w:val="7A9439C6"/>
    <w:lvl w:ilvl="0" w:tentative="0">
      <w:start w:val="1"/>
      <w:numFmt w:val="decimal"/>
      <w:suff w:val="nothing"/>
      <w:lvlText w:val="%1."/>
      <w:lvlJc w:val="left"/>
      <w:pPr>
        <w:ind w:left="0" w:firstLine="397"/>
      </w:pPr>
      <w:rPr>
        <w:rFonts w:hint="default" w:eastAsia="FangSong_GB2312"/>
        <w:sz w:val="24"/>
        <w:szCs w:val="24"/>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92888"/>
    <w:rsid w:val="26F42B89"/>
    <w:rsid w:val="3AAF4C60"/>
    <w:rsid w:val="3C992888"/>
    <w:rsid w:val="41B873D8"/>
    <w:rsid w:val="52496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pageBreakBefore/>
      <w:spacing w:afterLines="100" w:line="360" w:lineRule="auto"/>
      <w:jc w:val="center"/>
      <w:textAlignment w:val="baseline"/>
      <w:outlineLvl w:val="0"/>
    </w:pPr>
    <w:rPr>
      <w:rFonts w:ascii="宋体" w:hAnsi="宋体" w:cs="Arial"/>
      <w:b/>
      <w:sz w:val="44"/>
      <w:szCs w:val="44"/>
    </w:rPr>
  </w:style>
  <w:style w:type="paragraph" w:styleId="5">
    <w:name w:val="heading 6"/>
    <w:basedOn w:val="1"/>
    <w:next w:val="6"/>
    <w:qFormat/>
    <w:uiPriority w:val="0"/>
    <w:pPr>
      <w:keepNext/>
      <w:keepLines/>
      <w:numPr>
        <w:ilvl w:val="5"/>
        <w:numId w:val="1"/>
      </w:numPr>
      <w:spacing w:before="240" w:after="64" w:line="317" w:lineRule="auto"/>
      <w:outlineLvl w:val="5"/>
    </w:pPr>
    <w:rPr>
      <w:rFonts w:ascii="Arial" w:hAnsi="Arial" w:eastAsia="黑体"/>
      <w:b/>
      <w:sz w:val="2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qFormat/>
    <w:uiPriority w:val="0"/>
    <w:pPr>
      <w:widowControl/>
      <w:spacing w:after="120"/>
      <w:jc w:val="left"/>
    </w:pPr>
    <w:rPr>
      <w:kern w:val="0"/>
      <w:szCs w:val="20"/>
    </w:rPr>
  </w:style>
  <w:style w:type="paragraph" w:styleId="6">
    <w:name w:val="Normal Indent"/>
    <w:basedOn w:val="1"/>
    <w:qFormat/>
    <w:uiPriority w:val="0"/>
    <w:pPr>
      <w:autoSpaceDE w:val="0"/>
      <w:autoSpaceDN w:val="0"/>
      <w:spacing w:line="360" w:lineRule="auto"/>
      <w:ind w:left="181" w:firstLine="420"/>
    </w:pPr>
    <w:rPr>
      <w:sz w:val="24"/>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page number"/>
    <w:basedOn w:val="10"/>
    <w:qFormat/>
    <w:uiPriority w:val="0"/>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1284</Words>
  <Characters>1305</Characters>
  <Lines>0</Lines>
  <Paragraphs>0</Paragraphs>
  <TotalTime>0</TotalTime>
  <ScaleCrop>false</ScaleCrop>
  <LinksUpToDate>false</LinksUpToDate>
  <CharactersWithSpaces>1875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2025-03-20T02:05:00Z</dcterms:created>
  <dc:creator>Administrator</dc:creator>
  <cp:lastModifiedBy>WPS_1670294638</cp:lastModifiedBy>
  <dcterms:modified xsi:type="dcterms:W3CDTF">2025-03-20T03:04:25Z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8147FE424A1742BAB2422301764B6BF1_11</vt:lpwstr>
  </property>
  <property fmtid="{D5CDD505-2E9C-101B-9397-08002B2CF9AE}" pid="4" name="KSOTemplateDocerSaveRecord">
    <vt:lpwstr>eyJoZGlkIjoiZjgwMjM0NTY5NWE3YmJmMTY2YWFiMGU1YmE1MGYyODIiLCJ1c2VySWQiOiIxNDQ2NTQzNjM3In0=</vt:lpwstr>
  </property>
</Properties>
</file>